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143.png" ContentType="image/png"/>
  <Override PartName="/word/media/rId139.png" ContentType="image/png"/>
  <Override PartName="/word/media/rId135.png" ContentType="image/png"/>
  <Override PartName="/word/media/rId131.png" ContentType="image/png"/>
  <Override PartName="/word/media/rId147.png" ContentType="image/png"/>
  <Override PartName="/word/media/rId127.png" ContentType="image/png"/>
  <Override PartName="/word/media/rId151.png" ContentType="image/png"/>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Title"/>
        <w:spacing w:line="360" w:lineRule="auto"/>
        <w:jc w:val="both"/>
      </w:pPr>
      <w:r>
        <w:t xml:space="preserve">Marco para la Evaluación Multinivel de la Explicabilidad en IA</w:t>
      </w:r>
    </w:p>
    <w:p>
      <w:pPr>
        <w:pStyle w:val="Subtitle"/>
        <w:spacing w:line="360" w:lineRule="auto"/>
        <w:jc w:val="both"/>
      </w:pPr>
      <w:r>
        <w:t xml:space="preserve">Integración de Benchmarking Técnico, Protocolo Reproducible (FOM-7) y Taxonomía de Métricas</w:t>
      </w:r>
    </w:p>
    <w:p>
      <w:pPr>
        <w:pStyle w:val="Author"/>
        <w:spacing w:line="360" w:lineRule="auto"/>
        <w:jc w:val="both"/>
      </w:pPr>
      <w:r>
        <w:t xml:space="preserve">J. Herrera</w:t>
      </w:r>
    </w:p>
    <w:p>
      <w:pPr>
        <w:pStyle w:val="Date"/>
        <w:spacing w:line="360" w:lineRule="auto"/>
        <w:jc w:val="both"/>
      </w:pPr>
      <w:r>
        <w:t xml:space="preserve">2026-04-19</w:t>
      </w:r>
    </w:p>
    <w:sdt>
      <w:sdtPr>
        <w:docPartObj>
          <w:docPartGallery w:val="Table of Contents"/>
          <w:docPartUnique/>
        </w:docPartObj>
      </w:sdtPr>
      <w:sdtContent>
        <w:p>
          <w:pPr>
            <w:pStyle w:val="TtulodeTDC"/>
            <w:spacing w:line="360" w:lineRule="auto"/>
            <w:jc w:val="both"/>
          </w:pPr>
          <w:r>
            <w:t xml:space="preserve">Table of contents</w:t>
          </w:r>
        </w:p>
        <w:p>
          <w:pPr>
            <w:spacing w:line="360" w:lineRule="auto"/>
            <w:jc w:val="both"/>
          </w:pPr>
          <w:r>
            <w:fldChar w:fldCharType="begin" w:dirty="true"/>
            <w:instrText xml:space="preserve">TOC \o "1-3" \h \z \u</w:instrText>
            <w:fldChar w:fldCharType="separate"/>
            <w:fldChar w:fldCharType="end"/>
          </w:r>
        </w:p>
      </w:sdtContent>
    </w:sdt>
    <w:bookmarkStart w:id="25" w:name="X9879de00516a950326abd0572f192803626eb50"/>
    <w:p>
      <w:pPr>
        <w:pStyle w:val="Ttulo1"/>
        <w:spacing w:line="360" w:lineRule="auto"/>
        <w:jc w:val="both"/>
      </w:pPr>
      <w:r>
        <w:t xml:space="preserve">Marco para la Evaluación Multinivel de la Explicabilidad en IA</w:t>
      </w:r>
    </w:p>
    <w:p>
      <w:pPr>
        <w:pStyle w:val="FirstParagraph"/>
        <w:spacing w:line="360" w:lineRule="auto"/>
        <w:jc w:val="both"/>
      </w:pPr>
      <w:r>
        <w:t xml:space="preserve">Integración de Benchmarking Técnico, Protocolo Reproducible (FOM-7) y</w:t>
      </w:r>
      <w:r>
        <w:t xml:space="preserve"> </w:t>
      </w:r>
      <w:r>
        <w:t xml:space="preserve">Taxonomía de Métricas</w:t>
      </w:r>
    </w:p>
    <w:p>
      <w:pPr>
        <w:pStyle w:val="Textoindependiente"/>
        <w:spacing w:line="360" w:lineRule="auto"/>
        <w:jc w:val="both"/>
      </w:pPr>
      <w:r>
        <w:br/>
      </w:r>
    </w:p>
    <w:bookmarkEnd w:id="25"/>
    <w:bookmarkStart w:id="26" w:name="resumen"/>
    <w:p>
      <w:pPr>
        <w:pStyle w:val="Ttulo1"/>
        <w:spacing w:line="360" w:lineRule="auto"/>
        <w:jc w:val="both"/>
      </w:pPr>
      <w:r>
        <w:t xml:space="preserve">Resumen</w:t>
      </w:r>
    </w:p>
    <w:p>
      <w:pPr>
        <w:pStyle w:val="FirstParagraph"/>
        <w:spacing w:line="360" w:lineRule="auto"/>
        <w:jc w:val="both"/>
      </w:pPr>
      <w:r>
        <w:t xml:space="preserve">Esta tesis propone un marco de evaluación multinivel para la Inteligencia Artificial Explicable (XAI) orientado a comparar métodos agnósticos al modelo bajo condiciones de benchmarking controladas y reproducibles. El trabajo responde a la “crisis de evaluación” en XAI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w:t>
      </w:r>
    </w:p>
    <w:p>
      <w:pPr>
        <w:pStyle w:val="Textoindependiente"/>
        <w:spacing w:line="360" w:lineRule="auto"/>
        <w:jc w:val="both"/>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con control de multiplicidad y en un análisis pareado SHAP–LIME para cuantificar el trade-off calidad–coste. Los resultados muestran diferencias grandes y consistentes entre métodos: SHAP domina en fidelidad y estabilidad en los contextos evaluados, mientras que LIME resulta competitivo cuando la latencia es crítica, a costa de explicaciones estructuralmente inestables. Anchors y DiCE se posicionan como enfoques con objetivos explicativos cualitativamente distintos a la atribución de características. En conjunto, la tesis aporta un protocolo portable y un marco conceptual que permiten seleccionar métodos XAI en función de objetivos operativos y acumular evidencia de forma reproducible.</w:t>
      </w:r>
    </w:p>
    <w:p>
      <w:pPr>
        <w:pStyle w:val="Textoindependiente"/>
        <w:spacing w:line="360" w:lineRule="auto"/>
        <w:jc w:val="both"/>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6"/>
    <w:bookmarkStart w:id="27" w:name="abstract"/>
    <w:p>
      <w:pPr>
        <w:pStyle w:val="Ttulo1"/>
        <w:spacing w:line="360" w:lineRule="auto"/>
        <w:jc w:val="both"/>
      </w:pPr>
      <w:r>
        <w:t xml:space="preserve">Abstract</w:t>
      </w:r>
    </w:p>
    <w:p>
      <w:pPr>
        <w:pStyle w:val="FirstParagraph"/>
        <w:spacing w:line="360" w:lineRule="auto"/>
        <w:jc w:val="both"/>
      </w:pPr>
      <w:r>
        <w:t xml:space="preserve">This thesis proposes a multilevel evaluation framework for Explainable Artificial Intelligence (XAI) aimed at comparing model-agnostic explainers under controlled and reproducible benchmarking conditions. To address the evaluation fragmentation in XAI,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w:t>
      </w:r>
    </w:p>
    <w:p>
      <w:pPr>
        <w:pStyle w:val="Textoindependiente"/>
        <w:spacing w:line="360" w:lineRule="auto"/>
        <w:jc w:val="both"/>
      </w:pPr>
      <w:r>
        <w:t xml:space="preserve">The empirical study uses the Adult (UCI Adult Income) dataset and operationalizes five primary metrics: faithfulness, stability, parsimony, faithfulness gap, and computational cost. Confirmatory inference relies on nonparametric comparisons with multiplicity control and on a paired SHAP–LIME analysis to quantify the quality–cost trade-off. Results show large and consistent differences across methods: SHAP dominates in faithfulness and stability in the evaluated settings, whereas LIME becomes attractive when latency constraints dominate, at the cost of structurally unstable explanations. Anchors and DiCE address qualitatively different explanatory objectives than feature attribution. Overall, the thesis contributes a portable protocol and a conceptual framework to support operationally grounded XAI method selection and reproducible evidence accumulation.</w:t>
      </w:r>
    </w:p>
    <w:p>
      <w:pPr>
        <w:pStyle w:val="Textoindependiente"/>
        <w:spacing w:line="360" w:lineRule="auto"/>
        <w:jc w:val="both"/>
      </w:pPr>
      <w:r>
        <w:rPr>
          <w:b/>
          <w:bCs/>
        </w:rPr>
        <w:t xml:space="preserve">Keywords:</w:t>
      </w:r>
      <w:r>
        <w:t xml:space="preserve"> </w:t>
      </w:r>
      <w:r>
        <w:t xml:space="preserve">explainable AI (XAI); multi-metric evaluation; reproducible benchmarking; FOM-7 protocol; feature attribution; counterfactual explanations; tabular data.</w:t>
      </w:r>
    </w:p>
    <w:bookmarkEnd w:id="27"/>
    <w:bookmarkStart w:id="28" w:name="introducción"/>
    <w:p>
      <w:pPr>
        <w:pStyle w:val="Ttulo1"/>
        <w:spacing w:line="360" w:lineRule="auto"/>
        <w:jc w:val="both"/>
      </w:pPr>
      <w:r>
        <w:t xml:space="preserve">Introducción</w:t>
      </w:r>
    </w:p>
    <w:p>
      <w:pPr>
        <w:pStyle w:val="FirstParagraph"/>
        <w:spacing w:line="360" w:lineRule="auto"/>
        <w:jc w:val="bot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Anchors</w:t>
      </w:r>
      <w:r>
        <w:t xml:space="preserve"> </w:t>
      </w:r>
      <w:r>
        <w:t xml:space="preserve">(Ribeiro 2018)</w:t>
      </w:r>
      <w:r>
        <w:t xml:space="preserve"> </w:t>
      </w:r>
      <w:r>
        <w:t xml:space="preserve">y DiCE</w:t>
      </w:r>
      <w:r>
        <w:t xml:space="preserve"> </w:t>
      </w:r>
      <w:r>
        <w:t xml:space="preserve">(Mothilal 2020)</w:t>
      </w:r>
      <w:r>
        <w:t xml:space="preserve">— han ganado protagonismo al intentar proporcionar explicaciones</w:t>
      </w:r>
      <w:r>
        <w:t xml:space="preserve"> </w:t>
      </w:r>
      <w:r>
        <w:rPr>
          <w:i/>
          <w:iCs/>
        </w:rPr>
        <w:t xml:space="preserve">post-hoc</w:t>
      </w:r>
      <w:r>
        <w:t xml:space="preserve"> </w:t>
      </w:r>
      <w:r>
        <w:t xml:space="preserve">sin necesidad de alterar los componentes internos del modelo,</w:t>
      </w:r>
      <w:r>
        <w:t xml:space="preserve"> </w:t>
      </w:r>
      <w:r>
        <w:t xml:space="preserve">facilitando así la detección de sesgos y la validación de resultados en</w:t>
      </w:r>
      <w:r>
        <w:t xml:space="preserve"> </w:t>
      </w:r>
      <w:r>
        <w:t xml:space="preserve">aplicaciones críticas.</w:t>
      </w:r>
    </w:p>
    <w:p>
      <w:pPr>
        <w:pStyle w:val="Textoindependiente"/>
        <w:spacing w:line="360" w:lineRule="auto"/>
        <w:jc w:val="both"/>
      </w:pPr>
      <w:r>
        <w:t xml:space="preserve">La urgencia de esta investigación se amplifica por un contexto regulatorio en</w:t>
      </w:r>
      <w:r>
        <w:t xml:space="preserve"> </w:t>
      </w:r>
      <w:r>
        <w:t xml:space="preserve">rápida evolución. El Reglamento General de Protección de Datos de la Unión</w:t>
      </w:r>
      <w:r>
        <w:t xml:space="preserve"> </w:t>
      </w:r>
      <w:r>
        <w:t xml:space="preserve">Europea (GDPR) establece en su Artículo 22 el derecho de las personas a obtener</w:t>
      </w:r>
      <w:r>
        <w:t xml:space="preserve"> </w:t>
      </w:r>
      <w:r>
        <w:t xml:space="preserve">explicaciones significativas sobre decisiones automatizadas que les afecten</w:t>
      </w:r>
      <w:r>
        <w:t xml:space="preserve"> </w:t>
      </w:r>
      <w:r>
        <w:t xml:space="preserve">(Voigt and Bussche 2017)</w:t>
      </w:r>
      <w:r>
        <w:t xml:space="preserve">. La Ley de Inteligencia Artificial de la Unión Europea (EU AI Act,</w:t>
      </w:r>
      <w:r>
        <w:t xml:space="preserve"> </w:t>
      </w:r>
      <w:r>
        <w:t xml:space="preserve">2024) va más lejos: clasifica ciertos sistemas de IA como de alto riesgo y exige</w:t>
      </w:r>
      <w:r>
        <w:t xml:space="preserve"> </w:t>
      </w:r>
      <w:r>
        <w:t xml:space="preserve">requisitos de transparencia, trazabilidad y supervisión humana que dependen</w:t>
      </w:r>
      <w:r>
        <w:t xml:space="preserve"> </w:t>
      </w:r>
      <w:r>
        <w:t xml:space="preserve">directamente de la disponibilidad de métodos de explicación verificables. En el</w:t>
      </w:r>
      <w:r>
        <w:t xml:space="preserve"> </w:t>
      </w:r>
      <w:r>
        <w:t xml:space="preserve">ámbito financiero, la Directiva de Crédito Hipotecario y la regulación bancaria</w:t>
      </w:r>
      <w:r>
        <w:t xml:space="preserve"> </w:t>
      </w:r>
      <w:r>
        <w:t xml:space="preserve">(Basilea IV) demandan modelos auditables. En el sector sanitario, la FDA</w:t>
      </w:r>
      <w:r>
        <w:t xml:space="preserve"> </w:t>
      </w:r>
      <w:r>
        <w:t xml:space="preserve">norteamericana y la EMA europea han publicado marcos de gobernanza que vinculan</w:t>
      </w:r>
      <w:r>
        <w:t xml:space="preserve"> </w:t>
      </w:r>
      <w:r>
        <w:t xml:space="preserve">aprobación de sistemas de IA con explicabilidad comprobable. Esta confluencia</w:t>
      </w:r>
      <w:r>
        <w:t xml:space="preserve"> </w:t>
      </w:r>
      <w:r>
        <w:t xml:space="preserve">normativa convierte la evaluación rigurosa de métodos de explicación en una</w:t>
      </w:r>
      <w:r>
        <w:t xml:space="preserve"> </w:t>
      </w:r>
      <w:r>
        <w:t xml:space="preserve">necesidad operativa, no solo académica.</w:t>
      </w:r>
    </w:p>
    <w:p>
      <w:pPr>
        <w:pStyle w:val="Textoindependiente"/>
        <w:spacing w:line="360" w:lineRule="auto"/>
        <w:jc w:val="both"/>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and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spacing w:line="360" w:lineRule="auto"/>
        <w:jc w:val="both"/>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w:t>
      </w:r>
      <w:r>
        <w:t xml:space="preserve"> </w:t>
      </w:r>
      <w:r>
        <w:t xml:space="preserve">puntuaciones de fiabilidad resultantes</w:t>
      </w:r>
      <w:r>
        <w:t xml:space="preserve"> </w:t>
      </w:r>
      <w:r>
        <w:t xml:space="preserve">(Zheng et al. 2025)</w:t>
      </w:r>
      <w:r>
        <w:t xml:space="preserve">. Si bien han surgido</w:t>
      </w:r>
      <w:r>
        <w:t xml:space="preserve"> </w:t>
      </w:r>
      <w:r>
        <w:t xml:space="preserve">ecosistemas de 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w:t>
      </w:r>
      <w:r>
        <w:t xml:space="preserve"> </w:t>
      </w:r>
      <w:r>
        <w:t xml:space="preserve">significativa: ninguno de estos marcos ofrece un protocolo operativo completo</w:t>
      </w:r>
      <w:r>
        <w:t xml:space="preserve"> </w:t>
      </w:r>
      <w:r>
        <w:t xml:space="preserve">que conecte diseño experimental, calificación de artefactos, admisibilidad</w:t>
      </w:r>
      <w:r>
        <w:t xml:space="preserve"> </w:t>
      </w:r>
      <w:r>
        <w:t xml:space="preserve">estadística, reproducibilidad y trazabilidad de afirmaciones en una secuencia</w:t>
      </w:r>
      <w:r>
        <w:t xml:space="preserve"> </w:t>
      </w:r>
      <w:r>
        <w:t xml:space="preserve">auditable</w:t>
      </w:r>
      <w:r>
        <w:t xml:space="preserve"> </w:t>
      </w:r>
      <w:r>
        <w:t xml:space="preserve">(Pawlicki et al. 2024; Canha et al. 2025)</w:t>
      </w:r>
      <w:r>
        <w:t xml:space="preserve">. Esa brecha es el problema central de esta</w:t>
      </w:r>
      <w:r>
        <w:t xml:space="preserve"> </w:t>
      </w:r>
      <w:r>
        <w:t xml:space="preserve">tesis.</w:t>
      </w:r>
    </w:p>
    <w:p>
      <w:pPr>
        <w:pStyle w:val="Textoindependiente"/>
        <w:spacing w:line="360" w:lineRule="auto"/>
        <w:jc w:val="both"/>
      </w:pPr>
      <w:r>
        <w:t xml:space="preserve">Esta investigación responde a la brecha con tres contribuciones articuladas.</w:t>
      </w:r>
      <w:r>
        <w:t xml:space="preserve"> </w:t>
      </w:r>
      <w:r>
        <w:t xml:space="preserve">La</w:t>
      </w:r>
      <w:r>
        <w:t xml:space="preserve"> </w:t>
      </w:r>
      <w:r>
        <w:rPr>
          <w:b/>
          <w:bCs/>
        </w:rPr>
        <w:t xml:space="preserve">contribución metodológica</w:t>
      </w:r>
      <w:r>
        <w:t xml:space="preserve"> </w:t>
      </w:r>
      <w:r>
        <w:t xml:space="preserve">es el protocolo FOM-7 (</w:t>
      </w:r>
      <w:r>
        <w:rPr>
          <w:i/>
          <w:iCs/>
        </w:rPr>
        <w:t xml:space="preserve">Framework Operation</w:t>
      </w:r>
      <w:r>
        <w:rPr>
          <w:i/>
          <w:iCs/>
        </w:rPr>
        <w:t xml:space="preserve"> </w:t>
      </w:r>
      <w:r>
        <w:rPr>
          <w:i/>
          <w:iCs/>
        </w:rPr>
        <w:t xml:space="preserve">Method</w:t>
      </w:r>
      <w:r>
        <w:t xml:space="preserve">, siete puertas), una secuencia operativa reproducible que gobierna el</w:t>
      </w:r>
      <w:r>
        <w:t xml:space="preserve"> </w:t>
      </w:r>
      <w:r>
        <w:t xml:space="preserve">ciclo completo de evidencia en evaluación XAI comparativa: desde la congelación</w:t>
      </w:r>
      <w:r>
        <w:t xml:space="preserve"> </w:t>
      </w:r>
      <w:r>
        <w:t xml:space="preserve">del protocolo experimental hasta la trazabilidad de afirmaciones inferenciales.</w:t>
      </w:r>
      <w:r>
        <w:t xml:space="preserve"> </w:t>
      </w:r>
      <w:r>
        <w:t xml:space="preserve">La</w:t>
      </w:r>
      <w:r>
        <w:t xml:space="preserve"> </w:t>
      </w:r>
      <w:r>
        <w:rPr>
          <w:b/>
          <w:bCs/>
        </w:rPr>
        <w:t xml:space="preserve">contribución empírica</w:t>
      </w:r>
      <w:r>
        <w:t xml:space="preserve"> </w:t>
      </w:r>
      <w:r>
        <w:t xml:space="preserve">es un benchmark multi-métrico sobre datos tabulares</w:t>
      </w:r>
      <w:r>
        <w:t xml:space="preserve"> </w:t>
      </w:r>
      <w:r>
        <w:t xml:space="preserve">reales que compara SHAP, LIME, Anchors y DiCE bajo cinco modelos, cinco</w:t>
      </w:r>
      <w:r>
        <w:t xml:space="preserve"> </w:t>
      </w:r>
      <w:r>
        <w:t xml:space="preserve">semillas y tres tamaños de muestra, produciendo 275 artefactos calificados con</w:t>
      </w:r>
      <w:r>
        <w:t xml:space="preserve"> </w:t>
      </w:r>
      <w:r>
        <w:t xml:space="preserve">análisis estadístico mediante pruebas no paramétricas con control de</w:t>
      </w:r>
      <w:r>
        <w:t xml:space="preserve"> </w:t>
      </w:r>
      <w:r>
        <w:t xml:space="preserve">multiplicidad. La</w:t>
      </w:r>
      <w:r>
        <w:t xml:space="preserve"> </w:t>
      </w:r>
      <w:r>
        <w:rPr>
          <w:b/>
          <w:bCs/>
        </w:rPr>
        <w:t xml:space="preserve">contribución teórica</w:t>
      </w:r>
      <w:r>
        <w:t xml:space="preserve"> </w:t>
      </w:r>
      <w:r>
        <w:t xml:space="preserve">es una taxonomía estructurada de</w:t>
      </w:r>
      <w:r>
        <w:t xml:space="preserve"> </w:t>
      </w:r>
      <w:r>
        <w:t xml:space="preserve">cuatro ejes que organiza el espacio de métricas de evaluación XAI,</w:t>
      </w:r>
      <w:r>
        <w:t xml:space="preserve"> </w:t>
      </w:r>
      <w:r>
        <w:t xml:space="preserve">localiza explícitamente las dimensiones cubiertas y no cubiertas por el</w:t>
      </w:r>
      <w:r>
        <w:t xml:space="preserve"> </w:t>
      </w:r>
      <w:r>
        <w:t xml:space="preserve">benchmark, y vincula cada métrica a su alcance inferencial admisible. Juntas,</w:t>
      </w:r>
      <w:r>
        <w:t xml:space="preserve"> </w:t>
      </w:r>
      <w:r>
        <w:t xml:space="preserve">estas tres contribuciones avanzan el campo desde la proliferación de métricas</w:t>
      </w:r>
      <w:r>
        <w:t xml:space="preserve"> </w:t>
      </w:r>
      <w:r>
        <w:t xml:space="preserve">hacia la acumulación sistemática de evidencia defendible.</w:t>
      </w:r>
    </w:p>
    <w:p>
      <w:pPr>
        <w:pStyle w:val="Textoindependiente"/>
        <w:spacing w:line="360" w:lineRule="auto"/>
        <w:jc w:val="both"/>
      </w:pPr>
      <w:r>
        <w:t xml:space="preserve">Para alcanzar estos objetivos, el documento se estructura en seis capítulos</w:t>
      </w:r>
      <w:r>
        <w:t xml:space="preserve"> </w:t>
      </w:r>
      <w:r>
        <w:t xml:space="preserve">y dos elementos complementarios. Tras esta introducción, el</w:t>
      </w:r>
      <w:r>
        <w:t xml:space="preserve"> </w:t>
      </w:r>
      <w:r>
        <w:rPr>
          <w:b/>
          <w:bCs/>
        </w:rPr>
        <w:t xml:space="preserve">Capítulo 1</w:t>
      </w:r>
      <w:r>
        <w:t xml:space="preserve"> </w:t>
      </w:r>
      <w:r>
        <w:t xml:space="preserve">formaliza el problema de investigación, los objetivos específicos y las</w:t>
      </w:r>
      <w:r>
        <w:t xml:space="preserve"> </w:t>
      </w:r>
      <w:r>
        <w:t xml:space="preserve">hipótesis estadísticas. El</w:t>
      </w:r>
      <w:r>
        <w:t xml:space="preserve"> </w:t>
      </w:r>
      <w:r>
        <w:rPr>
          <w:b/>
          <w:bCs/>
        </w:rPr>
        <w:t xml:space="preserve">Capítulo 2</w:t>
      </w:r>
      <w:r>
        <w:t xml:space="preserve"> </w:t>
      </w:r>
      <w:r>
        <w:t xml:space="preserve">establece el marco teórico:</w:t>
      </w:r>
      <w:r>
        <w:t xml:space="preserve"> </w:t>
      </w:r>
      <w:r>
        <w:t xml:space="preserve">desarrolla el desarrollo histórico de la XAI, las distinciones conceptuales</w:t>
      </w:r>
      <w:r>
        <w:t xml:space="preserve"> </w:t>
      </w:r>
      <w:r>
        <w:t xml:space="preserve">fundamentales, los cuatro métodos evaluados y los marcos de evaluación</w:t>
      </w:r>
      <w:r>
        <w:t xml:space="preserve"> </w:t>
      </w:r>
      <w:r>
        <w:t xml:space="preserve">existentes, cerrando con la síntesis crítica que justifica FOM-7. El</w:t>
      </w:r>
      <w:r>
        <w:t xml:space="preserve"> </w:t>
      </w:r>
      <w:r>
        <w:rPr>
          <w:b/>
          <w:bCs/>
        </w:rPr>
        <w:t xml:space="preserve">Capítulo 3</w:t>
      </w:r>
      <w:r>
        <w:t xml:space="preserve"> </w:t>
      </w:r>
      <w:r>
        <w:t xml:space="preserve">describe el diseño experimental: el protocolo FOM-7, el conjunto</w:t>
      </w:r>
      <w:r>
        <w:t xml:space="preserve"> </w:t>
      </w:r>
      <w:r>
        <w:t xml:space="preserve">de datos, el diseño factorial, la operacionalización de métricas, el análisis de</w:t>
      </w:r>
      <w:r>
        <w:t xml:space="preserve"> </w:t>
      </w:r>
      <w:r>
        <w:t xml:space="preserve">cobertura y el plan de inferencia estadística. El</w:t>
      </w:r>
      <w:r>
        <w:t xml:space="preserve"> </w:t>
      </w:r>
      <w:r>
        <w:rPr>
          <w:b/>
          <w:bCs/>
        </w:rPr>
        <w:t xml:space="preserve">Capítulo 4</w:t>
      </w:r>
      <w:r>
        <w:t xml:space="preserve"> </w:t>
      </w:r>
      <w:r>
        <w:t xml:space="preserve">expone y</w:t>
      </w:r>
      <w:r>
        <w:t xml:space="preserve"> </w:t>
      </w:r>
      <w:r>
        <w:t xml:space="preserve">discute los resultados empíricos de los Estudios A y B, con plena trazabilidad</w:t>
      </w:r>
      <w:r>
        <w:t xml:space="preserve"> </w:t>
      </w:r>
      <w:r>
        <w:t xml:space="preserve">de afirmaciones. El</w:t>
      </w:r>
      <w:r>
        <w:t xml:space="preserve"> </w:t>
      </w:r>
      <w:r>
        <w:rPr>
          <w:b/>
          <w:bCs/>
        </w:rPr>
        <w:t xml:space="preserve">Capítulo 5</w:t>
      </w:r>
      <w:r>
        <w:t xml:space="preserve"> </w:t>
      </w:r>
      <w:r>
        <w:t xml:space="preserve">desarrolla la taxonomía de métricas XAI como</w:t>
      </w:r>
      <w:r>
        <w:t xml:space="preserve"> </w:t>
      </w:r>
      <w:r>
        <w:t xml:space="preserve">contribución teórica autónoma. El</w:t>
      </w:r>
      <w:r>
        <w:t xml:space="preserve"> </w:t>
      </w:r>
      <w:r>
        <w:rPr>
          <w:b/>
          <w:bCs/>
        </w:rPr>
        <w:t xml:space="preserve">Capítulo 6</w:t>
      </w:r>
      <w:r>
        <w:t xml:space="preserve"> </w:t>
      </w:r>
      <w:r>
        <w:t xml:space="preserve">sintetiza las conclusiones,</w:t>
      </w:r>
      <w:r>
        <w:t xml:space="preserve"> </w:t>
      </w:r>
      <w:r>
        <w:t xml:space="preserve">separa las contribuciones de la literatura previa, reconoce las limitaciones y</w:t>
      </w:r>
      <w:r>
        <w:t xml:space="preserve"> </w:t>
      </w:r>
      <w:r>
        <w:t xml:space="preserve">propone líneas de investigación futura. Los apéndices documentan los datos,</w:t>
      </w:r>
      <w:r>
        <w:t xml:space="preserve"> </w:t>
      </w:r>
      <w:r>
        <w:t xml:space="preserve">modelos, configuraciones, salidas estadísticas y entorno de reproducción.</w:t>
      </w:r>
    </w:p>
    <w:bookmarkEnd w:id="28"/>
    <w:bookmarkStart w:id="43" w:name="X13574bcfb14bbd4e095f2c559ff6b33999e5b97"/>
    <w:p>
      <w:pPr>
        <w:pStyle w:val="Ttulo1"/>
        <w:spacing w:line="360" w:lineRule="auto"/>
        <w:jc w:val="both"/>
      </w:pPr>
      <w:r>
        <w:t xml:space="preserve">Problema, objetivos y diseño general de la investigación</w:t>
      </w:r>
    </w:p>
    <w:p>
      <w:pPr>
        <w:pStyle w:val="FirstParagraph"/>
        <w:spacing w:line="360" w:lineRule="auto"/>
        <w:jc w:val="bot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29" w:name="problema-de-investigación"/>
    <w:p>
      <w:pPr>
        <w:pStyle w:val="Ttulo2"/>
        <w:spacing w:line="360" w:lineRule="auto"/>
        <w:jc w:val="both"/>
      </w:pPr>
      <w:r>
        <w:t xml:space="preserve">Problema de investigación</w:t>
      </w:r>
    </w:p>
    <w:p>
      <w:pPr>
        <w:pStyle w:val="FirstParagraph"/>
        <w:spacing w:line="360" w:lineRule="auto"/>
        <w:jc w:val="bot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and Verbert 2024; Lipton 2018)</w:t>
      </w:r>
      <w:r>
        <w:t xml:space="preserve">. Las</w:t>
      </w:r>
      <w:r>
        <w:t xml:space="preserve"> </w:t>
      </w:r>
      <w:r>
        <w:t xml:space="preserve">revisiones panorámicas del campo coinciden en el diagnóstico: el catálogo de</w:t>
      </w:r>
      <w:r>
        <w:t xml:space="preserve"> </w:t>
      </w:r>
      <w:r>
        <w:t xml:space="preserve">técnicas ha crecido con rapidez</w:t>
      </w:r>
      <w:r>
        <w:t xml:space="preserve"> </w:t>
      </w:r>
      <w:r>
        <w:t xml:space="preserve">(Dwivedi 2022)</w:t>
      </w:r>
      <w:r>
        <w:t xml:space="preserve">, mientras que los retos abiertos</w:t>
      </w:r>
      <w:r>
        <w:t xml:space="preserve"> </w:t>
      </w:r>
      <w:r>
        <w:t xml:space="preserve">de evaluación permanecen en buena medida sin resolver a lo largo de sucesivas</w:t>
      </w:r>
      <w:r>
        <w:t xml:space="preserve"> </w:t>
      </w:r>
      <w:r>
        <w:t xml:space="preserve">meta-revisiones</w:t>
      </w:r>
      <w:r>
        <w:t xml:space="preserve"> </w:t>
      </w:r>
      <w:r>
        <w:t xml:space="preserve">(Saeed 2023)</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spacing w:line="360" w:lineRule="auto"/>
        <w:jc w:val="both"/>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and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(Alvarez-Melis and Jaakkola 2018;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spacing w:line="360" w:lineRule="auto"/>
        <w:jc w:val="both"/>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29"/>
    <w:bookmarkStart w:id="30" w:name="justificación-científica-y-práctica"/>
    <w:p>
      <w:pPr>
        <w:pStyle w:val="Ttulo2"/>
        <w:spacing w:line="360" w:lineRule="auto"/>
        <w:jc w:val="both"/>
      </w:pPr>
      <w:r>
        <w:t xml:space="preserve">Justificación científica y práctica</w:t>
      </w:r>
    </w:p>
    <w:p>
      <w:pPr>
        <w:pStyle w:val="FirstParagraph"/>
        <w:spacing w:line="360" w:lineRule="auto"/>
        <w:jc w:val="bot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and Zafar 2023; Marcinkevičs 2023; Schwalbe 2023)</w:t>
      </w:r>
      <w:r>
        <w:t xml:space="preserve">.</w:t>
      </w:r>
    </w:p>
    <w:p>
      <w:pPr>
        <w:pStyle w:val="Textoindependiente"/>
        <w:spacing w:line="360" w:lineRule="auto"/>
        <w:jc w:val="both"/>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p>
      <w:pPr>
        <w:pStyle w:val="Textoindependiente"/>
        <w:spacing w:line="360" w:lineRule="auto"/>
        <w:jc w:val="both"/>
      </w:pPr>
      <w:r>
        <w:t xml:space="preserve">La amplitud de dominios en que la explicabilidad se despliega refuerza la</w:t>
      </w:r>
      <w:r>
        <w:t xml:space="preserve"> </w:t>
      </w:r>
      <w:r>
        <w:t xml:space="preserve">necesidad de criterios de selección fundamentados. La literatura reciente</w:t>
      </w:r>
      <w:r>
        <w:t xml:space="preserve"> </w:t>
      </w:r>
      <w:r>
        <w:t xml:space="preserve">documenta aplicaciones en seguridad informática —análisis de programas</w:t>
      </w:r>
      <w:r>
        <w:t xml:space="preserve"> </w:t>
      </w:r>
      <w:r>
        <w:t xml:space="preserve">maliciosos</w:t>
      </w:r>
      <w:r>
        <w:t xml:space="preserve"> </w:t>
      </w:r>
      <w:r>
        <w:t xml:space="preserve">(Saqib et al. 2024)</w:t>
      </w:r>
      <w:r>
        <w:t xml:space="preserve">, detección de URL fraudulentas</w:t>
      </w:r>
      <w:r>
        <w:t xml:space="preserve"> </w:t>
      </w:r>
      <w:r>
        <w:t xml:space="preserve">(Mittal 2023)</w:t>
      </w:r>
      <w:r>
        <w:t xml:space="preserve"> </w:t>
      </w:r>
      <w:r>
        <w:t xml:space="preserve">y robustez</w:t>
      </w:r>
      <w:r>
        <w:t xml:space="preserve"> </w:t>
      </w:r>
      <w:r>
        <w:t xml:space="preserve">frente a ejemplos adversarios</w:t>
      </w:r>
      <w:r>
        <w:t xml:space="preserve"> </w:t>
      </w:r>
      <w:r>
        <w:t xml:space="preserve">(Gafur et al. 2024)</w:t>
      </w:r>
      <w:r>
        <w:t xml:space="preserve">—, en educación</w:t>
      </w:r>
      <w:r>
        <w:t xml:space="preserve"> </w:t>
      </w:r>
      <w:r>
        <w:t xml:space="preserve">(Iatrellis et al. 2023; Gomez et al. 2024)</w:t>
      </w:r>
      <w:r>
        <w:t xml:space="preserve">, en agricultura digital</w:t>
      </w:r>
      <w:r>
        <w:t xml:space="preserve"> </w:t>
      </w:r>
      <w:r>
        <w:t xml:space="preserve">(Porfírio 2024)</w:t>
      </w:r>
      <w:r>
        <w:t xml:space="preserve">, en biología estructural</w:t>
      </w:r>
      <w:r>
        <w:t xml:space="preserve"> </w:t>
      </w:r>
      <w:r>
        <w:t xml:space="preserve">(Tan and Zhang 2023)</w:t>
      </w:r>
      <w:r>
        <w:t xml:space="preserve">, en la auditoría de sesgos en sistemas de clasificación de texto</w:t>
      </w:r>
      <w:r>
        <w:t xml:space="preserve"> </w:t>
      </w:r>
      <w:r>
        <w:t xml:space="preserve">(Muntasir and Noor 2024)</w:t>
      </w:r>
      <w:r>
        <w:t xml:space="preserve"> </w:t>
      </w:r>
      <w:r>
        <w:t xml:space="preserve">y en la anticipación de necesidades formativas</w:t>
      </w:r>
      <w:r>
        <w:t xml:space="preserve"> </w:t>
      </w:r>
      <w:r>
        <w:t xml:space="preserve">(Bobitan et al. 2024)</w:t>
      </w:r>
      <w:r>
        <w:t xml:space="preserve">.</w:t>
      </w:r>
      <w:r>
        <w:t xml:space="preserve"> </w:t>
      </w:r>
      <w:r>
        <w:t xml:space="preserve">El mismo desplazamiento alcanza a la simulación</w:t>
      </w:r>
      <w:r>
        <w:t xml:space="preserve"> </w:t>
      </w:r>
      <w:r>
        <w:t xml:space="preserve">(Feldkamp and Strassburger 2023)</w:t>
      </w:r>
      <w:r>
        <w:t xml:space="preserve">, a la computación</w:t>
      </w:r>
      <w:r>
        <w:t xml:space="preserve"> </w:t>
      </w:r>
      <w:r>
        <w:t xml:space="preserve">evolutiva</w:t>
      </w:r>
      <w:r>
        <w:t xml:space="preserve"> </w:t>
      </w:r>
      <w:r>
        <w:t xml:space="preserve">(Bacardit et al. 2024)</w:t>
      </w:r>
      <w:r>
        <w:t xml:space="preserve"> </w:t>
      </w:r>
      <w:r>
        <w:t xml:space="preserve">y al diseño de agentes autónomos, donde la exigencia de</w:t>
      </w:r>
      <w:r>
        <w:t xml:space="preserve"> </w:t>
      </w:r>
      <w:r>
        <w:t xml:space="preserve">explicabilidad se plantea ya como requisito arquitectónico</w:t>
      </w:r>
      <w:r>
        <w:t xml:space="preserve"> </w:t>
      </w:r>
      <w:r>
        <w:t xml:space="preserve">(Rodriguez and Thangarajah 2024; Hosseini and Seilani 2025)</w:t>
      </w:r>
      <w:r>
        <w:t xml:space="preserve">. En todos estos contextos la pregunta operativa es la misma —qué</w:t>
      </w:r>
      <w:r>
        <w:t xml:space="preserve"> </w:t>
      </w:r>
      <w:r>
        <w:t xml:space="preserve">método explicador elegir y con qué garantías— y en ninguno se responde con un</w:t>
      </w:r>
      <w:r>
        <w:t xml:space="preserve"> </w:t>
      </w:r>
      <w:r>
        <w:t xml:space="preserve">criterio único: cada dominio prioriza dimensiones de calidad distintas, lo que</w:t>
      </w:r>
      <w:r>
        <w:t xml:space="preserve"> </w:t>
      </w:r>
      <w:r>
        <w:t xml:space="preserve">justifica un marco de evaluación multidimensional en lugar de un ranking</w:t>
      </w:r>
      <w:r>
        <w:t xml:space="preserve"> </w:t>
      </w:r>
      <w:r>
        <w:t xml:space="preserve">absoluto.</w:t>
      </w:r>
    </w:p>
    <w:bookmarkEnd w:id="30"/>
    <w:bookmarkStart w:id="34" w:name="objetivos-e-hipótesis"/>
    <w:p>
      <w:pPr>
        <w:pStyle w:val="Ttulo2"/>
        <w:spacing w:line="360" w:lineRule="auto"/>
        <w:jc w:val="both"/>
      </w:pPr>
      <w:r>
        <w:t xml:space="preserve">Objetivos e hipótesis</w:t>
      </w:r>
    </w:p>
    <w:bookmarkStart w:id="31" w:name="objetivo-general"/>
    <w:p>
      <w:pPr>
        <w:pStyle w:val="Ttulo3"/>
        <w:spacing w:line="360" w:lineRule="auto"/>
        <w:jc w:val="both"/>
      </w:pPr>
      <w:r>
        <w:t xml:space="preserve">Objetivo general</w:t>
      </w:r>
    </w:p>
    <w:p>
      <w:pPr>
        <w:pStyle w:val="FirstParagraph"/>
        <w:spacing w:line="360" w:lineRule="auto"/>
        <w:jc w:val="both"/>
      </w:pPr>
      <w:r>
        <w:t xml:space="preserve">Desarrollar y validar un marco de evaluación multinivel y reproducible para</w:t>
      </w:r>
      <w:r>
        <w:t xml:space="preserve"> </w:t>
      </w:r>
      <w:r>
        <w:t xml:space="preserve">métodos de explicabilidad agnósticos al modelo, que integre un protocolo de</w:t>
      </w:r>
      <w:r>
        <w:t xml:space="preserve"> </w:t>
      </w:r>
      <w:r>
        <w:t xml:space="preserve">benchmarking cuantitativo multi-métrico y un análisis taxonómico estructurado,</w:t>
      </w:r>
      <w:r>
        <w:t xml:space="preserve"> </w:t>
      </w:r>
      <w:r>
        <w:t xml:space="preserve">con el fin de establecer criterios técnicamente rigurosos para la selección y</w:t>
      </w:r>
      <w:r>
        <w:t xml:space="preserve"> </w:t>
      </w:r>
      <w:r>
        <w:t xml:space="preserve">comparación de métodos XAI en contextos de datos tabulares.</w:t>
      </w:r>
    </w:p>
    <w:bookmarkEnd w:id="31"/>
    <w:bookmarkStart w:id="32" w:name="objetivos-específicos"/>
    <w:p>
      <w:pPr>
        <w:pStyle w:val="Ttulo3"/>
        <w:spacing w:line="360" w:lineRule="auto"/>
        <w:jc w:val="both"/>
      </w:pPr>
      <w:r>
        <w:t xml:space="preserve">Objetivos específicos</w:t>
      </w:r>
    </w:p>
    <w:p>
      <w:pPr>
        <w:numPr>
          <w:ilvl w:val="0"/>
          <w:numId w:val="1001"/>
        </w:numPr>
        <w:spacing w:line="360" w:lineRule="auto"/>
        <w:jc w:val="both"/>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r>
        <w:t xml:space="preserve"> </w:t>
      </w:r>
      <w:r>
        <w:t xml:space="preserve">(Canha et al. 2025; Hedström et al. 2023; Agarwal et al. 2022)</w:t>
      </w:r>
      <w:r>
        <w:t xml:space="preserve">.</w:t>
      </w:r>
    </w:p>
    <w:p>
      <w:pPr>
        <w:numPr>
          <w:ilvl w:val="0"/>
          <w:numId w:val="1001"/>
        </w:numPr>
        <w:spacing w:line="360" w:lineRule="auto"/>
        <w:jc w:val="both"/>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r>
        <w:t xml:space="preserve"> </w:t>
      </w:r>
      <w:r>
        <w:t xml:space="preserve">(Lundberg 2017; Ribeiro 2016, 2018; Mothilal 2020; Wachter 2017; Kohavi and Becker 1996; Abdul Kadir et al. 2023; Bhattacharya and Verbert 2024)</w:t>
      </w:r>
    </w:p>
    <w:p>
      <w:pPr>
        <w:numPr>
          <w:ilvl w:val="0"/>
          <w:numId w:val="1001"/>
        </w:numPr>
        <w:spacing w:line="360" w:lineRule="auto"/>
        <w:jc w:val="both"/>
      </w:pPr>
      <w:r>
        <w:t xml:space="preserve">Cuantificar las diferencias en la relación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spacing w:line="360" w:lineRule="auto"/>
        <w:jc w:val="both"/>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spacing w:line="360" w:lineRule="auto"/>
        <w:jc w:val="both"/>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los Estudios A y B</w:t>
      </w:r>
      <w:r>
        <w:t xml:space="preserve"> </w:t>
      </w:r>
      <w:r>
        <w:t xml:space="preserve">(Abdul Kadir et al. 2023; Pawlicki et al. 2024; Nizam and Zafar 2023; Marcinkevičs 2023; Schwalbe 2023)</w:t>
      </w:r>
      <w:r>
        <w:t xml:space="preserve">.</w:t>
      </w:r>
    </w:p>
    <w:p>
      <w:pPr>
        <w:numPr>
          <w:ilvl w:val="0"/>
          <w:numId w:val="1001"/>
        </w:numPr>
        <w:spacing w:line="360" w:lineRule="auto"/>
        <w:jc w:val="both"/>
      </w:pPr>
      <w:r>
        <w:t xml:space="preserve">Cuantificar la fiabilidad inter-juez de evaluadores semánticos basados en</w:t>
      </w:r>
      <w:r>
        <w:t xml:space="preserve"> </w:t>
      </w:r>
      <w:r>
        <w:t xml:space="preserve">modelos de lenguaje sobre explicaciones del corpus experimental, con el fin de</w:t>
      </w:r>
      <w:r>
        <w:t xml:space="preserve"> </w:t>
      </w:r>
      <w:r>
        <w:t xml:space="preserve">determinar si dicho instrumento alcanza la convergencia necesaria para</w:t>
      </w:r>
      <w:r>
        <w:t xml:space="preserve"> </w:t>
      </w:r>
      <w:r>
        <w:t xml:space="preserve">sostener afirmaciones confirmativas. Este objetivo se deriva de la Brecha 3</w:t>
      </w:r>
      <w:r>
        <w:t xml:space="preserve"> </w:t>
      </w:r>
      <w:r>
        <w:t xml:space="preserve">identificada por la taxonomía del Capítulo 5 y, a diferencia de los objetivos</w:t>
      </w:r>
      <w:r>
        <w:t xml:space="preserve"> </w:t>
      </w:r>
      <w:r>
        <w:t xml:space="preserve">1–5, se formuló una vez construida esa taxonomía; su alcance es por tanto</w:t>
      </w:r>
      <w:r>
        <w:t xml:space="preserve"> </w:t>
      </w:r>
      <w:r>
        <w:t xml:space="preserve">exploratorio y de calibración instrumental, no confirmativo</w:t>
      </w:r>
      <w:r>
        <w:t xml:space="preserve"> </w:t>
      </w:r>
      <w:r>
        <w:t xml:space="preserve">(Koo and Li 2016; Bhattacharya and Verbert 2024)</w:t>
      </w:r>
      <w:r>
        <w:t xml:space="preserve">.</w:t>
      </w:r>
    </w:p>
    <w:bookmarkEnd w:id="32"/>
    <w:bookmarkStart w:id="33" w:name="hipótesis-o-proposiciones-de-trabajo"/>
    <w:p>
      <w:pPr>
        <w:pStyle w:val="Ttulo3"/>
        <w:spacing w:line="360" w:lineRule="auto"/>
        <w:jc w:val="both"/>
      </w:pPr>
      <w:r>
        <w:t xml:space="preserve">Hipótesis o proposiciones de trabajo</w:t>
      </w:r>
    </w:p>
    <w:p>
      <w:pPr>
        <w:pStyle w:val="FirstParagraph"/>
        <w:spacing w:line="360" w:lineRule="auto"/>
        <w:jc w:val="both"/>
      </w:pPr>
      <w:r>
        <w:t xml:space="preserve">Las hipótesis estadísticas formales se estructuran en torno a los tres ejes</w:t>
      </w:r>
      <w:r>
        <w:t xml:space="preserve"> </w:t>
      </w:r>
      <w:r>
        <w:t xml:space="preserve">confirmatorios de la investigación empírica (H1–H3), acompañados de una</w:t>
      </w:r>
      <w:r>
        <w:t xml:space="preserve"> </w:t>
      </w:r>
      <w:r>
        <w:t xml:space="preserve">proposición de reproducibilidad del protocolo (P1). A estas se añade una</w:t>
      </w:r>
      <w:r>
        <w:t xml:space="preserve"> </w:t>
      </w:r>
      <w:r>
        <w:t xml:space="preserve">proposición de carácter exploratorio (P2), cuyo estatuto diferenciado se declara</w:t>
      </w:r>
      <w:r>
        <w:t xml:space="preserve"> </w:t>
      </w:r>
      <w:r>
        <w:t xml:space="preserve">explícitamente al final de esta sección.</w:t>
      </w:r>
    </w:p>
    <w:p>
      <w:pPr>
        <w:pStyle w:val="Textoindependiente"/>
        <w:spacing w:line="360" w:lineRule="auto"/>
        <w:jc w:val="both"/>
      </w:pPr>
      <w:r>
        <w:rPr>
          <w:b/>
          <w:bCs/>
        </w:rPr>
        <w:t xml:space="preserve">H1 — Diferencias globales entre métodos (fidelidad)</w:t>
      </w:r>
    </w:p>
    <w:p>
      <w:pPr>
        <w:pStyle w:val="Textoindependiente"/>
        <w:spacing w:line="360" w:lineRule="auto"/>
        <w:jc w:val="both"/>
      </w:pPr>
      <ns1:oMath>
        <ns1:sSub>
          <ns1:e>
            <ns1:r>
              <ns1:t>H</ns1:t>
            </ns1:r>
          </ns1:e>
          <ns1:sub>
            <ns1:r>
              <ns1:t>0</ns1:t>
            </ns1:r>
            <ns1:r>
              <ns1:rPr>
                <ns1:sty ns1:val="p"/>
              </ns1:rPr>
              <ns1:t>,</ns1:t>
            </ns1:r>
            <ns1:r>
              <ns1:t>1</ns1:t>
            </ns1:r>
          </ns1:sub>
        </ns1:sSub>
      </ns1:oMath>
      <w:r>
        <w:t xml:space="preserve">: No existen diferencias significativas entre los métodos XAI en la</w:t>
      </w:r>
      <w:r>
        <w:t xml:space="preserve"> </w:t>
      </w:r>
      <w:r>
        <w:t xml:space="preserve">métrica de fidelidad bajo el diseño de bloques emparejados.</w:t>
      </w:r>
    </w:p>
    <w:p>
      <w:pPr>
        <w:pStyle w:val="Textoindependiente"/>
        <w:spacing w:line="360" w:lineRule="auto"/>
        <w:jc w:val="both"/>
      </w:pPr>
      <ns1:oMath>
        <ns1:sSub>
          <ns1:e>
            <ns1:r>
              <ns1:t>H</ns1:t>
            </ns1:r>
          </ns1:e>
          <ns1:sub>
            <ns1:r>
              <ns1:t>1</ns1:t>
            </ns1:r>
            <ns1:r>
              <ns1:rPr>
                <ns1:sty ns1:val="p"/>
              </ns1:rPr>
              <ns1:t>,</ns1:t>
            </ns1:r>
            <ns1:r>
              <ns1:t>1</ns1:t>
            </ns1:r>
          </ns1:sub>
        </ns1:sSub>
      </ns1:oMath>
      <w:r>
        <w:t xml:space="preserve">: Al menos un par de métodos difiere significativamente en fidelidad.</w:t>
      </w:r>
    </w:p>
    <w:p>
      <w:pPr>
        <w:pStyle w:val="Textoindependiente"/>
        <w:spacing w:line="360" w:lineRule="auto"/>
        <w:jc w:val="both"/>
      </w:pPr>
      <w:r>
        <w:rPr>
          <w:b/>
          <w:bCs/>
        </w:rPr>
        <w:t xml:space="preserve">H2 — Diferencias globales entre métodos (estabilidad)</w:t>
      </w:r>
    </w:p>
    <w:p>
      <w:pPr>
        <w:pStyle w:val="Textoindependiente"/>
        <w:spacing w:line="360" w:lineRule="auto"/>
        <w:jc w:val="both"/>
      </w:pPr>
      <ns1:oMath>
        <ns1:sSub>
          <ns1:e>
            <ns1:r>
              <ns1:t>H</ns1:t>
            </ns1:r>
          </ns1:e>
          <ns1:sub>
            <ns1:r>
              <ns1:t>0</ns1:t>
            </ns1:r>
            <ns1:r>
              <ns1:rPr>
                <ns1:sty ns1:val="p"/>
              </ns1:rPr>
              <ns1:t>,</ns1:t>
            </ns1:r>
            <ns1:r>
              <ns1:t>2</ns1:t>
            </ns1:r>
          </ns1:sub>
        </ns1:sSub>
      </ns1:oMath>
      <w:r>
        <w:t xml:space="preserve">: No existen diferencias significativas entre los métodos XAI en la</w:t>
      </w:r>
      <w:r>
        <w:t xml:space="preserve"> </w:t>
      </w:r>
      <w:r>
        <w:t xml:space="preserve">métrica de estabilidad bajo el diseño de bloques emparejados.</w:t>
      </w:r>
    </w:p>
    <w:p>
      <w:pPr>
        <w:pStyle w:val="Textoindependiente"/>
        <w:spacing w:line="360" w:lineRule="auto"/>
        <w:jc w:val="both"/>
      </w:pPr>
      <ns1:oMath>
        <ns1:sSub>
          <ns1:e>
            <ns1:r>
              <ns1:t>H</ns1:t>
            </ns1:r>
          </ns1:e>
          <ns1:sub>
            <ns1:r>
              <ns1:t>1</ns1:t>
            </ns1:r>
            <ns1:r>
              <ns1:rPr>
                <ns1:sty ns1:val="p"/>
              </ns1:rPr>
              <ns1:t>,</ns1:t>
            </ns1:r>
            <ns1:r>
              <ns1:t>2</ns1:t>
            </ns1:r>
          </ns1:sub>
        </ns1:sSub>
      </ns1:oMath>
      <w:r>
        <w:t xml:space="preserve">: Al menos un par de métodos difiere significativamente en estabilidad.</w:t>
      </w:r>
    </w:p>
    <w:p>
      <w:pPr>
        <w:pStyle w:val="Textoindependiente"/>
        <w:spacing w:line="360" w:lineRule="auto"/>
        <w:jc w:val="both"/>
      </w:pPr>
      <w:r>
        <w:rPr>
          <w:b/>
          <w:bCs/>
        </w:rPr>
        <w:t xml:space="preserve">H3 — Relación calidad-coste SHAP vs. LIME</w:t>
      </w:r>
    </w:p>
    <w:p>
      <w:pPr>
        <w:pStyle w:val="Textoindependiente"/>
        <w:spacing w:line="360" w:lineRule="auto"/>
        <w:jc w:val="both"/>
      </w:pPr>
      <ns1:oMath>
        <ns1:sSub>
          <ns1:e>
            <ns1:r>
              <ns1:t>H</ns1:t>
            </ns1:r>
          </ns1:e>
          <ns1:sub>
            <ns1:r>
              <ns1:t>0</ns1:t>
            </ns1:r>
            <ns1:r>
              <ns1:rPr>
                <ns1:sty ns1:val="p"/>
              </ns1:rPr>
              <ns1:t>,</ns1:t>
            </ns1:r>
            <ns1:r>
              <ns1:t>3</ns1:t>
            </ns1:r>
          </ns1:sub>
        </ns1:sSub>
      </ns1:oMath>
      <w:r>
        <w:t xml:space="preserve">: SHAP y LIME no difieren en las métricas de calidad ni en el coste</w:t>
      </w:r>
      <w:r>
        <w:t xml:space="preserve"> </w:t>
      </w:r>
      <w:r>
        <w:t xml:space="preserve">computacional sobre celdas pareadas.</w:t>
      </w:r>
    </w:p>
    <w:p>
      <w:pPr>
        <w:pStyle w:val="Textoindependiente"/>
        <w:spacing w:line="360" w:lineRule="auto"/>
        <w:jc w:val="both"/>
      </w:pPr>
      <ns1:oMath>
        <ns1:sSub>
          <ns1:e>
            <ns1:r>
              <ns1:t>H</ns1:t>
            </ns1:r>
          </ns1:e>
          <ns1:sub>
            <ns1:r>
              <ns1:t>1</ns1:t>
            </ns1:r>
            <ns1:r>
              <ns1:rPr>
                <ns1:sty ns1:val="p"/>
              </ns1:rPr>
              <ns1:t>,</ns1:t>
            </ns1:r>
            <ns1:r>
              <ns1:t>3</ns1:t>
            </ns1:r>
          </ns1:sub>
        </ns1:sSub>
      </ns1:oMath>
      <w:r>
        <w:t xml:space="preserve">: SHAP y LIME difieren significativamente en al menos una métrica de</w:t>
      </w:r>
      <w:r>
        <w:t xml:space="preserve"> </w:t>
      </w:r>
      <w:r>
        <w:t xml:space="preserve">calidad o en el coste computacional sobre celdas pareadas.</w:t>
      </w:r>
    </w:p>
    <w:p>
      <w:pPr>
        <w:pStyle w:val="Textoindependiente"/>
        <w:spacing w:line="360" w:lineRule="auto"/>
        <w:jc w:val="both"/>
      </w:pPr>
      <w:r>
        <w:rPr>
          <w:b/>
          <w:bCs/>
        </w:rPr>
        <w:t xml:space="preserve">P1 — Reproducibilidad del protocolo (proposición)</w:t>
      </w:r>
    </w:p>
    <w:p>
      <w:pPr>
        <w:pStyle w:val="Textoindependiente"/>
        <w:spacing w:line="360" w:lineRule="auto"/>
        <w:jc w:val="both"/>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spacing w:line="360" w:lineRule="auto"/>
        <w:jc w:val="both"/>
      </w:pPr>
      <w:r>
        <w:t xml:space="preserve">Las hipótesis H1 y H2 se contrastan mediante la prueba de Friedman con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p>
      <w:pPr>
        <w:pStyle w:val="Textoindependiente"/>
        <w:spacing w:line="360" w:lineRule="auto"/>
        <w:jc w:val="both"/>
      </w:pPr>
      <w:r>
        <w:rPr>
          <w:b/>
          <w:bCs/>
        </w:rPr>
        <w:t xml:space="preserve">P2 — Fiabilidad de los evaluadores semánticos (proposición exploratoria)</w:t>
      </w:r>
    </w:p>
    <w:p>
      <w:pPr>
        <w:pStyle w:val="Textoindependiente"/>
        <w:spacing w:line="360" w:lineRule="auto"/>
        <w:jc w:val="both"/>
      </w:pPr>
      <w:r>
        <w:t xml:space="preserve">Un conjunto de jueces basados en modelos de lenguaje, operando sobre una rúbrica</w:t>
      </w:r>
      <w:r>
        <w:t xml:space="preserve"> </w:t>
      </w:r>
      <w:r>
        <w:t xml:space="preserve">multidimensional sin especificación de destinatario ni criterio de corrección</w:t>
      </w:r>
      <w:r>
        <w:t xml:space="preserve"> </w:t>
      </w:r>
      <w:r>
        <w:t xml:space="preserve">verificable, alcanza una fiabilidad inter-juez igual o superior al umbral</w:t>
      </w:r>
      <w:r>
        <w:t xml:space="preserve"> </w:t>
      </w:r>
      <w:r>
        <w:t xml:space="preserve">convencionalmente aceptable de</w:t>
      </w:r>
      <w:r>
        <w:t xml:space="preserve"> </w:t>
      </w:r>
      <ns1:oMath>
        <ns1:r>
          <ns1:t>0.75</ns1:t>
        </ns1:r>
      </ns1:oMath>
      <w:r>
        <w:t xml:space="preserve"> </w:t>
      </w:r>
      <w:r>
        <w:t xml:space="preserve">(Koo and Li 2016)</w:t>
      </w:r>
      <w:r>
        <w:t xml:space="preserve">, medida mediante la correlación</w:t>
      </w:r>
      <w:r>
        <w:t xml:space="preserve"> </w:t>
      </w:r>
      <w:r>
        <w:t xml:space="preserve">intraclase y el</w:t>
      </w:r>
      <w:r>
        <w:t xml:space="preserve"> </w:t>
      </w:r>
      <ns1:oMath>
        <ns1:r>
          <ns1:t>α</ns1:t>
        </ns1:r>
      </ns1:oMath>
      <w:r>
        <w:t xml:space="preserve"> </w:t>
      </w:r>
      <w:r>
        <w:t xml:space="preserve">de Krippendorff</w:t>
      </w:r>
      <w:r>
        <w:t xml:space="preserve"> </w:t>
      </w:r>
      <w:r>
        <w:t xml:space="preserve">(Krippendorff 2018)</w:t>
      </w:r>
      <w:r>
        <w:t xml:space="preserve">. La proposición se</w:t>
      </w:r>
      <w:r>
        <w:t xml:space="preserve"> </w:t>
      </w:r>
      <w:r>
        <w:t xml:space="preserve">considera refutada si</w:t>
      </w:r>
      <w:r>
        <w:t xml:space="preserve"> </w:t>
      </w:r>
      <w:r>
        <w:t xml:space="preserve">alguna dimensión de la rúbrica queda por debajo de ese umbral.</w:t>
      </w:r>
    </w:p>
    <w:p>
      <w:pPr>
        <w:pStyle w:val="Textoindependiente"/>
        <w:spacing w:line="360" w:lineRule="auto"/>
        <w:jc w:val="both"/>
      </w:pPr>
      <w:r>
        <w:rPr>
          <w:b/>
          <w:bCs/>
        </w:rPr>
        <w:t xml:space="preserve">Estatuto epistémico diferenciado de P2.</w:t>
      </w:r>
      <w:r>
        <w:t xml:space="preserve"> </w:t>
      </w:r>
      <w:r>
        <w:t xml:space="preserve">P2 no forma parte del plan</w:t>
      </w:r>
      <w:r>
        <w:t xml:space="preserve"> </w:t>
      </w:r>
      <w:r>
        <w:t xml:space="preserve">inferencial congelado en la puerta 1 del protocolo FOM-7 y no comparte el</w:t>
      </w:r>
      <w:r>
        <w:t xml:space="preserve"> </w:t>
      </w:r>
      <w:r>
        <w:t xml:space="preserve">estatuto confirmativo de H1–H3 y P1. Se formuló con posterioridad, una vez que la</w:t>
      </w:r>
      <w:r>
        <w:t xml:space="preserve"> </w:t>
      </w:r>
      <w:r>
        <w:t xml:space="preserve">taxonomía del Capítulo 5 identificó la Brecha 3 —la evaluación semántica crece</w:t>
      </w:r>
      <w:r>
        <w:t xml:space="preserve"> </w:t>
      </w:r>
      <w:r>
        <w:t xml:space="preserve">más rápido que su base de validación empírica— y su función es calibrar un</w:t>
      </w:r>
      <w:r>
        <w:t xml:space="preserve"> </w:t>
      </w:r>
      <w:r>
        <w:rPr>
          <w:i/>
          <w:iCs/>
        </w:rPr>
        <w:t xml:space="preserve">instrumento de medida</w:t>
      </w:r>
      <w:r>
        <w:t xml:space="preserve">, no evaluar los métodos explicadores. Esta distinción se</w:t>
      </w:r>
      <w:r>
        <w:t xml:space="preserve"> </w:t>
      </w:r>
      <w:r>
        <w:t xml:space="preserve">declara aquí de forma explícita, y no</w:t>
      </w:r>
      <w:r>
        <w:t xml:space="preserve"> </w:t>
      </w:r>
      <w:r>
        <w:rPr>
          <w:i/>
          <w:iCs/>
        </w:rPr>
        <w:t xml:space="preserve">a posteriori</w:t>
      </w:r>
      <w:r>
        <w:t xml:space="preserve">, porque el propio protocolo</w:t>
      </w:r>
      <w:r>
        <w:t xml:space="preserve"> </w:t>
      </w:r>
      <w:r>
        <w:t xml:space="preserve">que esta tesis propone exige que el alcance inferencial admisible de cada</w:t>
      </w:r>
      <w:r>
        <w:t xml:space="preserve"> </w:t>
      </w:r>
      <w:r>
        <w:t xml:space="preserve">afirmación sea declarado junto con la afirmación misma: presentar P2 como si</w:t>
      </w:r>
      <w:r>
        <w:t xml:space="preserve"> </w:t>
      </w:r>
      <w:r>
        <w:t xml:space="preserve">hubiera sido preespecificada junto a H1–H3 sería precisamente el modo de fallo</w:t>
      </w:r>
      <w:r>
        <w:t xml:space="preserve"> </w:t>
      </w:r>
      <w:r>
        <w:t xml:space="preserve">que la puerta 7 está diseñada para impedir. En consecuencia, el resultado de P2</w:t>
      </w:r>
      <w:r>
        <w:t xml:space="preserve"> </w:t>
      </w:r>
      <w:r>
        <w:t xml:space="preserve">—cualquiera que sea— no modifica las conclusiones confirmativas de los Estudios A</w:t>
      </w:r>
      <w:r>
        <w:t xml:space="preserve"> </w:t>
      </w:r>
      <w:r>
        <w:t xml:space="preserve">y B, y se reporta como evidencia de calibración del instrumento semántico</w:t>
      </w:r>
      <w:r>
        <w:t xml:space="preserve"> </w:t>
      </w:r>
      <w:r>
        <w:t xml:space="preserve">(Capítulos 3, 5 y 6).</w:t>
      </w:r>
    </w:p>
    <w:bookmarkEnd w:id="33"/>
    <w:bookmarkEnd w:id="34"/>
    <w:bookmarkStart w:id="42" w:name="metodología-general-de-la-investigación"/>
    <w:p>
      <w:pPr>
        <w:pStyle w:val="Ttulo2"/>
        <w:spacing w:line="360" w:lineRule="auto"/>
        <w:jc w:val="both"/>
      </w:pPr>
      <w:r>
        <w:t xml:space="preserve">Metodología general de la investigación</w:t>
      </w:r>
    </w:p>
    <w:bookmarkStart w:id="35" w:name="enfoque"/>
    <w:p>
      <w:pPr>
        <w:pStyle w:val="Ttulo3"/>
        <w:spacing w:line="360" w:lineRule="auto"/>
        <w:jc w:val="both"/>
      </w:pPr>
      <w:r>
        <w:t xml:space="preserve">Enfoque</w:t>
      </w:r>
    </w:p>
    <w:p>
      <w:pPr>
        <w:pStyle w:val="FirstParagraph"/>
        <w:spacing w:line="360" w:lineRule="auto"/>
        <w:jc w:val="both"/>
      </w:pPr>
      <w:r>
        <w:t xml:space="preserve">Esta investigación adopta un enfoque cuantitativo-empírico con componente</w:t>
      </w:r>
      <w:r>
        <w:t xml:space="preserve"> </w:t>
      </w:r>
      <w:r>
        <w:t xml:space="preserve">teórico-taxonómico. El núcleo empírico de los Estudios A y B descansa en el</w:t>
      </w:r>
      <w:r>
        <w:t xml:space="preserve"> </w:t>
      </w:r>
      <w:r>
        <w:t xml:space="preserve">análisis estadístico de métricas computadas sobre experimentos controlados y</w:t>
      </w:r>
      <w:r>
        <w:t xml:space="preserve"> </w:t>
      </w:r>
      <w:r>
        <w:t xml:space="preserve">reproducibles, siguiendo una lógica hipotético-deductiva. El componente</w:t>
      </w:r>
      <w:r>
        <w:t xml:space="preserve"> </w:t>
      </w:r>
      <w:r>
        <w:t xml:space="preserve">taxonómico del Estudio C —que actúa como puente conceptual integrador— adopta</w:t>
      </w:r>
      <w:r>
        <w:t xml:space="preserve"> </w:t>
      </w:r>
      <w:r>
        <w:t xml:space="preserve">una metodología de revisión estructurada con codificación explícita de</w:t>
      </w:r>
      <w:r>
        <w:t xml:space="preserve"> </w:t>
      </w:r>
      <w:r>
        <w:t xml:space="preserve">dimensiones, siguiendo protocolos de síntesis narrativa rigurosa</w:t>
      </w:r>
      <w:r>
        <w:t xml:space="preserve"> </w:t>
      </w:r>
      <w:r>
        <w:t xml:space="preserve">(Linardatos 2020; Gilpin 2018; Schwalbe 2023; Abdul Kadir et al. 2023)</w:t>
      </w:r>
      <w:r>
        <w:t xml:space="preserve">.</w:t>
      </w:r>
    </w:p>
    <w:bookmarkEnd w:id="35"/>
    <w:bookmarkStart w:id="36" w:name="tipo-de-investigación"/>
    <w:p>
      <w:pPr>
        <w:pStyle w:val="Ttulo3"/>
        <w:spacing w:line="360" w:lineRule="auto"/>
        <w:jc w:val="both"/>
      </w:pPr>
      <w:r>
        <w:t xml:space="preserve">Tipo de investigación</w:t>
      </w:r>
    </w:p>
    <w:p>
      <w:pPr>
        <w:pStyle w:val="FirstParagraph"/>
        <w:spacing w:line="360" w:lineRule="auto"/>
        <w:jc w:val="both"/>
      </w:pPr>
      <w:r>
        <w:t xml:space="preserve">Los Estudios A y B corresponden a investigación comparativa-experimental no</w:t>
      </w:r>
      <w:r>
        <w:t xml:space="preserve"> </w:t>
      </w:r>
      <w:r>
        <w:t xml:space="preserve">intervencional: los métodos XAI son los factores de tratamiento, los modelos</w:t>
      </w:r>
      <w:r>
        <w:t xml:space="preserve"> </w:t>
      </w:r>
      <w:r>
        <w:t xml:space="preserve">predictivos son el contexto experimental y las métricas de calidad son las</w:t>
      </w:r>
      <w:r>
        <w:t xml:space="preserve"> </w:t>
      </w:r>
      <w:r>
        <w:t xml:space="preserve">variables de resultado. El Estudio C corresponde a una revisión sistemática</w:t>
      </w:r>
      <w:r>
        <w:t xml:space="preserve"> </w:t>
      </w:r>
      <w:r>
        <w:t xml:space="preserve">estructurada con propósito taxonómico y de síntesis de brechas de constructo en</w:t>
      </w:r>
      <w:r>
        <w:t xml:space="preserve"> </w:t>
      </w:r>
      <w:r>
        <w:t xml:space="preserve">el campo de la evaluación XAI.</w:t>
      </w:r>
    </w:p>
    <w:bookmarkEnd w:id="36"/>
    <w:bookmarkStart w:id="37" w:name="universo-y-contexto-experimental"/>
    <w:p>
      <w:pPr>
        <w:pStyle w:val="Ttulo3"/>
        <w:spacing w:line="360" w:lineRule="auto"/>
        <w:jc w:val="both"/>
      </w:pPr>
      <w:r>
        <w:t xml:space="preserve">Universo y contexto experimental</w:t>
      </w:r>
    </w:p>
    <w:p>
      <w:pPr>
        <w:pStyle w:val="FirstParagraph"/>
        <w:spacing w:line="360" w:lineRule="auto"/>
        <w:jc w:val="bot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and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37"/>
    <w:bookmarkStart w:id="38" w:name="Xdcd1be9d99c262f87a75615ad9164d40f630ac9"/>
    <w:p>
      <w:pPr>
        <w:pStyle w:val="Ttulo3"/>
        <w:spacing w:line="360" w:lineRule="auto"/>
        <w:jc w:val="both"/>
      </w:pPr>
      <w:r>
        <w:t xml:space="preserve">Muestra de datasets, modelos y métodos XAI</w:t>
      </w:r>
    </w:p>
    <w:p>
      <w:pPr>
        <w:pStyle w:val="FirstParagraph"/>
        <w:spacing w:line="360" w:lineRule="auto"/>
        <w:jc w:val="bot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w:t>
      </w:r>
      <w:r>
        <w:t xml:space="preserve"> </w:t>
      </w:r>
      <w:r>
        <w:t xml:space="preserve">(Friedman 2001)</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ns1:oMath>
        <ns1:r>
          <ns1:t>N</ns1:t>
        </ns1:r>
        <ns1:r>
          <ns1:rPr>
            <ns1:sty ns1:val="p"/>
          </ns1:rPr>
          <ns1:t>∈</ns1:t>
        </ns1:r>
        <ns1:r>
          <ns1:rPr>
            <ns1:sty ns1:val="p"/>
          </ns1:rPr>
          <ns1:t>{</ns1:t>
        </ns1:r>
        <ns1:r>
          <ns1:t>50</ns1:t>
        </ns1:r>
        <ns1:r>
          <ns1:rPr>
            <ns1:sty ns1:val="p"/>
          </ns1:rPr>
          <ns1:t>,</ns1:t>
        </ns1:r>
        <ns1:r>
          <ns1:t>100</ns1:t>
        </ns1:r>
        <ns1:r>
          <ns1:rPr>
            <ns1:sty ns1:val="p"/>
          </ns1:rPr>
          <ns1:t>,</ns1:t>
        </ns1:r>
        <ns1:r>
          <ns1:t>200</ns1:t>
        </ns1:r>
        <ns1:r>
          <ns1:rPr>
            <ns1:sty ns1:val="p"/>
          </ns1:rPr>
          <ns1:t>}</ns1:t>
        </ns1:r>
      </ns1:oMath>
      <w:r>
        <w:t xml:space="preserve">. Cada celda del diseño se replica con cinco semillas de</w:t>
      </w:r>
      <w:r>
        <w:t xml:space="preserve"> </w:t>
      </w:r>
      <w:r>
        <w:t xml:space="preserve">aleatoriedad:</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El tamaño planificado del</w:t>
      </w:r>
      <w:r>
        <w:t xml:space="preserve"> </w:t>
      </w:r>
      <w:r>
        <w:t xml:space="preserve">benchmark primario (Estudio A) es</w:t>
      </w:r>
      <w:r>
        <w:t xml:space="preserve"> </w:t>
      </w:r>
      <ns1:oMath>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oMath>
      <w:r>
        <w:t xml:space="preserve"> </w:t>
      </w:r>
      <w:r>
        <w:t xml:space="preserve">ejecuciones; el análisis pareado LIME-SHAP (Estudio B) opera sobre 75 celdas</w:t>
      </w:r>
      <w:r>
        <w:t xml:space="preserve"> </w:t>
      </w:r>
      <w:r>
        <w:t xml:space="preserve">coincidentes.</w:t>
      </w:r>
    </w:p>
    <w:bookmarkEnd w:id="38"/>
    <w:bookmarkStart w:id="39" w:name="criterios-de-inclusión-y-exclusión"/>
    <w:p>
      <w:pPr>
        <w:pStyle w:val="Ttulo3"/>
        <w:spacing w:line="360" w:lineRule="auto"/>
        <w:jc w:val="both"/>
      </w:pPr>
      <w:r>
        <w:t xml:space="preserve">Criterios de inclusión y exclusión</w:t>
      </w:r>
    </w:p>
    <w:p>
      <w:pPr>
        <w:pStyle w:val="FirstParagraph"/>
        <w:spacing w:line="360" w:lineRule="auto"/>
        <w:jc w:val="both"/>
      </w:pPr>
      <w:r>
        <w:rPr>
          <w:b/>
          <w:bCs/>
        </w:rPr>
        <w:t xml:space="preserve">Criterios de inclusión:</w:t>
      </w:r>
    </w:p>
    <w:p>
      <w:pPr>
        <w:pStyle w:val="Compact"/>
        <w:numPr>
          <w:ilvl w:val="0"/>
          <w:numId w:val="1002"/>
        </w:numPr>
        <w:spacing w:line="360" w:lineRule="auto"/>
        <w:jc w:val="both"/>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spacing w:line="360" w:lineRule="auto"/>
        <w:jc w:val="both"/>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spacing w:line="360" w:lineRule="auto"/>
        <w:jc w:val="both"/>
      </w:pPr>
      <w:r>
        <w:t xml:space="preserve">Celdas para las que existen artefactos en ambos métodos comparados (SHAP y</w:t>
      </w:r>
      <w:r>
        <w:t xml:space="preserve"> </w:t>
      </w:r>
      <w:r>
        <w:t xml:space="preserve">LIME) para el análisis pareado del Estudio B.</w:t>
      </w:r>
    </w:p>
    <w:p>
      <w:pPr>
        <w:pStyle w:val="FirstParagraph"/>
        <w:spacing w:line="360" w:lineRule="auto"/>
        <w:jc w:val="both"/>
      </w:pPr>
      <w:r>
        <w:rPr>
          <w:b/>
          <w:bCs/>
        </w:rPr>
        <w:t xml:space="preserve">Criterios de exclusión:</w:t>
      </w:r>
    </w:p>
    <w:p>
      <w:pPr>
        <w:pStyle w:val="Compact"/>
        <w:numPr>
          <w:ilvl w:val="0"/>
          <w:numId w:val="1003"/>
        </w:numPr>
        <w:spacing w:line="360" w:lineRule="auto"/>
        <w:jc w:val="both"/>
      </w:pPr>
      <w:r>
        <w:t xml:space="preserve">Artefactos vacíos o con esquema incompatible detectados en la auditoría de</w:t>
      </w:r>
      <w:r>
        <w:t xml:space="preserve"> </w:t>
      </w:r>
      <w:r>
        <w:t xml:space="preserve">integridad (puerta 3 del protocolo FOM-7).</w:t>
      </w:r>
    </w:p>
    <w:p>
      <w:pPr>
        <w:pStyle w:val="Compact"/>
        <w:numPr>
          <w:ilvl w:val="0"/>
          <w:numId w:val="1003"/>
        </w:numPr>
        <w:spacing w:line="360" w:lineRule="auto"/>
        <w:jc w:val="both"/>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spacing w:line="360" w:lineRule="auto"/>
        <w:jc w:val="both"/>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39"/>
    <w:bookmarkStart w:id="40" w:name="variables-dimensiones-y-métricas"/>
    <w:p>
      <w:pPr>
        <w:pStyle w:val="Ttulo3"/>
        <w:spacing w:line="360" w:lineRule="auto"/>
        <w:jc w:val="both"/>
      </w:pPr>
      <w:r>
        <w:t xml:space="preserve">Variables, dimensiones y métricas</w:t>
      </w:r>
    </w:p>
    <w:p>
      <w:pPr>
        <w:pStyle w:val="FirstParagraph"/>
        <w:spacing w:line="360" w:lineRule="auto"/>
        <w:jc w:val="both"/>
      </w:pPr>
      <w:r>
        <w:t xml:space="preserve">Las</w:t>
      </w:r>
      <w:r>
        <w:t xml:space="preserve"> </w:t>
      </w:r>
      <w:r>
        <w:rPr>
          <w:b/>
          <w:bCs/>
        </w:rPr>
        <w:t xml:space="preserve">variables independientes</w:t>
      </w:r>
      <w:r>
        <w:t xml:space="preserve"> </w:t>
      </w:r>
      <w:r>
        <w:t xml:space="preserve">del diseño son: familia de modelo (</w:t>
      </w:r>
      <ns1:oMath>
        <ns1:r>
          <ns1:t>g</ns1:t>
        </ns1:r>
      </ns1:oMath>
      <w:r>
        <w:t xml:space="preserve">), método</w:t>
      </w:r>
      <w:r>
        <w:t xml:space="preserve"> </w:t>
      </w:r>
      <w:r>
        <w:t xml:space="preserve">XAI (</w:t>
      </w:r>
      <ns1:oMath>
        <ns1:r>
          <ns1:t>k</ns1:t>
        </ns1:r>
      </ns1:oMath>
      <w:r>
        <w:t xml:space="preserve">), semilla de aleatoriedad (</w:t>
      </w:r>
      <ns1:oMath>
        <ns1:r>
          <ns1:t>s</ns1:t>
        </ns1:r>
      </ns1:oMath>
      <w:r>
        <w:t xml:space="preserve">) y tamaño de muestra por estrato (</w:t>
      </w:r>
      <ns1:oMath>
        <ns1:r>
          <ns1:t>n</ns1:t>
        </ns1:r>
      </ns1: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spacing w:line="360" w:lineRule="auto"/>
        <w:jc w:val="both"/>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spacing w:line="360" w:lineRule="auto"/>
        <w:jc w:val="both"/>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spacing w:line="360" w:lineRule="auto"/>
        <w:jc w:val="both"/>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spacing w:line="360" w:lineRule="auto"/>
        <w:jc w:val="both"/>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spacing w:line="360" w:lineRule="auto"/>
        <w:jc w:val="both"/>
      </w:pPr>
      <w:r>
        <w:rPr>
          <w:b/>
          <w:bCs/>
        </w:rPr>
        <w:t xml:space="preserve">Coste computacional</w:t>
      </w:r>
      <w:r>
        <w:t xml:space="preserve">: tiempo de ejecución en milisegundos por instancia</w:t>
      </w:r>
      <w:r>
        <w:t xml:space="preserve"> </w:t>
      </w:r>
      <w:r>
        <w:t xml:space="preserve">(dirección: menor es mejor).</w:t>
      </w:r>
    </w:p>
    <w:p>
      <w:pPr>
        <w:pStyle w:val="FirstParagraph"/>
        <w:spacing w:line="360" w:lineRule="auto"/>
        <w:jc w:val="both"/>
      </w:pPr>
      <w:r>
        <w:t xml:space="preserve">La unidad de análisis inferencial es la ejecución agregada a nivel de bloque</w:t>
      </w:r>
      <w:r>
        <w:t xml:space="preserve"> </w:t>
      </w:r>
      <ns1:oMath>
        <ns1:r>
          <ns1:rPr>
            <ns1:sty ns1:val="p"/>
          </ns1:rPr>
          <ns1:t>(</ns1:t>
        </ns1:r>
        <ns1:r>
          <ns1:t>g</ns1:t>
        </ns1:r>
        <ns1:r>
          <ns1:rPr>
            <ns1:sty ns1:val="p"/>
          </ns1:rPr>
          <ns1:t>,</ns1:t>
        </ns1:r>
        <ns1:r>
          <ns1:t>n</ns1:t>
        </ns1:r>
        <ns1:r>
          <ns1:rPr>
            <ns1:sty ns1:val="p"/>
          </ns1:rPr>
          <ns1:t>)</ns1:t>
        </ns1:r>
      </ns1:oMath>
      <w:r>
        <w:t xml:space="preserve">, evitando la pseudorreplicación a nivel de instancia.</w:t>
      </w:r>
    </w:p>
    <w:p>
      <w:pPr>
        <w:pStyle w:val="Textoindependiente"/>
        <w:spacing w:line="360" w:lineRule="auto"/>
        <w:jc w:val="both"/>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and Verbert 2024; Canha et al. 2025; Zheng et al. 2025)</w:t>
      </w:r>
      <w:r>
        <w:t xml:space="preserve">.</w:t>
      </w:r>
    </w:p>
    <w:bookmarkEnd w:id="40"/>
    <w:bookmarkStart w:id="41" w:name="estrategia-procedimental"/>
    <w:p>
      <w:pPr>
        <w:pStyle w:val="Ttulo3"/>
        <w:spacing w:line="360" w:lineRule="auto"/>
        <w:jc w:val="both"/>
      </w:pPr>
      <w:r>
        <w:t xml:space="preserve">Estrategia procedimental</w:t>
      </w:r>
    </w:p>
    <w:p>
      <w:pPr>
        <w:pStyle w:val="FirstParagraph"/>
        <w:spacing w:line="360" w:lineRule="auto"/>
        <w:jc w:val="bot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spacing w:line="360" w:lineRule="auto"/>
        <w:jc w:val="both"/>
      </w:pPr>
      <w:r>
        <w:t xml:space="preserve">Las siete puertas secuenciales son:</w:t>
      </w:r>
    </w:p>
    <w:p>
      <w:pPr>
        <w:pStyle w:val="Compact"/>
        <w:numPr>
          <w:ilvl w:val="0"/>
          <w:numId w:val="1005"/>
        </w:numPr>
        <w:spacing w:line="360" w:lineRule="auto"/>
        <w:jc w:val="both"/>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spacing w:line="360" w:lineRule="auto"/>
        <w:jc w:val="both"/>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spacing w:line="360" w:lineRule="auto"/>
        <w:jc w:val="both"/>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spacing w:line="360" w:lineRule="auto"/>
        <w:jc w:val="both"/>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spacing w:line="360" w:lineRule="auto"/>
        <w:jc w:val="both"/>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spacing w:line="360" w:lineRule="auto"/>
        <w:jc w:val="both"/>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spacing w:line="360" w:lineRule="auto"/>
        <w:jc w:val="both"/>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spacing w:line="360" w:lineRule="auto"/>
        <w:jc w:val="both"/>
      </w:pPr>
      <w:r>
        <w:t xml:space="preserve">Este capítulo ha establecido el problema doctoral, la pregunta de investigación,</w:t>
      </w:r>
      <w:r>
        <w:t xml:space="preserve"> </w:t>
      </w:r>
      <w:r>
        <w:t xml:space="preserve">los objetivos, las hipótesis y el diseño general que articula los tres estudios.</w:t>
      </w:r>
      <w:r>
        <w:t xml:space="preserve"> </w:t>
      </w:r>
      <w:r>
        <w:t xml:space="preserve">La consecuencia metodológica es que la tesis no puede limitarse a comparar</w:t>
      </w:r>
      <w:r>
        <w:t xml:space="preserve"> </w:t>
      </w:r>
      <w:r>
        <w:t xml:space="preserve">promedios de métodos XAI: debe justificar qué constructos se miden, bajo qué</w:t>
      </w:r>
      <w:r>
        <w:t xml:space="preserve"> </w:t>
      </w:r>
      <w:r>
        <w:t xml:space="preserve">condiciones y con qué alcance inferencial. El siguiente capítulo desarrolla ese</w:t>
      </w:r>
      <w:r>
        <w:t xml:space="preserve"> </w:t>
      </w:r>
      <w:r>
        <w:t xml:space="preserve">marco conceptual y convierte la necesidad empírica identificada aquí en una</w:t>
      </w:r>
      <w:r>
        <w:t xml:space="preserve"> </w:t>
      </w:r>
      <w:r>
        <w:t xml:space="preserve">brecha teórica que justifica FOM-7.</w:t>
      </w:r>
    </w:p>
    <w:p>
      <w:pPr>
        <w:pStyle w:val="Textoindependiente"/>
        <w:spacing w:line="360" w:lineRule="auto"/>
        <w:jc w:val="bot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1"/>
    <w:bookmarkEnd w:id="42"/>
    <w:bookmarkEnd w:id="43"/>
    <w:bookmarkStart w:id="59" w:name="X5df853d312351836bad75f10c25fdcfe7ebc358"/>
    <w:p>
      <w:pPr>
        <w:pStyle w:val="Ttulo1"/>
        <w:spacing w:line="360" w:lineRule="auto"/>
        <w:jc w:val="both"/>
      </w:pPr>
      <w:r>
        <w:t xml:space="preserve">Marco teórico específico / fundamentos conceptuales</w:t>
      </w:r>
    </w:p>
    <w:bookmarkStart w:id="44" w:name="propósito-del-capítulo"/>
    <w:p>
      <w:pPr>
        <w:pStyle w:val="Ttulo2"/>
        <w:spacing w:line="360" w:lineRule="auto"/>
        <w:jc w:val="both"/>
      </w:pPr>
      <w:r>
        <w:t xml:space="preserve">Propósito del capítulo</w:t>
      </w:r>
    </w:p>
    <w:p>
      <w:pPr>
        <w:pStyle w:val="FirstParagraph"/>
        <w:spacing w:line="360" w:lineRule="auto"/>
        <w:jc w:val="both"/>
      </w:pPr>
      <w:r>
        <w:t xml:space="preserve">Este capítulo establece el marco conceptual específico que sostiene la</w:t>
      </w:r>
      <w:r>
        <w:t xml:space="preserve"> </w:t>
      </w:r>
      <w:r>
        <w:t xml:space="preserve">propuesta FOM-7. Su función no es solamente definir la Inteligencia Artificial</w:t>
      </w:r>
      <w:r>
        <w:t xml:space="preserve"> </w:t>
      </w:r>
      <w:r>
        <w:t xml:space="preserve">Explicable (XAI), sino mostrar por qué la evaluación de explicaciones requiere</w:t>
      </w:r>
      <w:r>
        <w:t xml:space="preserve"> </w:t>
      </w:r>
      <w:r>
        <w:t xml:space="preserve">un protocolo operativo que conecte diseño experimental, calificación de</w:t>
      </w:r>
      <w:r>
        <w:t xml:space="preserve"> </w:t>
      </w:r>
      <w:r>
        <w:t xml:space="preserve">artefactos, selección de métricas, admisibilidad estadística, reproducibilidad y</w:t>
      </w:r>
      <w:r>
        <w:t xml:space="preserve"> </w:t>
      </w:r>
      <w:r>
        <w:t xml:space="preserve">trazabilidad de afirmaciones. La tesis parte de una observación central: la</w:t>
      </w:r>
      <w:r>
        <w:t xml:space="preserve"> </w:t>
      </w:r>
      <w:r>
        <w:t xml:space="preserve">literatura dispone de métodos de explicación maduros y de toolkits de</w:t>
      </w:r>
      <w:r>
        <w:t xml:space="preserve"> </w:t>
      </w:r>
      <w:r>
        <w:t xml:space="preserve">evaluación cada vez más sofisticados, pero aún persiste una brecha entre la</w:t>
      </w:r>
      <w:r>
        <w:t xml:space="preserve"> </w:t>
      </w:r>
      <w:r>
        <w:t xml:space="preserve">existencia de métricas y la construcción de evidencia doctoralmente defendible.</w:t>
      </w:r>
    </w:p>
    <w:p>
      <w:pPr>
        <w:pStyle w:val="Textoindependiente"/>
        <w:spacing w:line="360" w:lineRule="auto"/>
        <w:jc w:val="both"/>
      </w:pPr>
      <w:r>
        <w:t xml:space="preserve">En este sentido, el capítulo organiza la revisión en siete ejes. Primero,</w:t>
      </w:r>
      <w:r>
        <w:t xml:space="preserve"> </w:t>
      </w:r>
      <w:r>
        <w:t xml:space="preserve">reconstruye el desarrollo histórico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métodos evaluados en esta tesis: LIME, SHAP, Anchors y DiCE. Cuarto,</w:t>
      </w:r>
      <w:r>
        <w:t xml:space="preserve"> </w:t>
      </w:r>
      <w:r>
        <w:t xml:space="preserve">analiza marcos de evaluación como Quantus, OpenXAI y la taxonomía de</w:t>
      </w:r>
      <w:r>
        <w:t xml:space="preserve"> </w:t>
      </w:r>
      <w:r>
        <w:t xml:space="preserve">evaluación propuesta por</w:t>
      </w:r>
      <w:r>
        <w:t xml:space="preserve"> </w:t>
      </w:r>
      <w:r>
        <w:t xml:space="preserve">Doshi-Velez (2017)</w:t>
      </w:r>
      <w:r>
        <w:t xml:space="preserve">. Quinto, sintetiza familias de</w:t>
      </w:r>
      <w:r>
        <w:t xml:space="preserve"> </w:t>
      </w:r>
      <w:r>
        <w:t xml:space="preserve">métricas y brechas de constructo. Sexto, vincula reproducibilidad y trazabilidad</w:t>
      </w:r>
      <w:r>
        <w:t xml:space="preserve"> </w:t>
      </w:r>
      <w:r>
        <w:t xml:space="preserve">con benchmarking XAI. Finalmente, formula la brecha crítica que justifica</w:t>
      </w:r>
      <w:r>
        <w:t xml:space="preserve"> </w:t>
      </w:r>
      <w:r>
        <w:t xml:space="preserve">FOM-7.</w:t>
      </w:r>
    </w:p>
    <w:bookmarkEnd w:id="44"/>
    <w:bookmarkStart w:id="45" w:name="Xe6760546a452d6306b93a783545f3c51ee07c22"/>
    <w:p>
      <w:pPr>
        <w:pStyle w:val="Ttulo2"/>
        <w:spacing w:line="360" w:lineRule="auto"/>
        <w:jc w:val="both"/>
      </w:pPr>
      <w:r>
        <w:t xml:space="preserve">Desarrollo histórico de la interpretabilidad y la XAI</w:t>
      </w:r>
    </w:p>
    <w:p>
      <w:pPr>
        <w:pStyle w:val="FirstParagraph"/>
        <w:spacing w:line="360" w:lineRule="auto"/>
        <w:jc w:val="both"/>
      </w:pPr>
      <w:r>
        <w:t xml:space="preserve">La interpretabilidad en aprendizaje automático no surge como una preocupación</w:t>
      </w:r>
      <w:r>
        <w:t xml:space="preserve"> </w:t>
      </w:r>
      <w:r>
        <w:t xml:space="preserve">posterior a los modelos modernos, sino como una condición histórica de muchos</w:t>
      </w:r>
      <w:r>
        <w:t xml:space="preserve"> </w:t>
      </w:r>
      <w:r>
        <w:t xml:space="preserve">modelos estadísticos y simbólicos. La regresión lineal, los árboles de decisión</w:t>
      </w:r>
      <w:r>
        <w:t xml:space="preserve"> </w:t>
      </w:r>
      <w:r>
        <w:t xml:space="preserve">pequeños, los sistemas basados en reglas y algunos modelos aditivos permiten</w:t>
      </w:r>
      <w:r>
        <w:t xml:space="preserve"> </w:t>
      </w:r>
      <w:r>
        <w:t xml:space="preserve">inspeccionar directamente los parámetros, reglas o relaciones que conducen a una</w:t>
      </w:r>
      <w:r>
        <w:t xml:space="preserve"> </w:t>
      </w:r>
      <w:r>
        <w:t xml:space="preserve">predicción.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tradición se asocia con modelos</w:t>
      </w:r>
      <w:r>
        <w:t xml:space="preserve"> </w:t>
      </w:r>
      <w:r>
        <w:t xml:space="preserve">intrínsecamente interpretables</w:t>
      </w:r>
      <w:r>
        <w:t xml:space="preserve"> </w:t>
      </w:r>
      <w:r>
        <w:t xml:space="preserve">(Lipton 2018; Arrieta 2019)</w:t>
      </w:r>
      <w:r>
        <w:t xml:space="preserve">.</w:t>
      </w:r>
    </w:p>
    <w:p>
      <w:pPr>
        <w:pStyle w:val="Textoindependiente"/>
        <w:spacing w:line="360" w:lineRule="auto"/>
        <w:jc w:val="both"/>
      </w:pPr>
      <w:r>
        <w:t xml:space="preserve">El punto doctoralmente relevante es que la interpretabilidad inicial estaba</w:t>
      </w:r>
      <w:r>
        <w:t xml:space="preserve"> </w:t>
      </w:r>
      <w:r>
        <w:t xml:space="preserve">ligada a una relación directa entre representación, inferencia y comunicación.</w:t>
      </w:r>
      <w:r>
        <w:t xml:space="preserve"> </w:t>
      </w:r>
      <w:r>
        <w:t xml:space="preserve">Cuando un modelo lineal asigna coeficientes a variables observables, la</w:t>
      </w:r>
      <w:r>
        <w:t xml:space="preserve"> </w:t>
      </w:r>
      <w:r>
        <w:t xml:space="preserve">explicación puede apoyarse en el mismo lenguaje que el modelo utiliza para</w:t>
      </w:r>
      <w:r>
        <w:t xml:space="preserve"> </w:t>
      </w:r>
      <w:r>
        <w:t xml:space="preserve">predecir. Cuando un árbol de decisión pequeño separa casos mediante reglas, el</w:t>
      </w:r>
      <w:r>
        <w:t xml:space="preserve"> </w:t>
      </w:r>
      <w:r>
        <w:t xml:space="preserve">camino desde la raíz hasta una hoja puede funcionar como una narración de la</w:t>
      </w:r>
      <w:r>
        <w:t xml:space="preserve"> </w:t>
      </w:r>
      <w:r>
        <w:t xml:space="preserve">decisión. Esta cercanía entre mecanismo y explicación reduce la necesidad de un</w:t>
      </w:r>
      <w:r>
        <w:t xml:space="preserve"> </w:t>
      </w:r>
      <w:r>
        <w:t xml:space="preserve">segundo artefacto interpretativo. Sin embargo, también limita la clase de</w:t>
      </w:r>
      <w:r>
        <w:t xml:space="preserve"> </w:t>
      </w:r>
      <w:r>
        <w:t xml:space="preserve">patrones que el modelo puede capturar. La historia de la XAI se entiende mejor</w:t>
      </w:r>
      <w:r>
        <w:t xml:space="preserve"> </w:t>
      </w:r>
      <w:r>
        <w:t xml:space="preserve">como una tensión continua entre expresividad predictiva, transparencia</w:t>
      </w:r>
      <w:r>
        <w:t xml:space="preserve"> </w:t>
      </w:r>
      <w:r>
        <w:t xml:space="preserve">estructural y utilidad humana</w:t>
      </w:r>
      <w:r>
        <w:t xml:space="preserve"> </w:t>
      </w:r>
      <w:r>
        <w:t xml:space="preserve">(Arrieta 2019; Lipton 2018)</w:t>
      </w:r>
      <w:r>
        <w:t xml:space="preserve">.</w:t>
      </w:r>
    </w:p>
    <w:p>
      <w:pPr>
        <w:pStyle w:val="Textoindependiente"/>
        <w:spacing w:line="360" w:lineRule="auto"/>
        <w:jc w:val="both"/>
      </w:pPr>
      <w:r>
        <w:t xml:space="preserve">El desplazamiento hacia modelos de mayor capacidad predictiva modificó este</w:t>
      </w:r>
      <w:r>
        <w:t xml:space="preserve"> </w:t>
      </w:r>
      <w:r>
        <w:t xml:space="preserve">equilibrio. Los ensambles, los métodos kernel, las redes neuronales profundas y</w:t>
      </w:r>
      <w:r>
        <w:t xml:space="preserve"> </w:t>
      </w:r>
      <w:r>
        <w:t xml:space="preserve">otros modelos de alta dimensionalidad aumentaron la precisión en tareas</w:t>
      </w:r>
      <w:r>
        <w:t xml:space="preserve"> </w:t>
      </w:r>
      <w:r>
        <w:t xml:space="preserve">complejas, pero hicieron menos accesible la lógica interna de decisión.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tensión entre rendimiento y comprensibilidad aparece de forma</w:t>
      </w:r>
      <w:r>
        <w:t xml:space="preserve"> </w:t>
      </w:r>
      <w:r>
        <w:t xml:space="preserve">recurrente en revisiones de XAI e interpretabilidad</w:t>
      </w:r>
      <w:r>
        <w:t xml:space="preserve"> </w:t>
      </w:r>
      <w:r>
        <w:t xml:space="preserve">(Arrieta 2019; Linardatos 2020; Canha et al. 2025)</w:t>
      </w:r>
      <w:r>
        <w:t xml:space="preserve">.</w:t>
      </w:r>
    </w:p>
    <w:p>
      <w:pPr>
        <w:pStyle w:val="Textoindependiente"/>
        <w:spacing w:line="360" w:lineRule="auto"/>
        <w:jc w:val="both"/>
      </w:pPr>
      <w:r>
        <w:t xml:space="preserve">Este desplazamiento no debe interpretarse como una oposición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crítica ha mostrado que la interpretabilidad es una noción plural: puede</w:t>
      </w:r>
      <w:r>
        <w:t xml:space="preserve"> </w:t>
      </w:r>
      <w:r>
        <w:t xml:space="preserve">referirse a simulabilidad, descomponibilidad, transparencia algorítmica,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w:t>
      </w:r>
      <w:r>
        <w:t xml:space="preserve">. Por tanto,</w:t>
      </w:r>
      <w:r>
        <w:t xml:space="preserve"> </w:t>
      </w:r>
      <w:r>
        <w:t xml:space="preserve">un modelo no es interpretable o no interpretable en abstracto; lo es respecto a</w:t>
      </w:r>
      <w:r>
        <w:t xml:space="preserve"> </w:t>
      </w:r>
      <w:r>
        <w:t xml:space="preserve">un destinatario, una tarea, una escala de análisis y un criterio de éxito. Esta</w:t>
      </w:r>
      <w:r>
        <w:t xml:space="preserve"> </w:t>
      </w:r>
      <w:r>
        <w:t xml:space="preserve">observación será importante para FOM-7, porque impide convertir la evaluación</w:t>
      </w:r>
      <w:r>
        <w:t xml:space="preserve"> </w:t>
      </w:r>
      <w:r>
        <w:t xml:space="preserve">XAI en una competencia única donde todos los métodos se ordenan bajo una misma</w:t>
      </w:r>
      <w:r>
        <w:t xml:space="preserve"> </w:t>
      </w:r>
      <w:r>
        <w:t xml:space="preserve">noción de calidad.</w:t>
      </w:r>
    </w:p>
    <w:p>
      <w:pPr>
        <w:pStyle w:val="Textoindependiente"/>
        <w:spacing w:line="360" w:lineRule="auto"/>
        <w:jc w:val="both"/>
      </w:pPr>
      <w:r>
        <w:t xml:space="preserve">La expansión de modelos de caja negra también modificó la forma en que se</w:t>
      </w:r>
      <w:r>
        <w:t xml:space="preserve"> </w:t>
      </w:r>
      <w:r>
        <w:t xml:space="preserve">construyen responsabilidades epistémicas. En un modelo transparente, el analista</w:t>
      </w:r>
      <w:r>
        <w:t xml:space="preserve"> </w:t>
      </w:r>
      <w:r>
        <w:t xml:space="preserve">puede examinar directamente parte del mecanismo. En un modelo de caja negra, la</w:t>
      </w:r>
      <w:r>
        <w:t xml:space="preserve"> </w:t>
      </w:r>
      <w:r>
        <w:t xml:space="preserve">explicación se vuelve mediada: depende de consultas, perturbaciones, gradientes,</w:t>
      </w:r>
      <w:r>
        <w:t xml:space="preserve"> </w:t>
      </w:r>
      <w:r>
        <w:t xml:space="preserve">aproximaciones locales, reglas inducidas o contrafactuales generados. Esa</w:t>
      </w:r>
      <w:r>
        <w:t xml:space="preserve"> </w:t>
      </w:r>
      <w:r>
        <w:t xml:space="preserve">mediación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separación entre modelo predictivo y artefacto explicativo</w:t>
      </w:r>
      <w:r>
        <w:t xml:space="preserve"> </w:t>
      </w:r>
      <w:r>
        <w:t xml:space="preserve">(Linardatos 2020; Doshi-Velez 2017)</w:t>
      </w:r>
      <w:r>
        <w:t xml:space="preserve">.</w:t>
      </w:r>
    </w:p>
    <w:p>
      <w:pPr>
        <w:pStyle w:val="Textoindependiente"/>
        <w:spacing w:line="360" w:lineRule="auto"/>
        <w:jc w:val="both"/>
      </w:pPr>
      <w:r>
        <w:t xml:space="preserve">La respuesta metodológica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decisión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precisión que buscan condiciones suficientes para una predicción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permitirían obtener una decisión</w:t>
      </w:r>
      <w:r>
        <w:t xml:space="preserve"> </w:t>
      </w:r>
      <w:r>
        <w:t xml:space="preserve">diferente</w:t>
      </w:r>
      <w:r>
        <w:t xml:space="preserve"> </w:t>
      </w:r>
      <w:r>
        <w:t xml:space="preserve">(Mothilal 2020)</w:t>
      </w:r>
      <w:r>
        <w:t xml:space="preserve">. Estos métodos no explican el modelo en el mismo</w:t>
      </w:r>
      <w:r>
        <w:t xml:space="preserve"> </w:t>
      </w:r>
      <w:r>
        <w:t xml:space="preserve">sentido; producen objetos explicativos distintos, con supuestos y criterios de</w:t>
      </w:r>
      <w:r>
        <w:t xml:space="preserve"> </w:t>
      </w:r>
      <w:r>
        <w:t xml:space="preserve">evaluación diferentes.</w:t>
      </w:r>
    </w:p>
    <w:p>
      <w:pPr>
        <w:pStyle w:val="Textoindependiente"/>
        <w:spacing w:line="360" w:lineRule="auto"/>
        <w:jc w:val="both"/>
      </w:pPr>
      <w:r>
        <w:t xml:space="preserve">La alternativa a explicar</w:t>
      </w:r>
      <w:r>
        <w:t xml:space="preserve"> </w:t>
      </w:r>
      <w:r>
        <w:rPr>
          <w:i/>
          <w:iCs/>
        </w:rPr>
        <w:t xml:space="preserve">a posteriori</w:t>
      </w:r>
      <w:r>
        <w:t xml:space="preserve"> </w:t>
      </w:r>
      <w:r>
        <w:t xml:space="preserve">es diseñar modelos intrínsecamente</w:t>
      </w:r>
      <w:r>
        <w:t xml:space="preserve"> </w:t>
      </w:r>
      <w:r>
        <w:t xml:space="preserve">interpretables. Esta posición ha sido defendida con fuerza para decisiones de</w:t>
      </w:r>
      <w:r>
        <w:t xml:space="preserve"> </w:t>
      </w:r>
      <w:r>
        <w:t xml:space="preserve">alto riesgo, argumentando que la explicación post-hoc de una caja negra no</w:t>
      </w:r>
      <w:r>
        <w:t xml:space="preserve"> </w:t>
      </w:r>
      <w:r>
        <w:t xml:space="preserve">sustituye a un modelo comprensible por construcción</w:t>
      </w:r>
      <w:r>
        <w:t xml:space="preserve"> </w:t>
      </w:r>
      <w:r>
        <w:t xml:space="preserve">(Rudin 2019)</w:t>
      </w:r>
      <w:r>
        <w:t xml:space="preserve">, y se ha</w:t>
      </w:r>
      <w:r>
        <w:t xml:space="preserve"> </w:t>
      </w:r>
      <w:r>
        <w:t xml:space="preserve">materializado en arquitecturas que incorporan la interpretabilidad como</w:t>
      </w:r>
      <w:r>
        <w:t xml:space="preserve"> </w:t>
      </w:r>
      <w:r>
        <w:t xml:space="preserve">restricción de diseño: modelos con cuello de botella conceptual</w:t>
      </w:r>
      <w:r>
        <w:t xml:space="preserve"> </w:t>
      </w:r>
      <w:r>
        <w:t xml:space="preserve">(Koh et al. 2020)</w:t>
      </w:r>
      <w:r>
        <w:t xml:space="preserve">,</w:t>
      </w:r>
      <w:r>
        <w:t xml:space="preserve"> </w:t>
      </w:r>
      <w:r>
        <w:t xml:space="preserve">redes con características monótonas</w:t>
      </w:r>
      <w:r>
        <w:t xml:space="preserve"> </w:t>
      </w:r>
      <w:r>
        <w:t xml:space="preserve">(Nguyen and Martinez 2019)</w:t>
      </w:r>
      <w:r>
        <w:t xml:space="preserve">, arquitecturas prototípicas</w:t>
      </w:r>
      <w:r>
        <w:t xml:space="preserve"> </w:t>
      </w:r>
      <w:r>
        <w:t xml:space="preserve">(Hess and Ditzler 2023)</w:t>
      </w:r>
      <w:r>
        <w:t xml:space="preserve"> </w:t>
      </w:r>
      <w:r>
        <w:t xml:space="preserve">o representaciones funcionales explícitas</w:t>
      </w:r>
      <w:r>
        <w:t xml:space="preserve"> </w:t>
      </w:r>
      <w:r>
        <w:t xml:space="preserve">(Liu et al. 2024)</w:t>
      </w:r>
      <w:r>
        <w:t xml:space="preserve">. En paralelo,</w:t>
      </w:r>
      <w:r>
        <w:t xml:space="preserve"> </w:t>
      </w:r>
      <w:r>
        <w:t xml:space="preserve">una línea formal explora la explicabilidad basada en lógica, con garantías de</w:t>
      </w:r>
      <w:r>
        <w:t xml:space="preserve"> </w:t>
      </w:r>
      <w:r>
        <w:t xml:space="preserve">corrección de las que carecen los métodos aproximados</w:t>
      </w:r>
      <w:r>
        <w:t xml:space="preserve"> </w:t>
      </w:r>
      <w:r>
        <w:t xml:space="preserve">(Marques-Silva 2024)</w:t>
      </w:r>
      <w:r>
        <w:t xml:space="preserve">. Esta</w:t>
      </w:r>
      <w:r>
        <w:t xml:space="preserve"> </w:t>
      </w:r>
      <w:r>
        <w:t xml:space="preserve">tesis no adopta esa vía —su objeto son explicadores agnósticos aplicados a</w:t>
      </w:r>
      <w:r>
        <w:t xml:space="preserve"> </w:t>
      </w:r>
      <w:r>
        <w:t xml:space="preserve">modelos ya entrenados— pero la frontera importa para interpretar sus resultados:</w:t>
      </w:r>
      <w:r>
        <w:t xml:space="preserve"> </w:t>
      </w:r>
      <w:r>
        <w:t xml:space="preserve">la crítica de fondo, que las explicaciones aproximadas pueden ser plausibles sin</w:t>
      </w:r>
      <w:r>
        <w:t xml:space="preserve"> </w:t>
      </w:r>
      <w:r>
        <w:t xml:space="preserve">ser fieles, es exactamente la que motiva medir fidelidad en lugar de suponerla.</w:t>
      </w:r>
      <w:r>
        <w:t xml:space="preserve"> </w:t>
      </w:r>
      <w:r>
        <w:t xml:space="preserve">Advertencias equivalentes se han formulado sobre el uso de mecanismos internos</w:t>
      </w:r>
      <w:r>
        <w:t xml:space="preserve"> </w:t>
      </w:r>
      <w:r>
        <w:t xml:space="preserve">del modelo, como la atención, en calidad de explicación</w:t>
      </w:r>
      <w:r>
        <w:t xml:space="preserve"> </w:t>
      </w:r>
      <w:r>
        <w:t xml:space="preserve">(Bastings and Filippova 2020)</w:t>
      </w:r>
      <w:r>
        <w:t xml:space="preserve">.</w:t>
      </w:r>
    </w:p>
    <w:p>
      <w:pPr>
        <w:pStyle w:val="Textoindependiente"/>
        <w:spacing w:line="360" w:lineRule="auto"/>
        <w:jc w:val="both"/>
      </w:pPr>
      <w:r>
        <w:t xml:space="preserve">La categoría post-hoc, sin embargo, cubre familias heterogéneas. Las</w:t>
      </w:r>
      <w:r>
        <w:t xml:space="preserve"> </w:t>
      </w:r>
      <w:r>
        <w:t xml:space="preserve">atribuciones asignan importancia a características;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cambiarían una decisión; las visualizaciones</w:t>
      </w:r>
      <w:r>
        <w:t xml:space="preserve"> </w:t>
      </w:r>
      <w:r>
        <w:t xml:space="preserve">representan patrones agregados o activaciones —como las curvas de expectativa</w:t>
      </w:r>
      <w:r>
        <w:t xml:space="preserve"> </w:t>
      </w:r>
      <w:r>
        <w:t xml:space="preserve">condicional individual</w:t>
      </w:r>
      <w:r>
        <w:t xml:space="preserve"> </w:t>
      </w:r>
      <w:r>
        <w:t xml:space="preserve">(Goldstein 2014)</w:t>
      </w:r>
      <w:r>
        <w:t xml:space="preserve"> </w:t>
      </w:r>
      <w:r>
        <w:t xml:space="preserve">o los gráficos de efectos locales</w:t>
      </w:r>
      <w:r>
        <w:t xml:space="preserve"> </w:t>
      </w:r>
      <w:r>
        <w:t xml:space="preserve">acumulados</w:t>
      </w:r>
      <w:r>
        <w:t xml:space="preserve"> </w:t>
      </w:r>
      <w:r>
        <w:t xml:space="preserve">(Apley 2020)</w:t>
      </w:r>
      <w:r>
        <w:t xml:space="preserve">, que describen el efecto marginal de una característica</w:t>
      </w:r>
      <w:r>
        <w:t xml:space="preserve"> </w:t>
      </w:r>
      <w:r>
        <w:t xml:space="preserve">sobre el conjunto de datos en lugar de atribuir importancia a una predicción</w:t>
      </w:r>
      <w:r>
        <w:t xml:space="preserve"> </w:t>
      </w:r>
      <w:r>
        <w:t xml:space="preserve">concreta—. Esta pluralidad es una fortaleza</w:t>
      </w:r>
      <w:r>
        <w:t xml:space="preserve"> </w:t>
      </w:r>
      <w:r>
        <w:t xml:space="preserve">del campo, porque permite adaptar la explicación a objetivos distintos. Pero</w:t>
      </w:r>
      <w:r>
        <w:t xml:space="preserve"> </w:t>
      </w:r>
      <w:r>
        <w:t xml:space="preserve">también es una fuente de dificultad evaluativa: una métrica apropiada para</w:t>
      </w:r>
      <w:r>
        <w:t xml:space="preserve"> </w:t>
      </w:r>
      <w:r>
        <w:t xml:space="preserve">atribuciones no necesariamente evalúa bien reglas, y una métrica orientada a</w:t>
      </w:r>
      <w:r>
        <w:t xml:space="preserve"> </w:t>
      </w:r>
      <w:r>
        <w:t xml:space="preserve">validez contrafactual no necesariamente mide fidelidad local de un sustituto</w:t>
      </w:r>
      <w:r>
        <w:t xml:space="preserve"> </w:t>
      </w:r>
      <w:r>
        <w:t xml:space="preserve">(Arrieta 2019; Hedström et al. 2023)</w:t>
      </w:r>
      <w:r>
        <w:t xml:space="preserve">. Esta tesis acota su evaluación a explicaciones</w:t>
      </w:r>
      <w:r>
        <w:t xml:space="preserve"> </w:t>
      </w:r>
      <w:r>
        <w:t xml:space="preserve">locales por instancia, de modo que las familias de visualización global antes</w:t>
      </w:r>
      <w:r>
        <w:t xml:space="preserve"> </w:t>
      </w:r>
      <w:r>
        <w:t xml:space="preserve">citadas quedan fuera de su alcance experimental.</w:t>
      </w:r>
    </w:p>
    <w:p>
      <w:pPr>
        <w:pStyle w:val="Textoindependiente"/>
        <w:spacing w:line="360" w:lineRule="auto"/>
        <w:jc w:val="both"/>
      </w:pPr>
      <w:r>
        <w:t xml:space="preserve">La literatura también distingue métodos agnósticos y específicos del modelo</w:t>
      </w:r>
      <w:r>
        <w:t xml:space="preserve"> </w:t>
      </w:r>
      <w:r>
        <w:t xml:space="preserve">(Arrieta 2019; Linardatos 2020)</w:t>
      </w:r>
      <w:r>
        <w:t xml:space="preserve">. Los métodos agnósticos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métodos</w:t>
      </w:r>
      <w:r>
        <w:t xml:space="preserve"> </w:t>
      </w:r>
      <w:r>
        <w:t xml:space="preserve">específicos aprovechan propiedades internas de familias concretas de modelos,</w:t>
      </w:r>
      <w:r>
        <w:t xml:space="preserve"> </w:t>
      </w:r>
      <w:r>
        <w:t xml:space="preserve">por ejemplo estructuras de árboles o gradientes en redes neuronales. La tensión</w:t>
      </w:r>
      <w:r>
        <w:t xml:space="preserve"> </w:t>
      </w:r>
      <w:r>
        <w:t xml:space="preserve">entre generalidad y fidelidad es una de las razones por las que la evaluación</w:t>
      </w:r>
      <w:r>
        <w:t xml:space="preserve"> </w:t>
      </w:r>
      <w:r>
        <w:t xml:space="preserve">XAI no puede reducirse a una sola métrica</w:t>
      </w:r>
      <w:r>
        <w:t xml:space="preserve"> </w:t>
      </w:r>
      <w:r>
        <w:t xml:space="preserve">(Doshi-Velez 2017; Hedström et al. 2023)</w:t>
      </w:r>
      <w:r>
        <w:t xml:space="preserve">.</w:t>
      </w:r>
    </w:p>
    <w:p>
      <w:pPr>
        <w:pStyle w:val="Textoindependiente"/>
        <w:spacing w:line="360" w:lineRule="auto"/>
        <w:jc w:val="both"/>
      </w:pPr>
      <w:r>
        <w:t xml:space="preserve">Esta distinción histórica es especialmente importante para la tesis porque los</w:t>
      </w:r>
      <w:r>
        <w:t xml:space="preserve"> </w:t>
      </w:r>
      <w:r>
        <w:t xml:space="preserve">métodos agnósticos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métodos específicos pueden</w:t>
      </w:r>
      <w:r>
        <w:t xml:space="preserve"> </w:t>
      </w:r>
      <w:r>
        <w:t xml:space="preserve">explotar información interna para mejorar eficiencia o precisión, aunque pagan</w:t>
      </w:r>
      <w:r>
        <w:t xml:space="preserve"> </w:t>
      </w:r>
      <w:r>
        <w:t xml:space="preserve">el precio de una menor generalidad. FOM-7 debe mantener visible esta relación:</w:t>
      </w:r>
      <w:r>
        <w:t xml:space="preserve"> </w:t>
      </w:r>
      <w:r>
        <w:t xml:space="preserve">no comparar solamente valores métricos, sino interpretar esos valores según el</w:t>
      </w:r>
      <w:r>
        <w:t xml:space="preserve"> </w:t>
      </w:r>
      <w:r>
        <w:t xml:space="preserve">tipo de acceso que cada explicador tiene al modelo</w:t>
      </w:r>
      <w:r>
        <w:t xml:space="preserve"> </w:t>
      </w:r>
      <w:r>
        <w:t xml:space="preserve">(Arrieta 2019; Linardatos 2020)</w:t>
      </w:r>
      <w:r>
        <w:t xml:space="preserve">.</w:t>
      </w:r>
    </w:p>
    <w:p>
      <w:pPr>
        <w:pStyle w:val="Textoindependiente"/>
        <w:spacing w:line="360" w:lineRule="auto"/>
        <w:jc w:val="both"/>
      </w:pPr>
      <w:r>
        <w:t xml:space="preserve">Otra distinción histórica relevante es la diferencia entre explicaciones</w:t>
      </w:r>
      <w:r>
        <w:t xml:space="preserve"> </w:t>
      </w:r>
      <w:r>
        <w:t xml:space="preserve">locales y globales</w:t>
      </w:r>
      <w:r>
        <w:t xml:space="preserve"> </w:t>
      </w:r>
      <w:r>
        <w:t xml:space="preserve">(Arrieta 2019; Linardatos 2020)</w:t>
      </w:r>
      <w:r>
        <w:t xml:space="preserve">. Una explicación local</w:t>
      </w:r>
      <w:r>
        <w:t xml:space="preserve"> </w:t>
      </w:r>
      <w:r>
        <w:t xml:space="preserve">describe el comportamiento del modelo alrededor de una instancia o decisión</w:t>
      </w:r>
      <w:r>
        <w:t xml:space="preserve"> </w:t>
      </w:r>
      <w:r>
        <w:t xml:space="preserve">particular. Una explicación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resúmenes globales</w:t>
      </w:r>
      <w:r>
        <w:t xml:space="preserve"> </w:t>
      </w:r>
      <w:r>
        <w:t xml:space="preserve">(Ribeiro 2016, 2018; Lundberg 2017)</w:t>
      </w:r>
      <w:r>
        <w:t xml:space="preserve">. Esta agregación, sin embargo, no elimina el problema conceptual:</w:t>
      </w:r>
      <w:r>
        <w:t xml:space="preserve"> </w:t>
      </w:r>
      <w:r>
        <w:t xml:space="preserve">una colección de explicaciones locales no equivale automáticamente a una teoría</w:t>
      </w:r>
      <w:r>
        <w:t xml:space="preserve"> </w:t>
      </w:r>
      <w:r>
        <w:t xml:space="preserve">global del modelo.</w:t>
      </w:r>
    </w:p>
    <w:p>
      <w:pPr>
        <w:pStyle w:val="Textoindependiente"/>
        <w:spacing w:line="360" w:lineRule="auto"/>
        <w:jc w:val="both"/>
      </w:pPr>
      <w:r>
        <w:t xml:space="preserve">El nivel local resulta atractivo porque muchas decisiones de alto impacto se</w:t>
      </w:r>
      <w:r>
        <w:t xml:space="preserve"> </w:t>
      </w:r>
      <w:r>
        <w:t xml:space="preserve">formulan caso por caso: por qué se rechazó una solicitud, por qué una instancia</w:t>
      </w:r>
      <w:r>
        <w:t xml:space="preserve"> </w:t>
      </w:r>
      <w:r>
        <w:t xml:space="preserve">fue clasificada como riesgosa, por qué un modelo asignó una etiqueta. Sin</w:t>
      </w:r>
      <w:r>
        <w:t xml:space="preserve"> </w:t>
      </w:r>
      <w:r>
        <w:t xml:space="preserve">embargo, una explicación local tiene un alcance limitado por definición. Puede</w:t>
      </w:r>
      <w:r>
        <w:t xml:space="preserve"> </w:t>
      </w:r>
      <w:r>
        <w:t xml:space="preserve">ser válida alrededor de una instancia y no describir otras regiones del espacio</w:t>
      </w:r>
      <w:r>
        <w:t xml:space="preserve"> </w:t>
      </w:r>
      <w:r>
        <w:t xml:space="preserve">de datos. La explicación global, por su parte, promete una visión más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afirmación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spacing w:line="360" w:lineRule="auto"/>
        <w:jc w:val="both"/>
      </w:pPr>
      <w:r>
        <w:t xml:space="preserve">Finalmente, el campo ha incorporado una orientación human-centered. La pregunta</w:t>
      </w:r>
      <w:r>
        <w:t xml:space="preserve"> </w:t>
      </w:r>
      <w:r>
        <w:t xml:space="preserve">ya no es solo si una explicación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calibración de confianza y utilidad para la toma de decisiones</w:t>
      </w:r>
      <w:r>
        <w:t xml:space="preserve"> </w:t>
      </w:r>
      <w:r>
        <w:t xml:space="preserve">(Hoffman et al. 2023; Mohseni et al. 2021)</w:t>
      </w:r>
      <w:r>
        <w:t xml:space="preserve">. Para esta tesis, esta evolución histórica es clave: FOM-7 no se</w:t>
      </w:r>
      <w:r>
        <w:t xml:space="preserve"> </w:t>
      </w:r>
      <w:r>
        <w:t xml:space="preserve">justifica por la ausencia de explicaciones, sino por la necesidad de evaluar</w:t>
      </w:r>
      <w:r>
        <w:t xml:space="preserve"> </w:t>
      </w:r>
      <w:r>
        <w:t xml:space="preserve">explicaciones como artefactos técnicos, estadísticos y comunicables.</w:t>
      </w:r>
    </w:p>
    <w:p>
      <w:pPr>
        <w:pStyle w:val="Textoindependiente"/>
        <w:spacing w:line="360" w:lineRule="auto"/>
        <w:jc w:val="both"/>
      </w:pPr>
      <w:r>
        <w:t xml:space="preserve">La orientación human-centered introduce una corrección necesaria al entusiasmo</w:t>
      </w:r>
      <w:r>
        <w:t xml:space="preserve"> </w:t>
      </w:r>
      <w:r>
        <w:t xml:space="preserve">puramente algorítmico. Una explicación no circula en el vacío: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diseño y la</w:t>
      </w:r>
      <w:r>
        <w:t xml:space="preserve"> </w:t>
      </w:r>
      <w:r>
        <w:t xml:space="preserve">evaluación de XAI como una relación entre objetivos, grupos de usuarios y</w:t>
      </w:r>
      <w:r>
        <w:t xml:space="preserve"> </w:t>
      </w:r>
      <w:r>
        <w:t xml:space="preserve">métodos de evaluación.</w:t>
      </w:r>
      <w:r>
        <w:t xml:space="preserve"> </w:t>
      </w:r>
      <w:r>
        <w:t xml:space="preserve">Hoffman et al. (2023)</w:t>
      </w:r>
      <w:r>
        <w:t xml:space="preserve">, desde una perspectiva psicológica,</w:t>
      </w:r>
      <w:r>
        <w:t xml:space="preserve"> </w:t>
      </w:r>
      <w:r>
        <w:t xml:space="preserve">insisten en que el valor de una explicación depende de cómo apoya comprensión,</w:t>
      </w:r>
      <w:r>
        <w:t xml:space="preserve"> </w:t>
      </w:r>
      <w:r>
        <w:t xml:space="preserve">calibración y acción. Esto no convierte a la presente tesis en un estudio de</w:t>
      </w:r>
      <w:r>
        <w:t xml:space="preserve"> </w:t>
      </w:r>
      <w:r>
        <w:t xml:space="preserve">usuarios, pero sí obliga a delimitar el tipo de evidencia producida: FOM-7</w:t>
      </w:r>
      <w:r>
        <w:t xml:space="preserve"> </w:t>
      </w:r>
      <w:r>
        <w:t xml:space="preserve">evalúa propiedades técnicas y reproducibles de explicaciones post-hoc, y deja</w:t>
      </w:r>
      <w:r>
        <w:t xml:space="preserve"> </w:t>
      </w:r>
      <w:r>
        <w:t xml:space="preserve">claros los límites de inferir utilidad humana directa a partir de métricas</w:t>
      </w:r>
      <w:r>
        <w:t xml:space="preserve"> </w:t>
      </w:r>
      <w:r>
        <w:t xml:space="preserve">computacionales.</w:t>
      </w:r>
    </w:p>
    <w:p>
      <w:pPr>
        <w:pStyle w:val="Textoindependiente"/>
        <w:spacing w:line="360" w:lineRule="auto"/>
        <w:jc w:val="both"/>
      </w:pPr>
      <w:r>
        <w:t xml:space="preserve">Así, el desarrollo histórico de la XAI puede leerse como una serie de</w:t>
      </w:r>
      <w:r>
        <w:t xml:space="preserve"> </w:t>
      </w:r>
      <w:r>
        <w:t xml:space="preserve">desplazamientos: de transparencia intrínseca a explicación post-hoc; de modelos</w:t>
      </w:r>
      <w:r>
        <w:t xml:space="preserve"> </w:t>
      </w:r>
      <w:r>
        <w:t xml:space="preserve">simples a modelos de alta capacidad; de descripciones globales a explicaciones</w:t>
      </w:r>
      <w:r>
        <w:t xml:space="preserve"> </w:t>
      </w:r>
      <w:r>
        <w:t xml:space="preserve">locales; de evaluaciones cualitativas a toolkits métricos; y de una mirada</w:t>
      </w:r>
      <w:r>
        <w:t xml:space="preserve"> </w:t>
      </w:r>
      <w:r>
        <w:t xml:space="preserve">centrada en el algoritmo a una mirada que incluye usuarios, contexto y</w:t>
      </w:r>
      <w:r>
        <w:t xml:space="preserve"> </w:t>
      </w:r>
      <w:r>
        <w:t xml:space="preserve">responsabilidad. La contribución de FOM-7 se ubica después de esos</w:t>
      </w:r>
      <w:r>
        <w:t xml:space="preserve"> </w:t>
      </w:r>
      <w:r>
        <w:t xml:space="preserve">desplazamientos. No regresa nostálgicamente a modelos simples ni promete una</w:t>
      </w:r>
      <w:r>
        <w:t xml:space="preserve"> </w:t>
      </w:r>
      <w:r>
        <w:t xml:space="preserve">explicación universal. Propone gobernar la evaluación de explicaciones en un</w:t>
      </w:r>
      <w:r>
        <w:t xml:space="preserve"> </w:t>
      </w:r>
      <w:r>
        <w:t xml:space="preserve">escenario donde los objetos explicativos son plurales, los criterios son</w:t>
      </w:r>
      <w:r>
        <w:t xml:space="preserve"> </w:t>
      </w:r>
      <w:r>
        <w:t xml:space="preserve">multidimensionales y las conclusiones deben ser rastreables</w:t>
      </w:r>
      <w:r>
        <w:t xml:space="preserve"> </w:t>
      </w:r>
      <w:r>
        <w:t xml:space="preserve">(Doshi-Velez 2017; Hedström et al. 2023; Nauta et al. 2023)</w:t>
      </w:r>
      <w:r>
        <w:t xml:space="preserve">.</w:t>
      </w:r>
    </w:p>
    <w:bookmarkEnd w:id="45"/>
    <w:bookmarkStart w:id="46" w:name="distinciones-conceptuales-fundamentales"/>
    <w:p>
      <w:pPr>
        <w:pStyle w:val="Ttulo2"/>
        <w:spacing w:line="360" w:lineRule="auto"/>
        <w:jc w:val="both"/>
      </w:pPr>
      <w:r>
        <w:t xml:space="preserve">Distinciones conceptuales fundamentales</w:t>
      </w:r>
    </w:p>
    <w:p>
      <w:pPr>
        <w:pStyle w:val="FirstParagraph"/>
        <w:spacing w:line="360" w:lineRule="auto"/>
        <w:jc w:val="both"/>
      </w:pPr>
      <w:r>
        <w:t xml:space="preserve">La literatura XAI utiliza con frecuencia términos cercanos como</w:t>
      </w:r>
      <w:r>
        <w:t xml:space="preserve"> </w:t>
      </w:r>
      <w:r>
        <w:t xml:space="preserve">interpretabilidad, explicabilidad, transparencia, fidelidad, plausibilidad,</w:t>
      </w:r>
      <w:r>
        <w:t xml:space="preserve"> </w:t>
      </w:r>
      <w:r>
        <w:t xml:space="preserve">robustez y utilidad. Sin una delimitación conceptual, estos términos pueden</w:t>
      </w:r>
      <w:r>
        <w:t xml:space="preserve"> </w:t>
      </w:r>
      <w:r>
        <w:t xml:space="preserve">producir inferencias demasiado amplias. Un resultado alto en una métrica de</w:t>
      </w:r>
      <w:r>
        <w:t xml:space="preserve"> </w:t>
      </w:r>
      <w:r>
        <w:t xml:space="preserve">estabilidad, por ejemplo, no prueba que una explicación sea causalmente correcta</w:t>
      </w:r>
      <w:r>
        <w:t xml:space="preserve"> </w:t>
      </w:r>
      <w:r>
        <w:t xml:space="preserve">ni que sea útil para un usuario experto. Por ello, la tesis adopta distinciones</w:t>
      </w:r>
      <w:r>
        <w:t xml:space="preserve"> </w:t>
      </w:r>
      <w:r>
        <w:t xml:space="preserve">operativas que protegen la validez de las afirmaciones</w:t>
      </w:r>
      <w:r>
        <w:t xml:space="preserve"> </w:t>
      </w:r>
      <w:r>
        <w:t xml:space="preserve">(Lipton 2018; Doshi-Velez 2017; Nauta et al. 2023)</w:t>
      </w:r>
      <w:r>
        <w:t xml:space="preserve">.</w:t>
      </w:r>
    </w:p>
    <w:p>
      <w:pPr>
        <w:pStyle w:val="Textoindependiente"/>
        <w:spacing w:line="360" w:lineRule="auto"/>
        <w:jc w:val="both"/>
      </w:pPr>
      <w:r>
        <w:t xml:space="preserve">Estas distinciones cumplen una función metodológica, no solamente terminológica.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qué propiedad: fidelidad, estabilidad, robustez, complejidad, coste,</w:t>
      </w:r>
      <w:r>
        <w:t xml:space="preserve"> </w:t>
      </w:r>
      <w:r>
        <w:t xml:space="preserve">accionabilidad o utilidad para un usuario. Si se afirma que una explicación es</w:t>
      </w:r>
      <w:r>
        <w:t xml:space="preserve"> </w:t>
      </w:r>
      <w:r>
        <w:t xml:space="preserve">“correcta”</w:t>
      </w:r>
      <w:r>
        <w:t xml:space="preserve">, debe aclararse si la corrección se refiere al comportamiento</w:t>
      </w:r>
      <w:r>
        <w:t xml:space="preserve"> </w:t>
      </w:r>
      <w:r>
        <w:t xml:space="preserve">observable del modelo, a una estructura causal del dominio, a la aceptabilidad</w:t>
      </w:r>
      <w:r>
        <w:t xml:space="preserve"> </w:t>
      </w:r>
      <w:r>
        <w:t xml:space="preserve">humana de la narrativa o a la consistencia con una métrica. El valor de estas</w:t>
      </w:r>
      <w:r>
        <w:t xml:space="preserve"> </w:t>
      </w:r>
      <w:r>
        <w:t xml:space="preserve">distinciones es evitar que un resultado empírico local se transforme en una</w:t>
      </w:r>
      <w:r>
        <w:t xml:space="preserve"> </w:t>
      </w:r>
      <w:r>
        <w:t xml:space="preserve">afirmación teórica excesiva</w:t>
      </w:r>
      <w:r>
        <w:t xml:space="preserve"> </w:t>
      </w:r>
      <w:r>
        <w:t xml:space="preserve">(Doshi-Velez 2017; Lipton 2018)</w:t>
      </w:r>
      <w:r>
        <w:t xml:space="preserve">.</w:t>
      </w:r>
    </w:p>
    <w:p>
      <w:pPr>
        <w:pStyle w:val="Textoindependiente"/>
        <w:spacing w:line="360" w:lineRule="auto"/>
        <w:jc w:val="both"/>
      </w:pPr>
      <w:r>
        <w:t xml:space="preserve">La primera distinción separa interpretabilidad y explicabilidad. La</w:t>
      </w:r>
      <w:r>
        <w:t xml:space="preserve"> </w:t>
      </w:r>
      <w:r>
        <w:t xml:space="preserve">interpretabilidad se asocia con la posibilidad de comprender la estructura o</w:t>
      </w:r>
      <w:r>
        <w:t xml:space="preserve"> </w:t>
      </w:r>
      <w:r>
        <w:t xml:space="preserve">mecánica de un modelo. En modelos transparentes, esta comprensión puede</w:t>
      </w:r>
      <w:r>
        <w:t xml:space="preserve"> </w:t>
      </w:r>
      <w:r>
        <w:t xml:space="preserve">derivarse directamente del objeto predictivo. La explicabilidad, en cambio,</w:t>
      </w:r>
      <w:r>
        <w:t xml:space="preserve"> </w:t>
      </w:r>
      <w:r>
        <w:t xml:space="preserve">puede entenderse como la producción de razones, artefactos o representaciones</w:t>
      </w:r>
      <w:r>
        <w:t xml:space="preserve"> </w:t>
      </w:r>
      <w:r>
        <w:t xml:space="preserve">que hacen comprensible una predicción para un destinatario.</w:t>
      </w:r>
      <w:r>
        <w:t xml:space="preserve"> </w:t>
      </w:r>
      <w:r>
        <w:t xml:space="preserve">Linardatos (2020)</w:t>
      </w:r>
      <w:r>
        <w:t xml:space="preserve"> </w:t>
      </w:r>
      <w:r>
        <w:t xml:space="preserve">presentan esta diferencia como parte del vocabulario central de los métodos de</w:t>
      </w:r>
      <w:r>
        <w:t xml:space="preserve"> </w:t>
      </w:r>
      <w:r>
        <w:t xml:space="preserve">interpretabilidad en aprendizaje automático. Para esta tesis, la distinción</w:t>
      </w:r>
      <w:r>
        <w:t xml:space="preserve"> </w:t>
      </w:r>
      <w:r>
        <w:t xml:space="preserve">permite evaluar explicadores post-hoc sin tratarlos como si fueran equivalentes</w:t>
      </w:r>
      <w:r>
        <w:t xml:space="preserve"> </w:t>
      </w:r>
      <w:r>
        <w:t xml:space="preserve">a modelos transparentes.</w:t>
      </w:r>
    </w:p>
    <w:p>
      <w:pPr>
        <w:pStyle w:val="Textoindependiente"/>
        <w:spacing w:line="360" w:lineRule="auto"/>
        <w:jc w:val="both"/>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críticas</w:t>
      </w:r>
      <w:r>
        <w:t xml:space="preserve"> </w:t>
      </w:r>
      <w:r>
        <w:t xml:space="preserve">de la literatura: el término</w:t>
      </w:r>
      <w:r>
        <w:t xml:space="preserve"> </w:t>
      </w:r>
      <w:r>
        <w:t xml:space="preserve">“interpretable”</w:t>
      </w:r>
      <w:r>
        <w:t xml:space="preserve"> </w:t>
      </w:r>
      <w:r>
        <w:t xml:space="preserve">puede volverse ambiguo si no se</w:t>
      </w:r>
      <w:r>
        <w:t xml:space="preserve"> </w:t>
      </w:r>
      <w:r>
        <w:t xml:space="preserve">explicita qué aspecto del sistema se vuelve comprensible</w:t>
      </w:r>
      <w:r>
        <w:t xml:space="preserve"> </w:t>
      </w:r>
      <w:r>
        <w:t xml:space="preserve">(Lipton 2018)</w:t>
      </w:r>
      <w:r>
        <w:t xml:space="preserve">. La</w:t>
      </w:r>
      <w:r>
        <w:t xml:space="preserve"> </w:t>
      </w:r>
      <w:r>
        <w:t xml:space="preserve">explicabilidad, en cambio, suele remitir al proceso de producir una explicación</w:t>
      </w:r>
      <w:r>
        <w:t xml:space="preserve"> </w:t>
      </w:r>
      <w:r>
        <w:t xml:space="preserve">utilizable. Esta tesis adopta una posición operacional: evalúa artefactos</w:t>
      </w:r>
      <w:r>
        <w:t xml:space="preserve"> </w:t>
      </w:r>
      <w:r>
        <w:t xml:space="preserve">explicativos generados por métodos concretos, no la interpretabilidad total del</w:t>
      </w:r>
      <w:r>
        <w:t xml:space="preserve"> </w:t>
      </w:r>
      <w:r>
        <w:t xml:space="preserve">sistema sociotécnico. Esa delimitación es deliberada y evita prometer más de lo</w:t>
      </w:r>
      <w:r>
        <w:t xml:space="preserve"> </w:t>
      </w:r>
      <w:r>
        <w:t xml:space="preserve">que el experimento puede sostener.</w:t>
      </w:r>
    </w:p>
    <w:p>
      <w:pPr>
        <w:pStyle w:val="Textoindependiente"/>
        <w:spacing w:line="360" w:lineRule="auto"/>
        <w:jc w:val="both"/>
      </w:pPr>
      <w:r>
        <w:t xml:space="preserve">La segunda distinción separa transparencia y explicación. Un modelo transparente</w:t>
      </w:r>
      <w:r>
        <w:t xml:space="preserve"> </w:t>
      </w:r>
      <w:r>
        <w:t xml:space="preserve">expone su lógica interna de forma relativamente directa; una explicación puede</w:t>
      </w:r>
      <w:r>
        <w:t xml:space="preserve"> </w:t>
      </w:r>
      <w:r>
        <w:t xml:space="preserve">ser una aproximación, simplificación, regla local, atribución o contrafactual</w:t>
      </w:r>
      <w:r>
        <w:t xml:space="preserve"> </w:t>
      </w:r>
      <w:r>
        <w:t xml:space="preserve">generado después de entrenar el modelo. La transparencia pertenece al modelo; la</w:t>
      </w:r>
      <w:r>
        <w:t xml:space="preserve"> </w:t>
      </w:r>
      <w:r>
        <w:t xml:space="preserve">explicación pertenece al ecosistema de interpretación. Esta diferencia es</w:t>
      </w:r>
      <w:r>
        <w:t xml:space="preserve"> </w:t>
      </w:r>
      <w:r>
        <w:t xml:space="preserve">importante porque una explicación puede ser comprensible y aun así no reflejar</w:t>
      </w:r>
      <w:r>
        <w:t xml:space="preserve"> </w:t>
      </w:r>
      <w:r>
        <w:t xml:space="preserve">con precisión el mecanismo decisional</w:t>
      </w:r>
      <w:r>
        <w:t xml:space="preserve"> </w:t>
      </w:r>
      <w:r>
        <w:t xml:space="preserve">(Arrieta 2019; Linardatos 2020)</w:t>
      </w:r>
      <w:r>
        <w:t xml:space="preserve">.</w:t>
      </w:r>
    </w:p>
    <w:p>
      <w:pPr>
        <w:pStyle w:val="Textoindependiente"/>
        <w:spacing w:line="360" w:lineRule="auto"/>
        <w:jc w:val="both"/>
      </w:pPr>
      <w:r>
        <w:t xml:space="preserve">La transparencia tampoco es un valor absoluto. Un modelo puede ser transparente</w:t>
      </w:r>
      <w:r>
        <w:t xml:space="preserve"> </w:t>
      </w:r>
      <w:r>
        <w:t xml:space="preserve">en su forma matemática y aun así difícil de comprender si contiene miles de</w:t>
      </w:r>
      <w:r>
        <w:t xml:space="preserve"> </w:t>
      </w:r>
      <w:r>
        <w:t xml:space="preserve">variables, interacciones o reglas. De forma inversa, una explicación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explicación se refiere al artefacto construido para hacerlo inteligible. Esta</w:t>
      </w:r>
      <w:r>
        <w:t xml:space="preserve"> </w:t>
      </w:r>
      <w:r>
        <w:t xml:space="preserve">diferencia tiene consecuencias para el benchmarking: no se debe evaluar una</w:t>
      </w:r>
      <w:r>
        <w:t xml:space="preserve"> </w:t>
      </w:r>
      <w:r>
        <w:t xml:space="preserve">explicación post-hoc como si ofreciera acceso directo al interior del modelo,</w:t>
      </w:r>
      <w:r>
        <w:t xml:space="preserve"> </w:t>
      </w:r>
      <w:r>
        <w:t xml:space="preserve">sino como una representación cuya fidelidad y estabilidad deben probarse bajo</w:t>
      </w:r>
      <w:r>
        <w:t xml:space="preserve"> </w:t>
      </w:r>
      <w:r>
        <w:t xml:space="preserve">condiciones específicas</w:t>
      </w:r>
      <w:r>
        <w:t xml:space="preserve"> </w:t>
      </w:r>
      <w:r>
        <w:t xml:space="preserve">(Arrieta 2019; Linardatos 2020)</w:t>
      </w:r>
      <w:r>
        <w:t xml:space="preserve">.</w:t>
      </w:r>
    </w:p>
    <w:p>
      <w:pPr>
        <w:pStyle w:val="Textoindependiente"/>
        <w:spacing w:line="360" w:lineRule="auto"/>
        <w:jc w:val="both"/>
      </w:pPr>
      <w:r>
        <w:t xml:space="preserve">La tercera distinción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más fuerte: que la</w:t>
      </w:r>
      <w:r>
        <w:t xml:space="preserve"> </w:t>
      </w:r>
      <w:r>
        <w:t xml:space="preserve">explicación represente aspectos relevantes del verdadero proceso decisional. Una</w:t>
      </w:r>
      <w:r>
        <w:t xml:space="preserve"> </w:t>
      </w:r>
      <w:r>
        <w:t xml:space="preserve">explicación puede tener alta fidelidad local en un vecindario muestreado y aún</w:t>
      </w:r>
      <w:r>
        <w:t xml:space="preserve"> </w:t>
      </w:r>
      <w:r>
        <w:t xml:space="preserve">así no capturar la lógica que el modelo utiliza en regiones no observadas o ante</w:t>
      </w:r>
      <w:r>
        <w:t xml:space="preserve"> </w:t>
      </w:r>
      <w:r>
        <w:t xml:space="preserve">perturbaciones fuera de distribución</w:t>
      </w:r>
      <w:r>
        <w:t xml:space="preserve"> </w:t>
      </w:r>
      <w:r>
        <w:t xml:space="preserve">(Zheng et al. 2025)</w:t>
      </w:r>
      <w:r>
        <w:t xml:space="preserve">.</w:t>
      </w:r>
    </w:p>
    <w:p>
      <w:pPr>
        <w:pStyle w:val="Textoindependiente"/>
        <w:spacing w:line="360" w:lineRule="auto"/>
        <w:jc w:val="both"/>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más profunda entre la</w:t>
      </w:r>
      <w:r>
        <w:t xml:space="preserve"> </w:t>
      </w:r>
      <w:r>
        <w:t xml:space="preserve">explicación y los factores que realmente gobiernan la decisión. En modelos</w:t>
      </w:r>
      <w:r>
        <w:t xml:space="preserve"> </w:t>
      </w:r>
      <w:r>
        <w:t xml:space="preserve">complejos, esta correspondencia suele ser difícil de demostrar de forma directa.</w:t>
      </w:r>
      <w:r>
        <w:t xml:space="preserve"> </w:t>
      </w:r>
      <w:r>
        <w:t xml:space="preserve">Por ello, FOM-7 trata la fidelidad como un constructo medible y la faithfulness</w:t>
      </w:r>
      <w:r>
        <w:t xml:space="preserve"> </w:t>
      </w:r>
      <w:r>
        <w:t xml:space="preserve">como una aspiración interpretativa que requiere cautela. El protocolo no debe</w:t>
      </w:r>
      <w:r>
        <w:t xml:space="preserve"> </w:t>
      </w:r>
      <w:r>
        <w:t xml:space="preserve">convertir una métrica de acuerdo en una afirmación fuerte sobre verdad causal.</w:t>
      </w:r>
    </w:p>
    <w:p>
      <w:pPr>
        <w:pStyle w:val="Textoindependiente"/>
        <w:spacing w:line="360" w:lineRule="auto"/>
        <w:jc w:val="both"/>
      </w:pPr>
      <w:r>
        <w:t xml:space="preserve">La cuarta distinción separa plausibilidad y corrección. Una explicación</w:t>
      </w:r>
      <w:r>
        <w:t xml:space="preserve"> </w:t>
      </w:r>
      <w:r>
        <w:t xml:space="preserve">plausible coincide con expectativas humanas, conocimiento de dominio o patrones</w:t>
      </w:r>
      <w:r>
        <w:t xml:space="preserve"> </w:t>
      </w:r>
      <w:r>
        <w:t xml:space="preserve">narrativamente convincentes. Pero la plausibilidad no garantiza corrección. Esta</w:t>
      </w:r>
      <w:r>
        <w:t xml:space="preserve"> </w:t>
      </w:r>
      <w:r>
        <w:t xml:space="preserve">distinción es especialmente delicada en XAI porque explicaciones persuasivas</w:t>
      </w:r>
      <w:r>
        <w:t xml:space="preserve"> </w:t>
      </w:r>
      <w:r>
        <w:t xml:space="preserve">pueden aumentar confianza aún cuando no sean técnicamente adecuadas. La</w:t>
      </w:r>
      <w:r>
        <w:t xml:space="preserve"> </w:t>
      </w:r>
      <w:r>
        <w:t xml:space="preserve">literatura crítica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spacing w:line="360" w:lineRule="auto"/>
        <w:jc w:val="both"/>
      </w:pPr>
      <w:r>
        <w:t xml:space="preserve">Esta distinción protege especialmente contra explicaciones persuasivas. En</w:t>
      </w:r>
      <w:r>
        <w:t xml:space="preserve"> </w:t>
      </w:r>
      <w:r>
        <w:t xml:space="preserve">entornos de decisión, una explicación que</w:t>
      </w:r>
      <w:r>
        <w:t xml:space="preserve"> </w:t>
      </w:r>
      <w:r>
        <w:t xml:space="preserve">“suena razonable”</w:t>
      </w:r>
      <w:r>
        <w:t xml:space="preserve"> </w:t>
      </w:r>
      <w:r>
        <w:t xml:space="preserve">puede aumentar la</w:t>
      </w:r>
      <w:r>
        <w:t xml:space="preserve"> </w:t>
      </w:r>
      <w:r>
        <w:t xml:space="preserve">confianza del usuario, incluso si el modelo usó patrones espurios o si el</w:t>
      </w:r>
      <w:r>
        <w:t xml:space="preserve"> </w:t>
      </w:r>
      <w:r>
        <w:t xml:space="preserve">explicador produjo una aproximación inestable. La plausibilidad pertenece al</w:t>
      </w:r>
      <w:r>
        <w:t xml:space="preserve"> </w:t>
      </w:r>
      <w:r>
        <w:t xml:space="preserve">encuentro entre explicación y expectativas humanas; la corrección pertenece a la</w:t>
      </w:r>
      <w:r>
        <w:t xml:space="preserve"> </w:t>
      </w:r>
      <w:r>
        <w:t xml:space="preserve">relación entre explicación, modelo y dominio. Ambas propiedades pueden coincidir,</w:t>
      </w:r>
      <w:r>
        <w:t xml:space="preserve"> </w:t>
      </w:r>
      <w:r>
        <w:t xml:space="preserve">pero no deben fusionarse. En la práctica, esta tesis puede medir propiedades</w:t>
      </w:r>
      <w:r>
        <w:t xml:space="preserve"> </w:t>
      </w:r>
      <w:r>
        <w:t xml:space="preserve">computacionales y discutir plausibilidad semántica con cautela, pero no puede</w:t>
      </w:r>
      <w:r>
        <w:t xml:space="preserve"> </w:t>
      </w:r>
      <w:r>
        <w:t xml:space="preserve">afirmar corrección humana o causal sin evidencia específica de ese tipo</w:t>
      </w:r>
      <w:r>
        <w:t xml:space="preserve"> </w:t>
      </w:r>
      <w:r>
        <w:t xml:space="preserve">(Mohseni et al. 2021; Hoffman et al. 2023)</w:t>
      </w:r>
      <w:r>
        <w:t xml:space="preserve">.</w:t>
      </w:r>
    </w:p>
    <w:p>
      <w:pPr>
        <w:pStyle w:val="Textoindependiente"/>
        <w:spacing w:line="360" w:lineRule="auto"/>
        <w:jc w:val="both"/>
      </w:pPr>
      <w:r>
        <w:t xml:space="preserve">La quinta distinción separa robustez y estabilidad. La estabilidad evalúa si</w:t>
      </w:r>
      <w:r>
        <w:t xml:space="preserve"> </w:t>
      </w:r>
      <w:r>
        <w:t xml:space="preserve">pequeños cambios en la entrada, que no modifican la predicción, producen</w:t>
      </w:r>
      <w:r>
        <w:t xml:space="preserve"> </w:t>
      </w:r>
      <w:r>
        <w:t xml:space="preserve">explicaciones similares. La robustez evalúa la resistencia del explicador ante</w:t>
      </w:r>
      <w:r>
        <w:t xml:space="preserve"> </w:t>
      </w:r>
      <w:r>
        <w:t xml:space="preserve">cambios más agresivos, distribuciones atípicas, ataques o condiciones de</w:t>
      </w:r>
      <w:r>
        <w:t xml:space="preserve"> </w:t>
      </w:r>
      <w:r>
        <w:t xml:space="preserve">despliegue no ideales. Esta tesis usa ambas nociones como constructos</w:t>
      </w:r>
      <w:r>
        <w:t xml:space="preserve"> </w:t>
      </w:r>
      <w:r>
        <w:t xml:space="preserve">relacionados pero no intercambiables. Una explicación puede ser estable ante</w:t>
      </w:r>
      <w:r>
        <w:t xml:space="preserve"> </w:t>
      </w:r>
      <w:r>
        <w:t xml:space="preserve">ruido leve y frágil ante casos fuera de distribución</w:t>
      </w:r>
      <w:r>
        <w:t xml:space="preserve"> </w:t>
      </w:r>
      <w:r>
        <w:t xml:space="preserve">(Zheng et al. 2025; Burger et al. 2023)</w:t>
      </w:r>
      <w:r>
        <w:t xml:space="preserve">.</w:t>
      </w:r>
    </w:p>
    <w:p>
      <w:pPr>
        <w:pStyle w:val="Textoindependiente"/>
        <w:spacing w:line="360" w:lineRule="auto"/>
        <w:jc w:val="both"/>
      </w:pPr>
      <w:r>
        <w:t xml:space="preserve">La estabilidad es especialmente importante para comparaciones locales. Si dos</w:t>
      </w:r>
      <w:r>
        <w:t xml:space="preserve"> </w:t>
      </w:r>
      <w:r>
        <w:t xml:space="preserve">instancias casi idénticas reciben explicaciones radicalmente distintas, el</w:t>
      </w:r>
      <w:r>
        <w:t xml:space="preserve"> </w:t>
      </w:r>
      <w:r>
        <w:t xml:space="preserve">explicador puede fallar como instrumento de análisis, aunque el modelo predictivo</w:t>
      </w:r>
      <w:r>
        <w:t xml:space="preserve"> </w:t>
      </w:r>
      <w:r>
        <w:t xml:space="preserve">sea estable. La robustez amplía el foco hacia condiciones más exigentes: cambios</w:t>
      </w:r>
      <w:r>
        <w:t xml:space="preserve"> </w:t>
      </w:r>
      <w:r>
        <w:t xml:space="preserve">de distribución, perturbaciones adversarias, datos atípicos o supuestos</w:t>
      </w:r>
      <w:r>
        <w:t xml:space="preserve"> </w:t>
      </w:r>
      <w:r>
        <w:t xml:space="preserve">violados. La evaluación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método.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spacing w:line="360" w:lineRule="auto"/>
        <w:jc w:val="both"/>
      </w:pPr>
      <w:r>
        <w:t xml:space="preserve">La sexta distinción separa utilidad de la explicación y verdad de la</w:t>
      </w:r>
      <w:r>
        <w:t xml:space="preserve"> </w:t>
      </w:r>
      <w:r>
        <w:t xml:space="preserve">explicación. Una explicación puede ser útil para depurar, comunicar o seleccionar</w:t>
      </w:r>
      <w:r>
        <w:t xml:space="preserve"> </w:t>
      </w:r>
      <w:r>
        <w:t xml:space="preserve">instancias sin demostrar que captura causalmente el funcionamiento del modelo.</w:t>
      </w:r>
      <w:r>
        <w:t xml:space="preserve"> </w:t>
      </w:r>
      <w:r>
        <w:t xml:space="preserve">De forma inversa, una explicación técnicamente rigurosa puede no ser útil para</w:t>
      </w:r>
      <w:r>
        <w:t xml:space="preserve"> </w:t>
      </w:r>
      <w:r>
        <w:t xml:space="preserve">un usuario no experto si excede su contexto cognitivo. Esta separación permite</w:t>
      </w:r>
      <w:r>
        <w:t xml:space="preserve"> </w:t>
      </w:r>
      <w:r>
        <w:t xml:space="preserve">ubicar las métricas de FOM-7: no pretenden agotar la verdad semántica de una</w:t>
      </w:r>
      <w:r>
        <w:t xml:space="preserve"> </w:t>
      </w:r>
      <w:r>
        <w:t xml:space="preserve">explicación, sino establecer evidencia operacional sobre propiedades medibles y</w:t>
      </w:r>
      <w:r>
        <w:t xml:space="preserve"> </w:t>
      </w:r>
      <w:r>
        <w:t xml:space="preserve">trazables.</w:t>
      </w:r>
    </w:p>
    <w:p>
      <w:pPr>
        <w:pStyle w:val="Textoindependiente"/>
        <w:spacing w:line="360" w:lineRule="auto"/>
        <w:jc w:val="both"/>
      </w:pPr>
      <w:r>
        <w:t xml:space="preserve">La utilidad depende del uso. Un científico de datos puede necesitar una</w:t>
      </w:r>
      <w:r>
        <w:t xml:space="preserve"> </w:t>
      </w:r>
      <w:r>
        <w:t xml:space="preserve">explicación para depurar variables, un experto de dominio para contrastar una</w:t>
      </w:r>
      <w:r>
        <w:t xml:space="preserve"> </w:t>
      </w:r>
      <w:r>
        <w:t xml:space="preserve">hipótesis, un regulador para auditar una decisión y un usuario final para</w:t>
      </w:r>
      <w:r>
        <w:t xml:space="preserve"> </w:t>
      </w:r>
      <w:r>
        <w:t xml:space="preserve">comprender opciones. La misma explicación puede ser adecuada para un grupo y</w:t>
      </w:r>
      <w:r>
        <w:t xml:space="preserve"> </w:t>
      </w:r>
      <w:r>
        <w:t xml:space="preserve">deficiente para otro. Esta es una de las razones por las que la literatura</w:t>
      </w:r>
      <w:r>
        <w:t xml:space="preserve"> </w:t>
      </w:r>
      <w:r>
        <w:t xml:space="preserve">human-centered insiste en conectar objetivos, usuarios y métodos de evaluación</w:t>
      </w:r>
      <w:r>
        <w:t xml:space="preserve"> </w:t>
      </w:r>
      <w:r>
        <w:t xml:space="preserve">(Mohseni et al. 2021; Hoffman et al. 2023)</w:t>
      </w:r>
      <w:r>
        <w:t xml:space="preserve">. En esta tesis, la utilidad se interpreta de forma</w:t>
      </w:r>
      <w:r>
        <w:t xml:space="preserve"> </w:t>
      </w:r>
      <w:r>
        <w:t xml:space="preserve">limitada: una explicación es útil para el protocolo si permite construir</w:t>
      </w:r>
      <w:r>
        <w:t xml:space="preserve"> </w:t>
      </w:r>
      <w:r>
        <w:t xml:space="preserve">evidencia comparativa, reproducible y trazable sobre métodos post-hoc. Otras</w:t>
      </w:r>
      <w:r>
        <w:t xml:space="preserve"> </w:t>
      </w:r>
      <w:r>
        <w:t xml:space="preserve">formas de utilidad, como satisfacción de usuario o mejora de decisiones humanas,</w:t>
      </w:r>
      <w:r>
        <w:t xml:space="preserve"> </w:t>
      </w:r>
      <w:r>
        <w:t xml:space="preserve">quedan fuera del alcance empírico principal.</w:t>
      </w:r>
    </w:p>
    <w:p>
      <w:pPr>
        <w:pStyle w:val="Textoindependiente"/>
        <w:spacing w:line="360" w:lineRule="auto"/>
        <w:jc w:val="both"/>
      </w:pPr>
      <w:r>
        <w:t xml:space="preserve">En conjunto, estas distinciones convierten el marco teórico en una defensa de</w:t>
      </w:r>
      <w:r>
        <w:t xml:space="preserve"> </w:t>
      </w:r>
      <w:r>
        <w:t xml:space="preserve">la prudencia inferencial. La tesis no busca demostrar que un explicador es</w:t>
      </w:r>
      <w:r>
        <w:t xml:space="preserve"> </w:t>
      </w:r>
      <w:r>
        <w:t xml:space="preserve">universalmente superior, ni que una métrica representa la verdad completa de una</w:t>
      </w:r>
      <w:r>
        <w:t xml:space="preserve"> </w:t>
      </w:r>
      <w:r>
        <w:t xml:space="preserve">explicación. Busca producir afirmaciones condicionadas: bajo este diseño, con</w:t>
      </w:r>
      <w:r>
        <w:t xml:space="preserve"> </w:t>
      </w:r>
      <w:r>
        <w:t xml:space="preserve">estos artefactos, estas métricas y estos criterios estadísticos, se observan</w:t>
      </w:r>
      <w:r>
        <w:t xml:space="preserve"> </w:t>
      </w:r>
      <w:r>
        <w:t xml:space="preserve">determinadas propiedades comparativas. Esta forma de razonamiento es menos</w:t>
      </w:r>
      <w:r>
        <w:t xml:space="preserve"> </w:t>
      </w:r>
      <w:r>
        <w:t xml:space="preserve">espectacular que un ranking absoluto, pero es mucho más defendible al nivel de</w:t>
      </w:r>
      <w:r>
        <w:t xml:space="preserve"> </w:t>
      </w:r>
      <w:r>
        <w:t xml:space="preserve">un doctorado. Precisamente por eso la arquitectura FOM-7 exige trazabilidad de</w:t>
      </w:r>
      <w:r>
        <w:t xml:space="preserve"> </w:t>
      </w:r>
      <w:r>
        <w:t xml:space="preserve">claims: cada conclusión debe indicar qué constructo evalúa, qué evidencia la</w:t>
      </w:r>
      <w:r>
        <w:t xml:space="preserve"> </w:t>
      </w:r>
      <w:r>
        <w:t xml:space="preserve">sostiene y qué límites conserva.</w:t>
      </w:r>
    </w:p>
    <w:bookmarkEnd w:id="46"/>
    <w:bookmarkStart w:id="51" w:name="Xa854bcdfe02171eee67e88340a3233edf48569f"/>
    <w:p>
      <w:pPr>
        <w:pStyle w:val="Ttulo2"/>
        <w:spacing w:line="360" w:lineRule="auto"/>
        <w:jc w:val="both"/>
      </w:pPr>
      <w:r>
        <w:t xml:space="preserve">Métodos de explicación evaluados en esta tesis</w:t>
      </w:r>
    </w:p>
    <w:bookmarkStart w:id="47" w:name="Xbbcfa782e2d35f160f8750f56befcd9ee8cf14e"/>
    <w:p>
      <w:pPr>
        <w:pStyle w:val="Ttulo3"/>
        <w:spacing w:line="360" w:lineRule="auto"/>
        <w:jc w:val="both"/>
      </w:pPr>
      <w:r>
        <w:t xml:space="preserve">LIME: sustitutos locales, muestreo e inestabilidad</w:t>
      </w:r>
    </w:p>
    <w:p>
      <w:pPr>
        <w:pStyle w:val="FirstParagraph"/>
        <w:spacing w:line="360" w:lineRule="auto"/>
        <w:jc w:val="bot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intuición es poderosa: aunque el modelo global sea complejo, una región cercana</w:t>
      </w:r>
      <w:r>
        <w:t xml:space="preserve"> </w:t>
      </w:r>
      <w:r>
        <w:t xml:space="preserve">a una instancia puede ser aproximada por una frontera más simple. Para construir</w:t>
      </w:r>
      <w:r>
        <w:t xml:space="preserve"> </w:t>
      </w:r>
      <w:r>
        <w:t xml:space="preserve">esta aproximación, el método genera perturbaciones alrededor de la instancia,</w:t>
      </w:r>
      <w:r>
        <w:t xml:space="preserve"> </w:t>
      </w:r>
      <w:r>
        <w:t xml:space="preserve">consulta el modelo original y ajusta un sustituto ponderado por proximidad. La</w:t>
      </w:r>
      <w:r>
        <w:t xml:space="preserve"> </w:t>
      </w:r>
      <w:r>
        <w:t xml:space="preserve">explicación resultante identifica características con mayor influencia local.</w:t>
      </w:r>
    </w:p>
    <w:p>
      <w:pPr>
        <w:pStyle w:val="Textoindependiente"/>
        <w:spacing w:line="360" w:lineRule="auto"/>
        <w:jc w:val="both"/>
      </w:pPr>
      <w:r>
        <w:t xml:space="preserve">Esta lógica convierte a LIME en un método flexible y agnóstico. Puede aplicarse</w:t>
      </w:r>
      <w:r>
        <w:t xml:space="preserve"> </w:t>
      </w:r>
      <w:r>
        <w:t xml:space="preserve">a clasificadores diversos y produce salidas comprensibles para usuarios</w:t>
      </w:r>
      <w:r>
        <w:t xml:space="preserve"> </w:t>
      </w:r>
      <w:r>
        <w:t xml:space="preserve">técnicos. Sin embargo, su fuerza también es una fuente de riesgo. La explicación</w:t>
      </w:r>
      <w:r>
        <w:t xml:space="preserve"> </w:t>
      </w:r>
      <w:r>
        <w:t xml:space="preserve">depende del esquema de muestreo, de la definición de vecindario, del kernel de</w:t>
      </w:r>
      <w:r>
        <w:t xml:space="preserve"> </w:t>
      </w:r>
      <w:r>
        <w:t xml:space="preserve">proximidad, del número de perturbaciones y del modelo interpretable elegido. Si</w:t>
      </w:r>
      <w:r>
        <w:t xml:space="preserve"> </w:t>
      </w:r>
      <w:r>
        <w:t xml:space="preserve">estos elementos cambian, la explicación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spacing w:line="360" w:lineRule="auto"/>
        <w:jc w:val="both"/>
      </w:pPr>
      <w:r>
        <w:t xml:space="preserve">En el marco de esta tesis, LIME representa la familia de explicaciones por</w:t>
      </w:r>
      <w:r>
        <w:t xml:space="preserve"> </w:t>
      </w:r>
      <w:r>
        <w:t xml:space="preserve">sustitución local. Su evaluación debe considerar fidelidad local, estabilidad,</w:t>
      </w:r>
      <w:r>
        <w:t xml:space="preserve"> </w:t>
      </w:r>
      <w:r>
        <w:t xml:space="preserve">coste computacional y sensibilidad al muestreo. No es suficiente afirmar que una</w:t>
      </w:r>
      <w:r>
        <w:t xml:space="preserve"> </w:t>
      </w:r>
      <w:r>
        <w:t xml:space="preserve">explicación LIME es interpretable porque sea lineal; debe demostrarse que el</w:t>
      </w:r>
      <w:r>
        <w:t xml:space="preserve"> </w:t>
      </w:r>
      <w:r>
        <w:t xml:space="preserve">sustituto es una aproximación adecuada bajo condiciones experimentales</w:t>
      </w:r>
      <w:r>
        <w:t xml:space="preserve"> </w:t>
      </w:r>
      <w:r>
        <w:t xml:space="preserve">controladas</w:t>
      </w:r>
      <w:r>
        <w:t xml:space="preserve"> </w:t>
      </w:r>
      <w:r>
        <w:t xml:space="preserve">(Ribeiro 2016; Guidotti et al. 2018)</w:t>
      </w:r>
      <w:r>
        <w:t xml:space="preserve">.</w:t>
      </w:r>
    </w:p>
    <w:p>
      <w:pPr>
        <w:pStyle w:val="Textoindependiente"/>
        <w:spacing w:line="360" w:lineRule="auto"/>
        <w:jc w:val="both"/>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términos de evaluación, esto significa que el experimento no solo compara</w:t>
      </w:r>
      <w:r>
        <w:t xml:space="preserve"> </w:t>
      </w:r>
      <w:r>
        <w:t xml:space="preserve">“LIME”</w:t>
      </w:r>
      <w:r>
        <w:t xml:space="preserve"> </w:t>
      </w:r>
      <w:r>
        <w:t xml:space="preserve">como etiqueta, sino una configuración concreta de LIME: estrategia de</w:t>
      </w:r>
      <w:r>
        <w:t xml:space="preserve"> </w:t>
      </w:r>
      <w:r>
        <w:t xml:space="preserve">perturbación, kernel, número de muestras, selección de variables y modelo</w:t>
      </w:r>
      <w:r>
        <w:t xml:space="preserve"> </w:t>
      </w:r>
      <w:r>
        <w:t xml:space="preserve">sustituto. Si esos elementos no se congelan y documentan, la explicación deja de</w:t>
      </w:r>
      <w:r>
        <w:t xml:space="preserve"> </w:t>
      </w:r>
      <w:r>
        <w:t xml:space="preserve">ser un artefacto reproducible y se convierte en una realizacion contingente del</w:t>
      </w:r>
      <w:r>
        <w:t xml:space="preserve"> </w:t>
      </w:r>
      <w:r>
        <w:t xml:space="preserve">pipeline. Este punto conecta con la crítica más amplia a las explicaciones</w:t>
      </w:r>
      <w:r>
        <w:t xml:space="preserve"> </w:t>
      </w:r>
      <w:r>
        <w:t xml:space="preserve">post-hoc: su aparente simplicidad puede ocultar supuestos fuertes sobre la</w:t>
      </w:r>
      <w:r>
        <w:t xml:space="preserve"> </w:t>
      </w:r>
      <w:r>
        <w:t xml:space="preserve">región local que se está aproximando</w:t>
      </w:r>
      <w:r>
        <w:t xml:space="preserve"> </w:t>
      </w:r>
      <w:r>
        <w:t xml:space="preserve">(Guidotti et al. 2018; Carvalho et al. 2019)</w:t>
      </w:r>
      <w:r>
        <w:t xml:space="preserve">.</w:t>
      </w:r>
    </w:p>
    <w:p>
      <w:pPr>
        <w:pStyle w:val="Textoindependiente"/>
        <w:spacing w:line="360" w:lineRule="auto"/>
        <w:jc w:val="both"/>
      </w:pPr>
      <w:r>
        <w:t xml:space="preserve">Además, la estabilidad de LIME no debe confundirse con su plausibilidad visual.</w:t>
      </w:r>
      <w:r>
        <w:t xml:space="preserve"> </w:t>
      </w:r>
      <w:r>
        <w:t xml:space="preserve">Una explicación puede seleccionar variables intuitivas y aun así variar ante</w:t>
      </w:r>
      <w:r>
        <w:t xml:space="preserve"> </w:t>
      </w:r>
      <w:r>
        <w:t xml:space="preserve">perturbaciones pequeñas, cambios de semilla o modificaciones en la muestra de</w:t>
      </w:r>
      <w:r>
        <w:t xml:space="preserve"> </w:t>
      </w:r>
      <w:r>
        <w:t xml:space="preserve">consulta. Estudios sobre confiabilidad de LIME y ataques a explicadores</w:t>
      </w:r>
      <w:r>
        <w:t xml:space="preserve"> </w:t>
      </w:r>
      <w:r>
        <w:t xml:space="preserve">post-hoc muestran que la frágilidad puede tener consecuencias epistémicas</w:t>
      </w:r>
      <w:r>
        <w:t xml:space="preserve"> </w:t>
      </w:r>
      <w:r>
        <w:t xml:space="preserve">importantes: el usuario puede recibir una narrativa convincente sin saber que</w:t>
      </w:r>
      <w:r>
        <w:t xml:space="preserve"> </w:t>
      </w:r>
      <w:r>
        <w:t xml:space="preserve">otra ejecución razonable produciría una narrativa distinta</w:t>
      </w:r>
      <w:r>
        <w:t xml:space="preserve"> </w:t>
      </w:r>
      <w:r>
        <w:t xml:space="preserve">(Burger et al. 2023; Slack et al. 2020)</w:t>
      </w:r>
      <w:r>
        <w:t xml:space="preserve">. Por ello, FOM-7 debe tratar LIME como un caso ejemplar de método</w:t>
      </w:r>
      <w:r>
        <w:t xml:space="preserve"> </w:t>
      </w:r>
      <w:r>
        <w:t xml:space="preserve">agnóstico con alta utilidad comunicativa, pero que requiere controles de</w:t>
      </w:r>
      <w:r>
        <w:t xml:space="preserve"> </w:t>
      </w:r>
      <w:r>
        <w:t xml:space="preserve">estabilidad, trazabilidad de parámetros y delimitación estricta del alcance</w:t>
      </w:r>
      <w:r>
        <w:t xml:space="preserve"> </w:t>
      </w:r>
      <w:r>
        <w:t xml:space="preserve">local.</w:t>
      </w:r>
    </w:p>
    <w:bookmarkEnd w:id="47"/>
    <w:bookmarkStart w:id="48" w:name="X187de0a2f0f332efaa60a19888eaffd7cc2e7b5"/>
    <w:p>
      <w:pPr>
        <w:pStyle w:val="Ttulo3"/>
        <w:spacing w:line="360" w:lineRule="auto"/>
        <w:jc w:val="both"/>
      </w:pPr>
      <w:r>
        <w:t xml:space="preserve">SHAP: valores de Shapley y atribución aditiva</w:t>
      </w:r>
    </w:p>
    <w:p>
      <w:pPr>
        <w:pStyle w:val="FirstParagraph"/>
        <w:spacing w:line="360" w:lineRule="auto"/>
        <w:jc w:val="both"/>
      </w:pPr>
      <w:r>
        <w:t xml:space="preserve">SHAP conecta métodos de atribución de características con fundamentos de teoría</w:t>
      </w:r>
      <w:r>
        <w:t xml:space="preserve"> </w:t>
      </w:r>
      <w:r>
        <w:t xml:space="preserve">de juegos, especialmente el valor de Shapley</w:t>
      </w:r>
      <w:r>
        <w:t xml:space="preserve"> </w:t>
      </w:r>
      <w:r>
        <w:t xml:space="preserve">(Shapley 1952)</w:t>
      </w:r>
      <w:r>
        <w:t xml:space="preserve">, formulado</w:t>
      </w:r>
      <w:r>
        <w:t xml:space="preserve"> </w:t>
      </w:r>
      <w:r>
        <w:t xml:space="preserve">originalmente para repartir de forma única la ganancia de un juego cooperativo</w:t>
      </w:r>
      <w:r>
        <w:t xml:space="preserve"> </w:t>
      </w:r>
      <w:r>
        <w:t xml:space="preserve">entre sus participantes y trasladado por</w:t>
      </w:r>
      <w:r>
        <w:t xml:space="preserve"> </w:t>
      </w:r>
      <w:r>
        <w:t xml:space="preserve">Lundberg (2017)</w:t>
      </w:r>
      <w:r>
        <w:t xml:space="preserve"> </w:t>
      </w:r>
      <w:r>
        <w:t xml:space="preserve">al problema de atribuir</w:t>
      </w:r>
      <w:r>
        <w:t xml:space="preserve"> </w:t>
      </w:r>
      <w:r>
        <w:t xml:space="preserve">importancia entre características. La predicción se</w:t>
      </w:r>
      <w:r>
        <w:t xml:space="preserve"> </w:t>
      </w:r>
      <w:r>
        <w:t xml:space="preserve">expresa como una suma de contribuciones atribuibles a cada característica, bajo</w:t>
      </w:r>
      <w:r>
        <w:t xml:space="preserve"> </w:t>
      </w:r>
      <w:r>
        <w:t xml:space="preserve">un conjunto de propiedades deseables para explicaciones aditivas.</w:t>
      </w:r>
    </w:p>
    <w:p>
      <w:pPr>
        <w:pStyle w:val="Textoindependiente"/>
        <w:spacing w:line="360" w:lineRule="auto"/>
        <w:jc w:val="both"/>
      </w:pPr>
      <w:r>
        <w:t xml:space="preserve">El coste de calcular exactamente el valor de Shapley crece de forma exponencial</w:t>
      </w:r>
      <w:r>
        <w:t xml:space="preserve"> </w:t>
      </w:r>
      <w:r>
        <w:t xml:space="preserve">con el número de características, de modo que su uso práctico descansa en</w:t>
      </w:r>
      <w:r>
        <w:t xml:space="preserve"> </w:t>
      </w:r>
      <w:r>
        <w:t xml:space="preserve">estimadores muestrales cuyas garantías han sido estudiadas de forma específica</w:t>
      </w:r>
      <w:r>
        <w:t xml:space="preserve"> </w:t>
      </w:r>
      <w:r>
        <w:t xml:space="preserve">(Mitchell et al. 2022)</w:t>
      </w:r>
      <w:r>
        <w:t xml:space="preserve">, y su complejidad computacional se ha caracterizado también para</w:t>
      </w:r>
      <w:r>
        <w:t xml:space="preserve"> </w:t>
      </w:r>
      <w:r>
        <w:t xml:space="preserve">familias de funciones concretas</w:t>
      </w:r>
      <w:r>
        <w:t xml:space="preserve"> </w:t>
      </w:r>
      <w:r>
        <w:t xml:space="preserve">(Karmakar et al. 2024)</w:t>
      </w:r>
      <w:r>
        <w:t xml:space="preserve">. La formulación aditiva original</w:t>
      </w:r>
      <w:r>
        <w:t xml:space="preserve"> </w:t>
      </w:r>
      <w:r>
        <w:t xml:space="preserve">tiene además límites conocidos que han motivado extensiones: no captura</w:t>
      </w:r>
      <w:r>
        <w:t xml:space="preserve"> </w:t>
      </w:r>
      <w:r>
        <w:t xml:space="preserve">interacciones entre características, lo que ha dado lugar a índices de</w:t>
      </w:r>
      <w:r>
        <w:t xml:space="preserve"> </w:t>
      </w:r>
      <w:r>
        <w:t xml:space="preserve">interacción con garantías de fidelidad</w:t>
      </w:r>
      <w:r>
        <w:t xml:space="preserve"> </w:t>
      </w:r>
      <w:r>
        <w:t xml:space="preserve">(Tsai et al. 2023)</w:t>
      </w:r>
      <w:r>
        <w:t xml:space="preserve">; asume independencia entre</w:t>
      </w:r>
      <w:r>
        <w:t xml:space="preserve"> </w:t>
      </w:r>
      <w:r>
        <w:t xml:space="preserve">características, supuesto que se viola en datos tabulares reales y que ha</w:t>
      </w:r>
      <w:r>
        <w:t xml:space="preserve"> </w:t>
      </w:r>
      <w:r>
        <w:t xml:space="preserve">motivado estimadores sensibles a la dependencia</w:t>
      </w:r>
      <w:r>
        <w:t xml:space="preserve"> </w:t>
      </w:r>
      <w:r>
        <w:t xml:space="preserve">(Olsen et al. 2022)</w:t>
      </w:r>
      <w:r>
        <w:t xml:space="preserve">; y se ha extendido</w:t>
      </w:r>
      <w:r>
        <w:t xml:space="preserve"> </w:t>
      </w:r>
      <w:r>
        <w:t xml:space="preserve">recientemente a escenarios multimodales</w:t>
      </w:r>
      <w:r>
        <w:t xml:space="preserve"> </w:t>
      </w:r>
      <w:r>
        <w:t xml:space="preserve">(Wang and Wang 2025)</w:t>
      </w:r>
      <w:r>
        <w:t xml:space="preserve">. Esta familia de trabajos es</w:t>
      </w:r>
      <w:r>
        <w:t xml:space="preserve"> </w:t>
      </w:r>
      <w:r>
        <w:t xml:space="preserve">relevante para el Capítulo 3 porque delimita qué significa exactamente «SHAP» en</w:t>
      </w:r>
      <w:r>
        <w:t xml:space="preserve"> </w:t>
      </w:r>
      <w:r>
        <w:t xml:space="preserve">un experimento: la etiqueta cubre estimadores distintos con supuestos distintos.</w:t>
      </w:r>
      <w:r>
        <w:t xml:space="preserve"> </w:t>
      </w:r>
      <w:r>
        <w:t xml:space="preserve">Una preocupación análoga por la dependencia entre características subyace a las</w:t>
      </w:r>
      <w:r>
        <w:t xml:space="preserve"> </w:t>
      </w:r>
      <w:r>
        <w:t xml:space="preserve">medidas de importancia por permutación, cuya interpretación exige razonar sobre</w:t>
      </w:r>
      <w:r>
        <w:t xml:space="preserve"> </w:t>
      </w:r>
      <w:r>
        <w:t xml:space="preserve">clases enteras de modelos y no sobre un único ajuste</w:t>
      </w:r>
      <w:r>
        <w:t xml:space="preserve"> </w:t>
      </w:r>
      <w:r>
        <w:t xml:space="preserve">(Fisher et al. 2019)</w:t>
      </w:r>
      <w:r>
        <w:t xml:space="preserve">. Esta base</w:t>
      </w:r>
      <w:r>
        <w:t xml:space="preserve"> </w:t>
      </w:r>
      <w:r>
        <w:t xml:space="preserve">formal ha convertido a SHAP en uno de los enfoques más influyentes para</w:t>
      </w:r>
      <w:r>
        <w:t xml:space="preserve"> </w:t>
      </w:r>
      <w:r>
        <w:t xml:space="preserve">interpretar modelos complejos.</w:t>
      </w:r>
    </w:p>
    <w:p>
      <w:pPr>
        <w:pStyle w:val="Textoindependiente"/>
        <w:spacing w:line="360" w:lineRule="auto"/>
        <w:jc w:val="both"/>
      </w:pPr>
      <w:r>
        <w:t xml:space="preserve">La fortaleza de SHAP está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árboles para</w:t>
      </w:r>
      <w:r>
        <w:t xml:space="preserve"> </w:t>
      </w:r>
      <w:r>
        <w:t xml:space="preserve">calcular atribuciones de forma más eficiente. KernelSHAP, en cambio, opera de</w:t>
      </w:r>
      <w:r>
        <w:t xml:space="preserve"> </w:t>
      </w:r>
      <w:r>
        <w:t xml:space="preserve">manera más general pero puede requerir numerosas evaluaciones del modelo,</w:t>
      </w:r>
      <w:r>
        <w:t xml:space="preserve"> </w:t>
      </w:r>
      <w:r>
        <w:t xml:space="preserve">generando costes computacionales elevados. Esta diferencia ilustra una tensión</w:t>
      </w:r>
      <w:r>
        <w:t xml:space="preserve"> </w:t>
      </w:r>
      <w:r>
        <w:t xml:space="preserve">recurrente: mayor generalidad suele implicar mayor coste o dependencia de</w:t>
      </w:r>
      <w:r>
        <w:t xml:space="preserve"> </w:t>
      </w:r>
      <w:r>
        <w:t xml:space="preserve">aproximaciones.</w:t>
      </w:r>
    </w:p>
    <w:p>
      <w:pPr>
        <w:pStyle w:val="Textoindependiente"/>
        <w:spacing w:line="360" w:lineRule="auto"/>
        <w:jc w:val="both"/>
      </w:pPr>
      <w:r>
        <w:t xml:space="preserve">SHAP también exige decisiones metodológicas que afectan la interpretación: el</w:t>
      </w:r>
      <w:r>
        <w:t xml:space="preserve"> </w:t>
      </w:r>
      <w:r>
        <w:t xml:space="preserve">conjunto de referencia, el tratamiento de dependencias entre características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métricas de fidelidad,</w:t>
      </w:r>
      <w:r>
        <w:t xml:space="preserve"> </w:t>
      </w:r>
      <w:r>
        <w:t xml:space="preserve">estabilidad, complejidad y coste.</w:t>
      </w:r>
    </w:p>
    <w:p>
      <w:pPr>
        <w:pStyle w:val="Textoindependiente"/>
        <w:spacing w:line="360" w:lineRule="auto"/>
        <w:jc w:val="both"/>
      </w:pPr>
      <w:r>
        <w:t xml:space="preserve">El carácter formal de SHAP puede inducir una lectura excesivamente fuerte si no</w:t>
      </w:r>
      <w:r>
        <w:t xml:space="preserve"> </w:t>
      </w:r>
      <w:r>
        <w:t xml:space="preserve">se separa fundamento matemático de uso empírico. El valor de Shapley aporta una</w:t>
      </w:r>
      <w:r>
        <w:t xml:space="preserve"> </w:t>
      </w:r>
      <w:r>
        <w:t xml:space="preserve">justificación axiomática para repartir una contribución entre jugadores o</w:t>
      </w:r>
      <w:r>
        <w:t xml:space="preserve"> </w:t>
      </w:r>
      <w:r>
        <w:t xml:space="preserve">características, pero la aplicación a modelos predictivos requiere definir una</w:t>
      </w:r>
      <w:r>
        <w:t xml:space="preserve"> </w:t>
      </w:r>
      <w:r>
        <w:t xml:space="preserve">distribución de referencia y una forma de simular presencia o ausencia de</w:t>
      </w:r>
      <w:r>
        <w:t xml:space="preserve"> </w:t>
      </w:r>
      <w:r>
        <w:t xml:space="preserve">características. En datos reales, especialmente cuando existen dependencias</w:t>
      </w:r>
      <w:r>
        <w:t xml:space="preserve"> </w:t>
      </w:r>
      <w:r>
        <w:t xml:space="preserve">entre variables, estas decisiones afectan el significado de la atribución. Por</w:t>
      </w:r>
      <w:r>
        <w:t xml:space="preserve"> </w:t>
      </w:r>
      <w:r>
        <w:t xml:space="preserve">eso, una tabla de valores SHAP no debe presentarse como una descomposición</w:t>
      </w:r>
      <w:r>
        <w:t xml:space="preserve"> </w:t>
      </w:r>
      <w:r>
        <w:t xml:space="preserve">causal directa de la predicción; debe presentarse como una atribución bajo</w:t>
      </w:r>
      <w:r>
        <w:t xml:space="preserve"> </w:t>
      </w:r>
      <w:r>
        <w:t xml:space="preserve">supuestos operacionales específicos</w:t>
      </w:r>
      <w:r>
        <w:t xml:space="preserve"> </w:t>
      </w:r>
      <w:r>
        <w:t xml:space="preserve">(Lundberg 2017; Carvalho et al. 2019)</w:t>
      </w:r>
      <w:r>
        <w:t xml:space="preserve">.</w:t>
      </w:r>
    </w:p>
    <w:p>
      <w:pPr>
        <w:pStyle w:val="Textoindependiente"/>
        <w:spacing w:line="360" w:lineRule="auto"/>
        <w:jc w:val="both"/>
      </w:pPr>
      <w:r>
        <w:t xml:space="preserve">La diferencia entre KernelSHAP y TreeSHAP también es relevante para el diseño</w:t>
      </w:r>
      <w:r>
        <w:t xml:space="preserve"> </w:t>
      </w:r>
      <w:r>
        <w:t xml:space="preserve">experimental. KernelSHAP conserva una orientación agnóstica, pero puede exigir</w:t>
      </w:r>
      <w:r>
        <w:t xml:space="preserve"> </w:t>
      </w:r>
      <w:r>
        <w:t xml:space="preserve">un número elevado de consultas al modelo. TreeSHAP aprovecha la estructura de</w:t>
      </w:r>
      <w:r>
        <w:t xml:space="preserve"> </w:t>
      </w:r>
      <w:r>
        <w:t xml:space="preserve">árboles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sí mismo una</w:t>
      </w:r>
      <w:r>
        <w:t xml:space="preserve"> </w:t>
      </w:r>
      <w:r>
        <w:t xml:space="preserve">condición experimental suficiente. Se debe específicar variante, modelo base,</w:t>
      </w:r>
      <w:r>
        <w:t xml:space="preserve"> </w:t>
      </w:r>
      <w:r>
        <w:t xml:space="preserve">conjunto de referencia, estrategia de aproximación y coste de cómputo. La</w:t>
      </w:r>
      <w:r>
        <w:t xml:space="preserve"> </w:t>
      </w:r>
      <w:r>
        <w:t xml:space="preserve">literatura teórica sobre la tractabilidad de SHAP refuerza esta precaución:</w:t>
      </w:r>
      <w:r>
        <w:t xml:space="preserve"> </w:t>
      </w:r>
      <w:r>
        <w:t xml:space="preserve">calcular explicaciones exactas puede ser difícil o inviable en clases amplias de</w:t>
      </w:r>
      <w:r>
        <w:t xml:space="preserve"> </w:t>
      </w:r>
      <w:r>
        <w:t xml:space="preserve">modelos, por lo que la evaluación debe registrar cuando se trabaja con</w:t>
      </w:r>
      <w:r>
        <w:t xml:space="preserve"> </w:t>
      </w:r>
      <w:r>
        <w:t xml:space="preserve">aproximaciones y qué compromisos introducen</w:t>
      </w:r>
      <w:r>
        <w:t xml:space="preserve"> </w:t>
      </w:r>
      <w:r>
        <w:t xml:space="preserve">(Van den Broeck et al. 2022)</w:t>
      </w:r>
      <w:r>
        <w:t xml:space="preserve">.</w:t>
      </w:r>
    </w:p>
    <w:p>
      <w:pPr>
        <w:pStyle w:val="Textoindependiente"/>
        <w:spacing w:line="360" w:lineRule="auto"/>
        <w:jc w:val="both"/>
      </w:pPr>
      <w:r>
        <w:t xml:space="preserve">SHAP ocupa asi una posición doble en la tesis. Por un lado, es un referente</w:t>
      </w:r>
      <w:r>
        <w:t xml:space="preserve"> </w:t>
      </w:r>
      <w:r>
        <w:t xml:space="preserve">indispensable por su formalizacion de la atribución aditiva y su adopcion en</w:t>
      </w:r>
      <w:r>
        <w:t xml:space="preserve"> </w:t>
      </w:r>
      <w:r>
        <w:t xml:space="preserve">investigación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asignación de contribuciones; en LIME, una</w:t>
      </w:r>
      <w:r>
        <w:t xml:space="preserve"> </w:t>
      </w:r>
      <w:r>
        <w:t xml:space="preserve">aproximación local; en Anchors, una regla; en DiCE, una alternativa</w:t>
      </w:r>
      <w:r>
        <w:t xml:space="preserve"> </w:t>
      </w:r>
      <w:r>
        <w:t xml:space="preserve">contrafactual. Esta heterogeneidad exige métricas diferenciadas y afirmaciones</w:t>
      </w:r>
      <w:r>
        <w:t xml:space="preserve"> </w:t>
      </w:r>
      <w:r>
        <w:t xml:space="preserve">cuidadosamente acotadas</w:t>
      </w:r>
      <w:r>
        <w:t xml:space="preserve"> </w:t>
      </w:r>
      <w:r>
        <w:t xml:space="preserve">(Guidotti et al. 2018; Nauta et al. 2023)</w:t>
      </w:r>
      <w:r>
        <w:t xml:space="preserve">.</w:t>
      </w:r>
    </w:p>
    <w:bookmarkEnd w:id="48"/>
    <w:bookmarkStart w:id="49" w:name="X029215b3a63b0848a75a7aa70454b1144c0f31f"/>
    <w:p>
      <w:pPr>
        <w:pStyle w:val="Ttulo3"/>
        <w:spacing w:line="360" w:lineRule="auto"/>
        <w:jc w:val="both"/>
      </w:pPr>
      <w:r>
        <w:t xml:space="preserve">Anchors: reglas de alta precisión y límites de cobertura</w:t>
      </w:r>
    </w:p>
    <w:p>
      <w:pPr>
        <w:pStyle w:val="FirstParagraph"/>
        <w:spacing w:line="360" w:lineRule="auto"/>
        <w:jc w:val="both"/>
      </w:pPr>
      <w:r>
        <w:t xml:space="preserve">Anchors propone explicaciones en forma de reglas locales de alta precisión</w:t>
      </w:r>
      <w:r>
        <w:t xml:space="preserve"> </w:t>
      </w:r>
      <w:r>
        <w:t xml:space="preserve">(Ribeiro 2018)</w:t>
      </w:r>
      <w:r>
        <w:t xml:space="preserve">, continuando una tradición que había explorado ya las reglas como</w:t>
      </w:r>
      <w:r>
        <w:t xml:space="preserve"> </w:t>
      </w:r>
      <w:r>
        <w:t xml:space="preserve">formato explicativo mediante ensembles de reglas ajustados sobre el modelo</w:t>
      </w:r>
      <w:r>
        <w:t xml:space="preserve"> </w:t>
      </w:r>
      <w:r>
        <w:t xml:space="preserve">predictivo</w:t>
      </w:r>
      <w:r>
        <w:t xml:space="preserve"> </w:t>
      </w:r>
      <w:r>
        <w:t xml:space="preserve">(Friedman 2008)</w:t>
      </w:r>
      <w:r>
        <w:t xml:space="preserve">. En vez de asignar pesos a características, busca condiciones</w:t>
      </w:r>
      <w:r>
        <w:t xml:space="preserve"> </w:t>
      </w:r>
      <w:r>
        <w:t xml:space="preserve">que, cuando se cumplen, hacen que el modelo mantenga una predicción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predicción se mantiene”</w:t>
      </w:r>
      <w:r>
        <w:t xml:space="preserve"> </w:t>
      </w:r>
      <w:r>
        <w:t xml:space="preserve">puede ser más accionable</w:t>
      </w:r>
      <w:r>
        <w:t xml:space="preserve"> </w:t>
      </w:r>
      <w:r>
        <w:t xml:space="preserve">que una lista de pesos.</w:t>
      </w:r>
    </w:p>
    <w:p>
      <w:pPr>
        <w:pStyle w:val="Textoindependiente"/>
        <w:spacing w:line="360" w:lineRule="auto"/>
        <w:jc w:val="both"/>
      </w:pPr>
      <w:r>
        <w:t xml:space="preserve">La precisión de una regla, sin embargo, debe interpretarse junto con su</w:t>
      </w:r>
      <w:r>
        <w:t xml:space="preserve"> </w:t>
      </w:r>
      <w:r>
        <w:t xml:space="preserve">cobertura. Una regla extremadamente específica puede alcanzar alta precisión</w:t>
      </w:r>
      <w:r>
        <w:t xml:space="preserve"> </w:t>
      </w:r>
      <w:r>
        <w:t xml:space="preserve">porque aplica a muy pocos casos. Una regla más general puede cubrir una región</w:t>
      </w:r>
      <w:r>
        <w:t xml:space="preserve"> </w:t>
      </w:r>
      <w:r>
        <w:t xml:space="preserve">amplia, pero perder precisión. Esta tensión convierte a Anchors en un caso</w:t>
      </w:r>
      <w:r>
        <w:t xml:space="preserve"> </w:t>
      </w:r>
      <w:r>
        <w:t xml:space="preserve">fundamental para la evaluación multinivel: una métrica aislada puede favorecer</w:t>
      </w:r>
      <w:r>
        <w:t xml:space="preserve"> </w:t>
      </w:r>
      <w:r>
        <w:t xml:space="preserve">reglas aparentemente excelentes que no son útiles fuera de un subconjunto</w:t>
      </w:r>
      <w:r>
        <w:t xml:space="preserve"> </w:t>
      </w:r>
      <w:r>
        <w:t xml:space="preserve">limitado.</w:t>
      </w:r>
    </w:p>
    <w:p>
      <w:pPr>
        <w:pStyle w:val="Textoindependiente"/>
        <w:spacing w:line="360" w:lineRule="auto"/>
        <w:jc w:val="both"/>
      </w:pPr>
      <w:r>
        <w:t xml:space="preserve">Para FOM-7, Anchors representa explicaciones basadas en condiciones suficientes</w:t>
      </w:r>
      <w:r>
        <w:t xml:space="preserve"> </w:t>
      </w:r>
      <w:r>
        <w:t xml:space="preserve">aproximadas. Su evaluación debe separar precisión local, cobertura,</w:t>
      </w:r>
      <w:r>
        <w:t xml:space="preserve"> </w:t>
      </w:r>
      <w:r>
        <w:t xml:space="preserve">complejidad de regla y reproducibilidad. Esta separación evita comparar Anchors</w:t>
      </w:r>
      <w:r>
        <w:t xml:space="preserve"> </w:t>
      </w:r>
      <w:r>
        <w:t xml:space="preserve">con LIME o SHAP como si todos produjeran el mismo tipo de evidencia.</w:t>
      </w:r>
    </w:p>
    <w:p>
      <w:pPr>
        <w:pStyle w:val="Textoindependiente"/>
        <w:spacing w:line="360" w:lineRule="auto"/>
        <w:jc w:val="both"/>
      </w:pPr>
      <w:r>
        <w:t xml:space="preserve">La contribución conceptual de Anchors es introducir una forma de explicación que</w:t>
      </w:r>
      <w:r>
        <w:t xml:space="preserve"> </w:t>
      </w:r>
      <w:r>
        <w:t xml:space="preserve">se aproxima al razonamiento por condiciones: una predicción se mantiene cuando</w:t>
      </w:r>
      <w:r>
        <w:t xml:space="preserve"> </w:t>
      </w:r>
      <w:r>
        <w:t xml:space="preserve">ciertas premisas se conservan. Esta estructura puede ser más legible que una</w:t>
      </w:r>
      <w:r>
        <w:t xml:space="preserve"> </w:t>
      </w:r>
      <w:r>
        <w:t xml:space="preserve">lista de pesos, especialmente cuando la explicación se comunica a personas que</w:t>
      </w:r>
      <w:r>
        <w:t xml:space="preserve"> </w:t>
      </w:r>
      <w:r>
        <w:t xml:space="preserve">razonan mediante reglas o excepciones. Sin embargo, la legibilidad no resuelve</w:t>
      </w:r>
      <w:r>
        <w:t xml:space="preserve"> </w:t>
      </w:r>
      <w:r>
        <w:t xml:space="preserve">el problema de validez. Una regla de alta precisión puede estar anclada en una</w:t>
      </w:r>
      <w:r>
        <w:t xml:space="preserve"> </w:t>
      </w:r>
      <w:r>
        <w:t xml:space="preserve">región pequena del espacio de datos; una regla de mayor cobertura puede perder</w:t>
      </w:r>
      <w:r>
        <w:t xml:space="preserve"> </w:t>
      </w:r>
      <w:r>
        <w:t xml:space="preserve">garantias locales. Por tanto, precisión y cobertura deben reportarse juntas, y</w:t>
      </w:r>
      <w:r>
        <w:t xml:space="preserve"> </w:t>
      </w:r>
      <w:r>
        <w:t xml:space="preserve">ninguna debe convertirse por sí sola en sinonimo de calidad explicativa</w:t>
      </w:r>
      <w:r>
        <w:t xml:space="preserve"> </w:t>
      </w:r>
      <w:r>
        <w:t xml:space="preserve">(Ribeiro 2018; Guidotti et al. 2018)</w:t>
      </w:r>
      <w:r>
        <w:t xml:space="preserve">.</w:t>
      </w:r>
    </w:p>
    <w:p>
      <w:pPr>
        <w:pStyle w:val="Textoindependiente"/>
        <w:spacing w:line="360" w:lineRule="auto"/>
        <w:jc w:val="both"/>
      </w:pPr>
      <w:r>
        <w:t xml:space="preserve">Anchors también muestra por qué la evaluación debe atender al formato de salida.</w:t>
      </w:r>
      <w:r>
        <w:t xml:space="preserve"> </w:t>
      </w:r>
      <w:r>
        <w:t xml:space="preserve">Una regla tiene cardinalidad, condiciones, umbrales y cobertura; una atribución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más la conveniencia de la métrica que la calidad del método. Para FOM-7,</w:t>
      </w:r>
      <w:r>
        <w:t xml:space="preserve"> </w:t>
      </w:r>
      <w:r>
        <w:t xml:space="preserve">Anchors cumple entonces una función teórica: obliga a reconocer que las métricas</w:t>
      </w:r>
      <w:r>
        <w:t xml:space="preserve"> </w:t>
      </w:r>
      <w:r>
        <w:t xml:space="preserve">deben estar alineadas con el tipo de explicación. La tesis no debe preguntar</w:t>
      </w:r>
      <w:r>
        <w:t xml:space="preserve"> </w:t>
      </w:r>
      <w:r>
        <w:t xml:space="preserve">solo</w:t>
      </w:r>
      <w:r>
        <w:t xml:space="preserve"> </w:t>
      </w:r>
      <w:r>
        <w:t xml:space="preserve">“qué método gana”</w:t>
      </w:r>
      <w:r>
        <w:t xml:space="preserve">, sino</w:t>
      </w:r>
      <w:r>
        <w:t xml:space="preserve"> </w:t>
      </w:r>
      <w:r>
        <w:t xml:space="preserve">“qué propiedad de qué objeto explicativo se está</w:t>
      </w:r>
      <w:r>
        <w:t xml:space="preserve"> </w:t>
      </w:r>
      <w:r>
        <w:t xml:space="preserve">evaluando bajo qué condiciones”</w:t>
      </w:r>
      <w:r>
        <w:t xml:space="preserve"> </w:t>
      </w:r>
      <w:r>
        <w:t xml:space="preserve">(Carvalho et al. 2019; Nauta et al. 2023)</w:t>
      </w:r>
      <w:r>
        <w:t xml:space="preserve">.</w:t>
      </w:r>
    </w:p>
    <w:bookmarkEnd w:id="49"/>
    <w:bookmarkStart w:id="50" w:name="Xd196f32f12fd1cc1850af93995e5a1615dfcb83"/>
    <w:p>
      <w:pPr>
        <w:pStyle w:val="Ttulo3"/>
        <w:spacing w:line="360" w:lineRule="auto"/>
        <w:jc w:val="both"/>
      </w:pPr>
      <w:r>
        <w:t xml:space="preserve">DiCE: contrafactuales, accionabilidad y validez</w:t>
      </w:r>
    </w:p>
    <w:p>
      <w:pPr>
        <w:pStyle w:val="FirstParagraph"/>
        <w:spacing w:line="360" w:lineRule="auto"/>
        <w:jc w:val="both"/>
      </w:pPr>
      <w:r>
        <w:t xml:space="preserve">DiCE introduce explicaciones contrafactuales diversas, orientadas a mostrar</w:t>
      </w:r>
      <w:r>
        <w:t xml:space="preserve"> </w:t>
      </w:r>
      <w:r>
        <w:t xml:space="preserve">cambios plausibles que podrían alterar la decisión de un modelo</w:t>
      </w:r>
      <w:r>
        <w:t xml:space="preserve"> </w:t>
      </w:r>
      <w:r>
        <w:t xml:space="preserve">(Mothilal 2020)</w:t>
      </w:r>
      <w:r>
        <w:t xml:space="preserve">.</w:t>
      </w:r>
      <w:r>
        <w:t xml:space="preserve"> </w:t>
      </w:r>
      <w:r>
        <w:t xml:space="preserve">Su pregunta no es</w:t>
      </w:r>
      <w:r>
        <w:t xml:space="preserve"> </w:t>
      </w:r>
      <w:r>
        <w:t xml:space="preserve">“qué características contribuyeron más a esta predicción”</w:t>
      </w:r>
      <w:r>
        <w:t xml:space="preserve">,</w:t>
      </w:r>
      <w:r>
        <w:t xml:space="preserve"> </w:t>
      </w:r>
      <w:r>
        <w:t xml:space="preserve">sino</w:t>
      </w:r>
      <w:r>
        <w:t xml:space="preserve"> </w:t>
      </w:r>
      <w:r>
        <w:t xml:space="preserve">“qué tendría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acción.</w:t>
      </w:r>
    </w:p>
    <w:p>
      <w:pPr>
        <w:pStyle w:val="Textoindependiente"/>
        <w:spacing w:line="360" w:lineRule="auto"/>
        <w:jc w:val="both"/>
      </w:pPr>
      <w:r>
        <w:t xml:space="preserve">La evaluación de contrafactuales exige criterios adicionales. Un contrafactual</w:t>
      </w:r>
      <w:r>
        <w:t xml:space="preserve"> </w:t>
      </w:r>
      <w:r>
        <w:t xml:space="preserve">debe ser válido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semánticas: no todas las características</w:t>
      </w:r>
      <w:r>
        <w:t xml:space="preserve"> </w:t>
      </w:r>
      <w:r>
        <w:t xml:space="preserve">pueden modificarse, y no todos los cambios matemáticamente cercanos son</w:t>
      </w:r>
      <w:r>
        <w:t xml:space="preserve"> </w:t>
      </w:r>
      <w:r>
        <w:t xml:space="preserve">realistas. Por ello, una métrica de fidelidad tradicional puede ser insuficiente</w:t>
      </w:r>
      <w:r>
        <w:t xml:space="preserve"> </w:t>
      </w:r>
      <w:r>
        <w:t xml:space="preserve">para evaluar DiCE si no se acompaña de criterios de plausibilidad,</w:t>
      </w:r>
      <w:r>
        <w:t xml:space="preserve"> </w:t>
      </w:r>
      <w:r>
        <w:t xml:space="preserve">factibilidad y coherencia con el dominio</w:t>
      </w:r>
      <w:r>
        <w:t xml:space="preserve"> </w:t>
      </w:r>
      <w:r>
        <w:t xml:space="preserve">(Mothilal 2020; Karimi et al. 2022)</w:t>
      </w:r>
      <w:r>
        <w:t xml:space="preserve">.</w:t>
      </w:r>
    </w:p>
    <w:p>
      <w:pPr>
        <w:pStyle w:val="Textoindependiente"/>
        <w:spacing w:line="360" w:lineRule="auto"/>
        <w:jc w:val="both"/>
      </w:pPr>
      <w:r>
        <w:t xml:space="preserve">En esta tesis, DiCE permite mostrar que FOM-7 no debe forzar una métrica única</w:t>
      </w:r>
      <w:r>
        <w:t xml:space="preserve"> </w:t>
      </w:r>
      <w:r>
        <w:t xml:space="preserve">sobre objetos explicativos heterogéneos.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spacing w:line="360" w:lineRule="auto"/>
        <w:jc w:val="both"/>
      </w:pPr>
      <w:r>
        <w:t xml:space="preserve">La familia contrafactual amplía la XAI hacia preguntas de recourse y acción.</w:t>
      </w:r>
      <w:r>
        <w:t xml:space="preserve"> </w:t>
      </w:r>
      <w:r>
        <w:t xml:space="preserve">Mientras LIME o SHAP suelen describir por qué una decisión fue tomada en</w:t>
      </w:r>
      <w:r>
        <w:t xml:space="preserve"> </w:t>
      </w:r>
      <w:r>
        <w:t xml:space="preserve">términos de contribuciones o aproximaciones, el contrafactual pregunta que</w:t>
      </w:r>
      <w:r>
        <w:t xml:space="preserve"> </w:t>
      </w:r>
      <w:r>
        <w:t xml:space="preserve">alternativas podrían cambiar el resultado. Esta orientación es atractiva en</w:t>
      </w:r>
      <w:r>
        <w:t xml:space="preserve"> </w:t>
      </w:r>
      <w:r>
        <w:t xml:space="preserve">dominios de decisión porque conecta explicación con posibilidad de intervencion.</w:t>
      </w:r>
      <w:r>
        <w:t xml:space="preserve"> </w:t>
      </w:r>
      <w:r>
        <w:t xml:space="preserve">Sin embargo, también introduce exigencias más fuertes: los cambios sugeridos</w:t>
      </w:r>
      <w:r>
        <w:t xml:space="preserve"> </w:t>
      </w:r>
      <w:r>
        <w:t xml:space="preserve">deben ser posibles, coherentes con restricciones del dominio y no meramente</w:t>
      </w:r>
      <w:r>
        <w:t xml:space="preserve"> </w:t>
      </w:r>
      <w:r>
        <w:t xml:space="preserve">artefactos matemáticos cercanos en el espacio de variables. La literatura sobre</w:t>
      </w:r>
      <w:r>
        <w:t xml:space="preserve"> </w:t>
      </w:r>
      <w:r>
        <w:t xml:space="preserve">recourse enfatiza precisamente que una recomendación consecuencial debe evaluar</w:t>
      </w:r>
      <w:r>
        <w:t xml:space="preserve"> </w:t>
      </w:r>
      <w:r>
        <w:t xml:space="preserve">factibilidad, accionabilidad y consecuencias, no solo inversión de etiqueta</w:t>
      </w:r>
      <w:r>
        <w:t xml:space="preserve"> </w:t>
      </w:r>
      <w:r>
        <w:t xml:space="preserve">(Karimi et al. 2022)</w:t>
      </w:r>
      <w:r>
        <w:t xml:space="preserve">.</w:t>
      </w:r>
    </w:p>
    <w:p>
      <w:pPr>
        <w:pStyle w:val="Textoindependiente"/>
        <w:spacing w:line="360" w:lineRule="auto"/>
        <w:jc w:val="both"/>
      </w:pPr>
      <w:r>
        <w:t xml:space="preserve">DiCE aporta diversidad de alternativas contrafactuales, pero diversidad no</w:t>
      </w:r>
      <w:r>
        <w:t xml:space="preserve"> </w:t>
      </w:r>
      <w:r>
        <w:t xml:space="preserve">equivale automáticamente a accionabilidad. Un conjunto de contrafactuales puede</w:t>
      </w:r>
      <w:r>
        <w:t xml:space="preserve"> </w:t>
      </w:r>
      <w:r>
        <w:t xml:space="preserve">ser diverso en distancia matemática y aun así incluir cambios imposibles para</w:t>
      </w:r>
      <w:r>
        <w:t xml:space="preserve"> </w:t>
      </w:r>
      <w:r>
        <w:t xml:space="preserve">una persona o incoherentes con relaciones del dominio. FACE aborda esta</w:t>
      </w:r>
      <w:r>
        <w:t xml:space="preserve"> </w:t>
      </w:r>
      <w:r>
        <w:t xml:space="preserve">preocupación al enfatizar contrafactuales factibles y accionables en regiones</w:t>
      </w:r>
      <w:r>
        <w:t xml:space="preserve"> </w:t>
      </w:r>
      <w:r>
        <w:t xml:space="preserve">conectadas por datos observados</w:t>
      </w:r>
      <w:r>
        <w:t xml:space="preserve"> </w:t>
      </w:r>
      <w:r>
        <w:t xml:space="preserve">(Poyiadzi et al. 2020)</w:t>
      </w:r>
      <w:r>
        <w:t xml:space="preserve">. A la vez, las críticas sobre</w:t>
      </w:r>
      <w:r>
        <w:t xml:space="preserve"> </w:t>
      </w:r>
      <w:r>
        <w:t xml:space="preserve">contrafactuales post-hoc advierten que una explicación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tensión exige que DiCE sea evaluado</w:t>
      </w:r>
      <w:r>
        <w:t xml:space="preserve"> </w:t>
      </w:r>
      <w:r>
        <w:t xml:space="preserve">con criterios propios: validez de cambio de salida, proximidad, diversidad,</w:t>
      </w:r>
      <w:r>
        <w:t xml:space="preserve"> </w:t>
      </w:r>
      <w:r>
        <w:t xml:space="preserve">factibilidad, accionabilidad y límites de inferencia.</w:t>
      </w:r>
    </w:p>
    <w:p>
      <w:pPr>
        <w:pStyle w:val="Textoindependiente"/>
        <w:spacing w:line="360" w:lineRule="auto"/>
        <w:jc w:val="both"/>
      </w:pPr>
      <w:r>
        <w:t xml:space="preserve">El papel de los contrafactuales en la tesis no es demostrar que el usuario</w:t>
      </w:r>
      <w:r>
        <w:t xml:space="preserve"> </w:t>
      </w:r>
      <w:r>
        <w:t xml:space="preserve">puede ejecutar realmente la acción sugerida en cualquier dominio. El alcance es</w:t>
      </w:r>
      <w:r>
        <w:t xml:space="preserve"> </w:t>
      </w:r>
      <w:r>
        <w:t xml:space="preserve">más prudente: examinar si el método produce artefactos que cumplen criterios</w:t>
      </w:r>
      <w:r>
        <w:t xml:space="preserve"> </w:t>
      </w:r>
      <w:r>
        <w:t xml:space="preserve">operacionales definidos y si esos criterios son trazables. Esta distinción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revisión</w:t>
      </w:r>
      <w:r>
        <w:t xml:space="preserve"> </w:t>
      </w:r>
      <w:r>
        <w:t xml:space="preserve">doctoral debe hacer visible</w:t>
      </w:r>
      <w:r>
        <w:t xml:space="preserve"> </w:t>
      </w:r>
      <w:r>
        <w:t xml:space="preserve">(Langer et al. 2021; Karimi et al. 2022)</w:t>
      </w:r>
      <w:r>
        <w:t xml:space="preserve">.</w:t>
      </w:r>
    </w:p>
    <w:bookmarkEnd w:id="50"/>
    <w:bookmarkEnd w:id="51"/>
    <w:bookmarkStart w:id="55" w:name="marcos-y-protocolos-de-evaluación-xai"/>
    <w:p>
      <w:pPr>
        <w:pStyle w:val="Ttulo2"/>
        <w:spacing w:line="360" w:lineRule="auto"/>
        <w:jc w:val="both"/>
      </w:pPr>
      <w:r>
        <w:t xml:space="preserve">Marcos y protocolos de evaluación XAI</w:t>
      </w:r>
    </w:p>
    <w:p>
      <w:pPr>
        <w:pStyle w:val="FirstParagraph"/>
        <w:spacing w:line="360" w:lineRule="auto"/>
        <w:jc w:val="both"/>
      </w:pPr>
      <w:r>
        <w:t xml:space="preserve">La última década ha producido, junto a los toolkits ya citados, un conjunto</w:t>
      </w:r>
      <w:r>
        <w:t xml:space="preserve"> </w:t>
      </w:r>
      <w:r>
        <w:t xml:space="preserve">creciente de marcos y bancos de prueba orientados específicamente a</w:t>
      </w:r>
      <w:r>
        <w:t xml:space="preserve"> </w:t>
      </w:r>
      <w:r>
        <w:rPr>
          <w:i/>
          <w:iCs/>
        </w:rPr>
        <w:t xml:space="preserve">evaluar</w:t>
      </w:r>
      <w:r>
        <w:t xml:space="preserve"> </w:t>
      </w:r>
      <w:r>
        <w:t xml:space="preserve">explicaciones en lugar de generarlas. Los trabajos recientes incluyen bancos de</w:t>
      </w:r>
      <w:r>
        <w:t xml:space="preserve"> </w:t>
      </w:r>
      <w:r>
        <w:t xml:space="preserve">prueba multi-métrica de propósito general</w:t>
      </w:r>
      <w:r>
        <w:t xml:space="preserve"> </w:t>
      </w:r>
      <w:r>
        <w:t xml:space="preserve">(Sithakoul et al. 2024)</w:t>
      </w:r>
      <w:r>
        <w:t xml:space="preserve">, revisiones y</w:t>
      </w:r>
      <w:r>
        <w:t xml:space="preserve"> </w:t>
      </w:r>
      <w:r>
        <w:t xml:space="preserve">taxonomías de métricas de evaluación</w:t>
      </w:r>
      <w:r>
        <w:t xml:space="preserve"> </w:t>
      </w:r>
      <w:r>
        <w:t xml:space="preserve">(Kadir et al. 2023)</w:t>
      </w:r>
      <w:r>
        <w:t xml:space="preserve">, protocolos para dominios</w:t>
      </w:r>
      <w:r>
        <w:t xml:space="preserve"> </w:t>
      </w:r>
      <w:r>
        <w:t xml:space="preserve">concretos como las redes neuronales sobre grafos</w:t>
      </w:r>
      <w:r>
        <w:t xml:space="preserve"> </w:t>
      </w:r>
      <w:r>
        <w:t xml:space="preserve">(Agarwal et al. 2023; Proszewska et al. 2025)</w:t>
      </w:r>
      <w:r>
        <w:t xml:space="preserve"> </w:t>
      </w:r>
      <w:r>
        <w:t xml:space="preserve">o la detección de contenido sintético</w:t>
      </w:r>
      <w:r>
        <w:t xml:space="preserve"> </w:t>
      </w:r>
      <w:r>
        <w:t xml:space="preserve">(Tsigos et al. 2024)</w:t>
      </w:r>
      <w:r>
        <w:t xml:space="preserve">, evaluaciones centradas en la</w:t>
      </w:r>
      <w:r>
        <w:t xml:space="preserve"> </w:t>
      </w:r>
      <w:r>
        <w:t xml:space="preserve">representación visual de las atribuciones</w:t>
      </w:r>
      <w:r>
        <w:t xml:space="preserve"> </w:t>
      </w:r>
      <w:r>
        <w:t xml:space="preserve">(Cunha and Barbosa 2024)</w:t>
      </w:r>
      <w:r>
        <w:t xml:space="preserve">, estudios que miden la</w:t>
      </w:r>
      <w:r>
        <w:t xml:space="preserve"> </w:t>
      </w:r>
      <w:r>
        <w:t xml:space="preserve">interpretabilidad percibida del propio artefacto explicativo</w:t>
      </w:r>
      <w:r>
        <w:t xml:space="preserve"> </w:t>
      </w:r>
      <w:r>
        <w:t xml:space="preserve">(Morrison et al. 2023)</w:t>
      </w:r>
      <w:r>
        <w:t xml:space="preserve">, y</w:t>
      </w:r>
      <w:r>
        <w:t xml:space="preserve"> </w:t>
      </w:r>
      <w:r>
        <w:t xml:space="preserve">pruebas de robustez de las explicaciones frente a ejemplos adversarios</w:t>
      </w:r>
      <w:r>
        <w:t xml:space="preserve"> </w:t>
      </w:r>
      <w:r>
        <w:t xml:space="preserve">(Kumagai et al. 2023)</w:t>
      </w:r>
      <w:r>
        <w:t xml:space="preserve">. A ellos se suman las bibliotecas que instrumentan la generación y</w:t>
      </w:r>
      <w:r>
        <w:t xml:space="preserve"> </w:t>
      </w:r>
      <w:r>
        <w:t xml:space="preserve">el análisis de explicaciones de forma reproducible</w:t>
      </w:r>
      <w:r>
        <w:t xml:space="preserve"> </w:t>
      </w:r>
      <w:r>
        <w:t xml:space="preserve">(Li et al. 2022)</w:t>
      </w:r>
      <w:r>
        <w:t xml:space="preserve">, los tutoriales</w:t>
      </w:r>
      <w:r>
        <w:t xml:space="preserve"> </w:t>
      </w:r>
      <w:r>
        <w:t xml:space="preserve">metodológicos que consolidan buenas prácticas de aplicación</w:t>
      </w:r>
      <w:r>
        <w:t xml:space="preserve"> </w:t>
      </w:r>
      <w:r>
        <w:t xml:space="preserve">(Bennetot et al. 2024)</w:t>
      </w:r>
      <w:r>
        <w:t xml:space="preserve"> </w:t>
      </w:r>
      <w:r>
        <w:t xml:space="preserve">y las</w:t>
      </w:r>
      <w:r>
        <w:t xml:space="preserve"> </w:t>
      </w:r>
      <w:r>
        <w:t xml:space="preserve">propuestas que desplazan la evaluación desde la atribución por característica</w:t>
      </w:r>
      <w:r>
        <w:t xml:space="preserve"> </w:t>
      </w:r>
      <w:r>
        <w:t xml:space="preserve">hacia conceptos de alto nivel definidos por el usuario</w:t>
      </w:r>
      <w:r>
        <w:t xml:space="preserve"> </w:t>
      </w:r>
      <w:r>
        <w:t xml:space="preserve">(Kim et al. 2018)</w:t>
      </w:r>
      <w:r>
        <w:t xml:space="preserve">. El panorama</w:t>
      </w:r>
      <w:r>
        <w:t xml:space="preserve"> </w:t>
      </w:r>
      <w:r>
        <w:t xml:space="preserve">resultante confirma la premisa de esta tesis: existe abundancia de instrumentos</w:t>
      </w:r>
      <w:r>
        <w:t xml:space="preserve"> </w:t>
      </w:r>
      <w:r>
        <w:t xml:space="preserve">de medida y escasez de protocolos que gobiernen su uso.</w:t>
      </w:r>
    </w:p>
    <w:p>
      <w:pPr>
        <w:pStyle w:val="Textoindependiente"/>
        <w:spacing w:line="360" w:lineRule="auto"/>
        <w:jc w:val="both"/>
      </w:pPr>
      <w:r>
        <w:t xml:space="preserve">La evaluación de interpretabilidad requiere distinguir niveles de evidencia.</w:t>
      </w:r>
      <w:r>
        <w:t xml:space="preserve"> </w:t>
      </w:r>
      <w:r>
        <w:t xml:space="preserve">Doshi-Velez (2017)</w:t>
      </w:r>
      <w:r>
        <w:t xml:space="preserve"> </w:t>
      </w:r>
      <w:r>
        <w:t xml:space="preserve">proponen una taxonomía influyente: evaluación</w:t>
      </w:r>
      <w:r>
        <w:t xml:space="preserve"> </w:t>
      </w:r>
      <w:r>
        <w:t xml:space="preserve">application-grounded, human-grounded y functionally-grounded. La primera evalúa</w:t>
      </w:r>
      <w:r>
        <w:t xml:space="preserve"> </w:t>
      </w:r>
      <w:r>
        <w:t xml:space="preserve">explicaciones en tareas reales con usuarios y dominios específicos. La segunda</w:t>
      </w:r>
      <w:r>
        <w:t xml:space="preserve"> </w:t>
      </w:r>
      <w:r>
        <w:t xml:space="preserve">usa tareas simplificadas con humanos para estudiar propiedades generales de la</w:t>
      </w:r>
      <w:r>
        <w:t xml:space="preserve"> </w:t>
      </w:r>
      <w:r>
        <w:t xml:space="preserve">explicación. La tercera reemplaza la evaluación humana por proxies formales o</w:t>
      </w:r>
      <w:r>
        <w:t xml:space="preserve"> </w:t>
      </w:r>
      <w:r>
        <w:t xml:space="preserve">computacionales cuando existe una razón teórica para hacerlo. Esta distinción</w:t>
      </w:r>
      <w:r>
        <w:t xml:space="preserve"> </w:t>
      </w:r>
      <w:r>
        <w:t xml:space="preserve">es esencial para FOM-7, porque la presente tesis se ubica principalmente en una</w:t>
      </w:r>
      <w:r>
        <w:t xml:space="preserve"> </w:t>
      </w:r>
      <w:r>
        <w:t xml:space="preserve">evaluación functionally-grounded con aspiraciones de trazabilidad hacia</w:t>
      </w:r>
      <w:r>
        <w:t xml:space="preserve"> </w:t>
      </w:r>
      <w:r>
        <w:t xml:space="preserve">afirmaciones técnicas.</w:t>
      </w:r>
    </w:p>
    <w:p>
      <w:pPr>
        <w:pStyle w:val="Textoindependiente"/>
        <w:spacing w:line="360" w:lineRule="auto"/>
        <w:jc w:val="both"/>
      </w:pPr>
      <w:r>
        <w:t xml:space="preserve">La distinción entre estos niveles evita una confusión frecuente: evaluar una</w:t>
      </w:r>
      <w:r>
        <w:t xml:space="preserve"> </w:t>
      </w:r>
      <w:r>
        <w:t xml:space="preserve">explicación con una métrica computacional no equivale a demostrar que mejora la</w:t>
      </w:r>
      <w:r>
        <w:t xml:space="preserve"> </w:t>
      </w:r>
      <w:r>
        <w:t xml:space="preserve">decisión humana. Los estudios human-grounded muestran que la relación entre</w:t>
      </w:r>
      <w:r>
        <w:t xml:space="preserve"> </w:t>
      </w:r>
      <w:r>
        <w:t xml:space="preserve">formato explicativo y comportamiento del usuario es empírica, no deducible solo</w:t>
      </w:r>
      <w:r>
        <w:t xml:space="preserve"> </w:t>
      </w:r>
      <w:r>
        <w:t xml:space="preserve">de la elegancia del método.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and Bansal 2020)</w:t>
      </w:r>
      <w:r>
        <w:t xml:space="preserve">. Del</w:t>
      </w:r>
      <w:r>
        <w:t xml:space="preserve"> </w:t>
      </w:r>
      <w:r>
        <w:t xml:space="preserve">mismo modo, los estudios con científicos de datos muestran que las herramientas</w:t>
      </w:r>
      <w:r>
        <w:t xml:space="preserve"> </w:t>
      </w:r>
      <w:r>
        <w:t xml:space="preserve">de interpretabilidad se insertan en practicas de depuración, validación y</w:t>
      </w:r>
      <w:r>
        <w:t xml:space="preserve"> </w:t>
      </w:r>
      <w:r>
        <w:t xml:space="preserve">comunicación que no se reducen a una puntuación única</w:t>
      </w:r>
      <w:r>
        <w:t xml:space="preserve"> </w:t>
      </w:r>
      <w:r>
        <w:t xml:space="preserve">(Kaur et al. 2020)</w:t>
      </w:r>
      <w:r>
        <w:t xml:space="preserve">. Por ello,</w:t>
      </w:r>
      <w:r>
        <w:t xml:space="preserve"> </w:t>
      </w:r>
      <w:r>
        <w:t xml:space="preserve">FOM-7 debe afirmar con precisión que produce evidencia functionally-grounded y</w:t>
      </w:r>
      <w:r>
        <w:t xml:space="preserve"> </w:t>
      </w:r>
      <w:r>
        <w:t xml:space="preserve">no evidencia application-grounded.</w:t>
      </w:r>
    </w:p>
    <w:p>
      <w:pPr>
        <w:pStyle w:val="Textoindependiente"/>
        <w:spacing w:line="360" w:lineRule="auto"/>
        <w:jc w:val="both"/>
      </w:pPr>
      <w:r>
        <w:t xml:space="preserve">Quantus responde a la necesidad de evaluar explicaciones mediante un toolkit</w:t>
      </w:r>
      <w:r>
        <w:t xml:space="preserve"> </w:t>
      </w:r>
      <w:r>
        <w:t xml:space="preserve">que agrupa métricas y facilita comparaciones sistemáticas</w:t>
      </w:r>
      <w:r>
        <w:t xml:space="preserve"> </w:t>
      </w:r>
      <w:r>
        <w:t xml:space="preserve">(Hedström et al. 2023)</w:t>
      </w:r>
      <w:r>
        <w:t xml:space="preserve">.</w:t>
      </w:r>
      <w:r>
        <w:t xml:space="preserve"> </w:t>
      </w:r>
      <w:r>
        <w:t xml:space="preserve">Su contribución es importante porque reduce friccion tecnica, ordena familias de</w:t>
      </w:r>
      <w:r>
        <w:t xml:space="preserve"> </w:t>
      </w:r>
      <w:r>
        <w:t xml:space="preserve">métricas y promueve evaluaciones más reproducibles. No obstante, un toolkit no</w:t>
      </w:r>
      <w:r>
        <w:t xml:space="preserve"> </w:t>
      </w:r>
      <w:r>
        <w:t xml:space="preserve">resuelve por sí solo el problema de gobernanza del protocolo. Antes de ejecutar</w:t>
      </w:r>
      <w:r>
        <w:t xml:space="preserve"> </w:t>
      </w:r>
      <w:r>
        <w:t xml:space="preserve">métricas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spacing w:line="360" w:lineRule="auto"/>
        <w:jc w:val="both"/>
      </w:pPr>
      <w:r>
        <w:t xml:space="preserve">OpenXAI avanza en una direccion complementaria al proponer una plataforma de</w:t>
      </w:r>
      <w:r>
        <w:t xml:space="preserve"> </w:t>
      </w:r>
      <w:r>
        <w:t xml:space="preserve">evaluación transparente para explicaciones post-hoc</w:t>
      </w:r>
      <w:r>
        <w:t xml:space="preserve"> </w:t>
      </w:r>
      <w:r>
        <w:t xml:space="preserve">(Agarwal et al. 2022)</w:t>
      </w:r>
      <w:r>
        <w:t xml:space="preserve">. Su aporte</w:t>
      </w:r>
      <w:r>
        <w:t xml:space="preserve"> </w:t>
      </w:r>
      <w:r>
        <w:t xml:space="preserve">esta en hacer comparables métodos y condiciones de benchmarking. Para esta</w:t>
      </w:r>
      <w:r>
        <w:t xml:space="preserve"> </w:t>
      </w:r>
      <w:r>
        <w:t xml:space="preserve">tesis, OpenXAI funciona como referente directo: confirma que el problema de</w:t>
      </w:r>
      <w:r>
        <w:t xml:space="preserve"> </w:t>
      </w:r>
      <w:r>
        <w:t xml:space="preserve">estandarización es reconocido por la comunidad, pero también permite delimitar</w:t>
      </w:r>
      <w:r>
        <w:t xml:space="preserve"> </w:t>
      </w:r>
      <w:r>
        <w:t xml:space="preserve">la contribución de FOM-7. FOM-7 no pretende reemplazar estos marcos; busca</w:t>
      </w:r>
      <w:r>
        <w:t xml:space="preserve"> </w:t>
      </w:r>
      <w:r>
        <w:t xml:space="preserve">operacionalizar el camino desde el diseño experimental hasta la trazabilidad de</w:t>
      </w:r>
      <w:r>
        <w:t xml:space="preserve"> </w:t>
      </w:r>
      <w:r>
        <w:t xml:space="preserve">conclusiones en el contexto empírico de la tesis.</w:t>
      </w:r>
    </w:p>
    <w:p>
      <w:pPr>
        <w:pStyle w:val="Textoindependiente"/>
        <w:spacing w:line="360" w:lineRule="auto"/>
        <w:jc w:val="both"/>
      </w:pPr>
      <w:r>
        <w:t xml:space="preserve">La revisión sistemática de evaluación XAI refuerza este posiciónamiento.</w:t>
      </w:r>
      <w:r>
        <w:t xml:space="preserve"> </w:t>
      </w:r>
      <w:r>
        <w:t xml:space="preserve">Nauta et al. (2023)</w:t>
      </w:r>
      <w:r>
        <w:t xml:space="preserve"> </w:t>
      </w:r>
      <w:r>
        <w:t xml:space="preserve">describen un desplazamiento necesario desde evidencia anecdótica</w:t>
      </w:r>
      <w:r>
        <w:t xml:space="preserve"> </w:t>
      </w:r>
      <w:r>
        <w:t xml:space="preserve">hacia métodos cuantitativos de evaluación, pero ese desplazamiento no resuelve</w:t>
      </w:r>
      <w:r>
        <w:t xml:space="preserve"> </w:t>
      </w:r>
      <w:r>
        <w:t xml:space="preserve">por sí solo la relación entre métrica, constructo y claim. La evaluación puede</w:t>
      </w:r>
      <w:r>
        <w:t xml:space="preserve"> </w:t>
      </w:r>
      <w:r>
        <w:t xml:space="preserve">ser cuantitativa y aun así estar mal alineada si la métrica mide una propiedad</w:t>
      </w:r>
      <w:r>
        <w:t xml:space="preserve"> </w:t>
      </w:r>
      <w:r>
        <w:t xml:space="preserve">distinta a la afirmación. Los sanity checks para métricas de saliencia apuntan a</w:t>
      </w:r>
      <w:r>
        <w:t xml:space="preserve"> </w:t>
      </w:r>
      <w:r>
        <w:t xml:space="preserve">un problema similar: no basta con evaluar explicaciones; también deben</w:t>
      </w:r>
      <w:r>
        <w:t xml:space="preserve"> </w:t>
      </w:r>
      <w:r>
        <w:t xml:space="preserve">examinarse las métricas usadas para evaluarlas</w:t>
      </w:r>
      <w:r>
        <w:t xml:space="preserve"> </w:t>
      </w:r>
      <w:r>
        <w:t xml:space="preserve">(Tomsett et al. 2020)</w:t>
      </w:r>
      <w:r>
        <w:t xml:space="preserve">. Esta idea es</w:t>
      </w:r>
      <w:r>
        <w:t xml:space="preserve"> </w:t>
      </w:r>
      <w:r>
        <w:t xml:space="preserve">central para FOM-7, porque la tesis no puede tratar las métricas como</w:t>
      </w:r>
      <w:r>
        <w:t xml:space="preserve"> </w:t>
      </w:r>
      <w:r>
        <w:t xml:space="preserve">instrumentos neutrales. Debe documentar qué mide cada métrica, bajo qué</w:t>
      </w:r>
      <w:r>
        <w:t xml:space="preserve"> </w:t>
      </w:r>
      <w:r>
        <w:t xml:space="preserve">supuestos, y qué afirmaciones permite sostener.</w:t>
      </w:r>
    </w:p>
    <w:p>
      <w:pPr>
        <w:pStyle w:val="Textoindependiente"/>
        <w:spacing w:line="360" w:lineRule="auto"/>
        <w:jc w:val="both"/>
      </w:pPr>
      <w:r>
        <w:t xml:space="preserve">Los marcos existentes ofrecen piezas importantes del problema. Quantus facilita</w:t>
      </w:r>
      <w:r>
        <w:t xml:space="preserve"> </w:t>
      </w:r>
      <w:r>
        <w:t xml:space="preserve">la implementación sistemática de métricas; OpenXAI promueve comparabilidad y</w:t>
      </w:r>
      <w:r>
        <w:t xml:space="preserve"> </w:t>
      </w:r>
      <w:r>
        <w:t xml:space="preserve">transparencia de benchmark; las taxonomías de evaluación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integración</w:t>
      </w:r>
      <w:r>
        <w:t xml:space="preserve"> </w:t>
      </w:r>
      <w:r>
        <w:t xml:space="preserve">operativa. Su pregunta no es solamente</w:t>
      </w:r>
      <w:r>
        <w:t xml:space="preserve"> </w:t>
      </w:r>
      <w:r>
        <w:t xml:space="preserve">“qué métrica ejecutar”</w:t>
      </w:r>
      <w:r>
        <w:t xml:space="preserve">, sino cómo</w:t>
      </w:r>
      <w:r>
        <w:t xml:space="preserve"> </w:t>
      </w:r>
      <w:r>
        <w:t xml:space="preserve">asegurar que cada resultado métricamente calculado pueda transformarse en una</w:t>
      </w:r>
      <w:r>
        <w:t xml:space="preserve"> </w:t>
      </w:r>
      <w:r>
        <w:t xml:space="preserve">afirmación doctoralmente admisible, con artefactos calificados y límites de</w:t>
      </w:r>
      <w:r>
        <w:t xml:space="preserve"> </w:t>
      </w:r>
      <w:r>
        <w:t xml:space="preserve">alcance explícitos.</w:t>
      </w:r>
    </w:p>
    <w:p>
      <w:pPr>
        <w:pStyle w:val="Textoindependiente"/>
        <w:spacing w:line="360" w:lineRule="auto"/>
        <w:jc w:val="both"/>
      </w:pPr>
      <w:r>
        <w:t xml:space="preserve">La Tabla</w:t>
      </w:r>
      <w:r>
        <w:t xml:space="preserve"> </w:t>
      </w:r>
      <w:hyperlink w:anchor="tbl-framework-comparison">
        <w:r>
          <w:rPr>
            <w:rStyle w:val="Hipervnculo"/>
          </w:rPr>
          <w:t xml:space="preserve">Table 3.1</w:t>
        </w:r>
      </w:hyperlink>
      <w:r>
        <w:t xml:space="preserve"> </w:t>
      </w:r>
      <w:r>
        <w:t xml:space="preserve">compara los marcos de evaluación más</w:t>
      </w:r>
      <w:r>
        <w:t xml:space="preserve"> </w:t>
      </w:r>
      <w:r>
        <w:t xml:space="preserve">relevantes para la tesis según cuatro dimensiones: la cobertura de métricas</w:t>
      </w:r>
      <w:r>
        <w:t xml:space="preserve"> </w:t>
      </w:r>
      <w:r>
        <w:t xml:space="preserve">ofrecida, el soporte a la reproducibilidad experimental, la presencia de un</w:t>
      </w:r>
      <w:r>
        <w:t xml:space="preserve"> </w:t>
      </w:r>
      <w:r>
        <w:t xml:space="preserve">protocolo de gobernanza secuencial y el tipo de evaluación predominante.</w:t>
      </w:r>
    </w:p>
    <w:tbl>
      <w:tblPr>
        <w:tblStyle w:val="Table"/>
        <w:tblW w:type="pct" w:w="5000"/>
        <w:tblLayout w:type="fixed"/>
        <w:tblLook w:firstRow="0" w:lastRow="0" w:firstColumn="0" w:lastColumn="0" w:noHBand="0" w:noVBand="0" w:val="0000"/>
      </w:tblPr>
      <w:tblGrid>
        <w:gridCol w:w="7920"/>
      </w:tblGrid>
      <w:tr>
        <w:tc>
          <w:tcPr/>
          <w:bookmarkStart w:id="52" w:name="tbl-framework-comparison"/>
          <w:p>
            <w:pPr>
              <w:jc w:val="both"/>
              <w:spacing w:line="360" w:lineRule="auto"/>
            </w:pPr>
            <w:pPr>
              <w:jc w:val="left"/>
              <w:spacing w:before="200"/>
              <w:pStyle w:val="ImageCaption"/>
            </w:pPr>
            <w:r>
              <w:t xml:space="preserve">Table 3.1: Comparación de marcos de evaluación XAI según cobertura, reproducibilidad, gobernanza y tipo de evaluación.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Marco / protocolo</w:t>
                  </w:r>
                </w:p>
              </w:tc>
              <w:tc>
                <w:tcPr/>
                <w:p>
                  <w:pPr>
                    <w:pStyle w:val="Compact"/>
                    <w:jc w:val="both"/>
                    <w:jc w:val="center"/>
                    <w:spacing w:line="360" w:lineRule="auto"/>
                  </w:pPr>
                  <w:r>
                    <w:t xml:space="preserve">Cobertura de métricas</w:t>
                  </w:r>
                </w:p>
              </w:tc>
              <w:tc>
                <w:tcPr/>
                <w:p>
                  <w:pPr>
                    <w:pStyle w:val="Compact"/>
                    <w:jc w:val="both"/>
                    <w:jc w:val="center"/>
                    <w:spacing w:line="360" w:lineRule="auto"/>
                  </w:pPr>
                  <w:r>
                    <w:t xml:space="preserve">Soporte a reproducibilidad</w:t>
                  </w:r>
                </w:p>
              </w:tc>
              <w:tc>
                <w:tcPr/>
                <w:p>
                  <w:pPr>
                    <w:pStyle w:val="Compact"/>
                    <w:jc w:val="both"/>
                    <w:jc w:val="center"/>
                    <w:spacing w:line="360" w:lineRule="auto"/>
                  </w:pPr>
                  <w:r>
                    <w:t xml:space="preserve">Protocolo de gobernanza</w:t>
                  </w:r>
                </w:p>
              </w:tc>
              <w:tc>
                <w:tcPr/>
                <w:p>
                  <w:pPr>
                    <w:pStyle w:val="Compact"/>
                    <w:jc w:val="both"/>
                    <w:jc w:val="center"/>
                    <w:spacing w:line="360" w:lineRule="auto"/>
                  </w:pPr>
                  <w:r>
                    <w:t xml:space="preserve">Tipo de evaluación predominante</w:t>
                  </w:r>
                </w:p>
              </w:tc>
            </w:tr>
            <w:tr>
              <w:tc>
                <w:tcPr/>
                <w:p>
                  <w:pPr>
                    <w:pStyle w:val="Compact"/>
                    <w:jc w:val="both"/>
                    <w:jc w:val="center"/>
                    <w:spacing w:line="360" w:lineRule="auto"/>
                  </w:pPr>
                  <w:r>
                    <w:rPr>
                      <w:b/>
                      <w:bCs/>
                    </w:rPr>
                    <w:t xml:space="preserve">Quantus</w:t>
                  </w:r>
                  <w:r>
                    <w:t xml:space="preserve"> </w:t>
                  </w:r>
                  <w:r>
                    <w:t xml:space="preserve">(Hedström et al. 2023)</w:t>
                  </w:r>
                </w:p>
              </w:tc>
              <w:tc>
                <w:tcPr/>
                <w:p>
                  <w:pPr>
                    <w:pStyle w:val="Compact"/>
                    <w:jc w:val="both"/>
                    <w:jc w:val="center"/>
                    <w:spacing w:line="360" w:lineRule="auto"/>
                  </w:pPr>
                  <w:r>
                    <w:t xml:space="preserve">Alta: 20+ métricas implementadas (fidelidad, robustez, complejidad, localidad, aleatoriedad)</w:t>
                  </w:r>
                </w:p>
              </w:tc>
              <w:tc>
                <w:tcPr/>
                <w:p>
                  <w:pPr>
                    <w:pStyle w:val="Compact"/>
                    <w:jc w:val="both"/>
                    <w:jc w:val="center"/>
                    <w:spacing w:line="360" w:lineRule="auto"/>
                  </w:pPr>
                  <w:r>
                    <w:t xml:space="preserve">Moderado: versiones fijadas, pero sin protocolo de calificación de artefactos</w:t>
                  </w:r>
                </w:p>
              </w:tc>
              <w:tc>
                <w:tcPr/>
                <w:p>
                  <w:pPr>
                    <w:pStyle w:val="Compact"/>
                    <w:jc w:val="both"/>
                    <w:jc w:val="center"/>
                    <w:spacing w:line="360" w:lineRule="auto"/>
                  </w:pPr>
                  <w:r>
                    <w:t xml:space="preserve">Ninguno: uso ad-hoc por el investigador</w:t>
                  </w:r>
                </w:p>
              </w:tc>
              <w:tc>
                <w:tcPr/>
                <w:p>
                  <w:pPr>
                    <w:pStyle w:val="Compact"/>
                    <w:jc w:val="both"/>
                    <w:jc w:val="center"/>
                    <w:spacing w:line="360" w:lineRule="auto"/>
                  </w:pPr>
                  <w:r>
                    <w:t xml:space="preserve">Functionally-grounded; sin capa inferencial integrada</w:t>
                  </w:r>
                </w:p>
              </w:tc>
            </w:tr>
            <w:tr>
              <w:tc>
                <w:tcPr/>
                <w:p>
                  <w:pPr>
                    <w:pStyle w:val="Compact"/>
                    <w:jc w:val="both"/>
                    <w:jc w:val="center"/>
                    <w:spacing w:line="360" w:lineRule="auto"/>
                  </w:pPr>
                  <w:r>
                    <w:rPr>
                      <w:b/>
                      <w:bCs/>
                    </w:rPr>
                    <w:t xml:space="preserve">OpenXAI</w:t>
                  </w:r>
                  <w:r>
                    <w:t xml:space="preserve"> </w:t>
                  </w:r>
                  <w:r>
                    <w:t xml:space="preserve">(Agarwal et al. 2022)</w:t>
                  </w:r>
                </w:p>
              </w:tc>
              <w:tc>
                <w:tcPr/>
                <w:p>
                  <w:pPr>
                    <w:pStyle w:val="Compact"/>
                    <w:jc w:val="both"/>
                    <w:jc w:val="center"/>
                    <w:spacing w:line="360" w:lineRule="auto"/>
                  </w:pPr>
                  <w:r>
                    <w:t xml:space="preserve">Alta: cubre fidelidad, estabilidad, fairness; incluye ground-truth sintético</w:t>
                  </w:r>
                </w:p>
              </w:tc>
              <w:tc>
                <w:tcPr/>
                <w:p>
                  <w:pPr>
                    <w:pStyle w:val="Compact"/>
                    <w:jc w:val="both"/>
                    <w:jc w:val="center"/>
                    <w:spacing w:line="360" w:lineRule="auto"/>
                  </w:pPr>
                  <w:r>
                    <w:t xml:space="preserve">Moderado: plataforma y conjuntos estandarizados; sin control de semillas declarativo</w:t>
                  </w:r>
                </w:p>
              </w:tc>
              <w:tc>
                <w:tcPr/>
                <w:p>
                  <w:pPr>
                    <w:pStyle w:val="Compact"/>
                    <w:jc w:val="both"/>
                    <w:jc w:val="center"/>
                    <w:spacing w:line="360" w:lineRule="auto"/>
                  </w:pPr>
                  <w:r>
                    <w:t xml:space="preserve">Ninguno: comparabilidad por convención, no por protocolo</w:t>
                  </w:r>
                </w:p>
              </w:tc>
              <w:tc>
                <w:tcPr/>
                <w:p>
                  <w:pPr>
                    <w:pStyle w:val="Compact"/>
                    <w:jc w:val="both"/>
                    <w:jc w:val="center"/>
                    <w:spacing w:line="360" w:lineRule="auto"/>
                  </w:pPr>
                  <w:r>
                    <w:t xml:space="preserve">Functionally-grounded + comparación con ground-truth</w:t>
                  </w:r>
                </w:p>
              </w:tc>
            </w:tr>
            <w:tr>
              <w:tc>
                <w:tcPr/>
                <w:p>
                  <w:pPr>
                    <w:pStyle w:val="Compact"/>
                    <w:jc w:val="both"/>
                    <w:jc w:val="center"/>
                    <w:spacing w:line="360" w:lineRule="auto"/>
                  </w:pPr>
                  <w:r>
                    <w:rPr>
                      <w:b/>
                      <w:bCs/>
                    </w:rPr>
                    <w:t xml:space="preserve">Encuesta Nauta et al.</w:t>
                  </w:r>
                  <w:r>
                    <w:t xml:space="preserve"> </w:t>
                  </w:r>
                  <w:r>
                    <w:t xml:space="preserve">(Nauta et al. 2023)</w:t>
                  </w:r>
                </w:p>
              </w:tc>
              <w:tc>
                <w:tcPr/>
                <w:p>
                  <w:pPr>
                    <w:pStyle w:val="Compact"/>
                    <w:jc w:val="both"/>
                    <w:jc w:val="center"/>
                    <w:spacing w:line="360" w:lineRule="auto"/>
                  </w:pPr>
                  <w:r>
                    <w:t xml:space="preserve">Muy alta: revisión de 30 propiedades de evaluación; incluye nivel de usuario y tarea</w:t>
                  </w:r>
                </w:p>
              </w:tc>
              <w:tc>
                <w:tcPr/>
                <w:p>
                  <w:pPr>
                    <w:pStyle w:val="Compact"/>
                    <w:jc w:val="both"/>
                    <w:jc w:val="center"/>
                    <w:spacing w:line="360" w:lineRule="auto"/>
                  </w:pPr>
                  <w:r>
                    <w:t xml:space="preserve">Bajo: documento de revisión, sin implementación de pipeline</w:t>
                  </w:r>
                </w:p>
              </w:tc>
              <w:tc>
                <w:tcPr/>
                <w:p>
                  <w:pPr>
                    <w:pStyle w:val="Compact"/>
                    <w:jc w:val="both"/>
                    <w:jc w:val="center"/>
                    <w:spacing w:line="360" w:lineRule="auto"/>
                  </w:pPr>
                  <w:r>
                    <w:t xml:space="preserve">Ninguno: marco conceptual, no operativo</w:t>
                  </w:r>
                </w:p>
              </w:tc>
              <w:tc>
                <w:tcPr/>
                <w:p>
                  <w:pPr>
                    <w:pStyle w:val="Compact"/>
                    <w:jc w:val="both"/>
                    <w:jc w:val="center"/>
                    <w:spacing w:line="360" w:lineRule="auto"/>
                  </w:pPr>
                  <w:r>
                    <w:t xml:space="preserve">Múltiple: application, human y functionally-grounded</w:t>
                  </w:r>
                </w:p>
              </w:tc>
            </w:tr>
            <w:tr>
              <w:tc>
                <w:tcPr/>
                <w:p>
                  <w:pPr>
                    <w:pStyle w:val="Compact"/>
                    <w:jc w:val="both"/>
                    <w:jc w:val="center"/>
                    <w:spacing w:line="360" w:lineRule="auto"/>
                  </w:pPr>
                  <w:r>
                    <w:rPr>
                      <w:b/>
                      <w:bCs/>
                    </w:rPr>
                    <w:t xml:space="preserve">CARLA</w:t>
                  </w:r>
                  <w:r>
                    <w:t xml:space="preserve"> </w:t>
                  </w:r>
                  <w:r>
                    <w:t xml:space="preserve">(Pawlicki et al. 2024)</w:t>
                  </w:r>
                </w:p>
              </w:tc>
              <w:tc>
                <w:tcPr/>
                <w:p>
                  <w:pPr>
                    <w:pStyle w:val="Compact"/>
                    <w:jc w:val="both"/>
                    <w:jc w:val="center"/>
                    <w:spacing w:line="360" w:lineRule="auto"/>
                  </w:pPr>
                  <w:r>
                    <w:t xml:space="preserve">Moderada: orientada a contrafactuales y recourse; cubre validez, proximidad, diversidad</w:t>
                  </w:r>
                </w:p>
              </w:tc>
              <w:tc>
                <w:tcPr/>
                <w:p>
                  <w:pPr>
                    <w:pStyle w:val="Compact"/>
                    <w:jc w:val="both"/>
                    <w:jc w:val="center"/>
                    <w:spacing w:line="360" w:lineRule="auto"/>
                  </w:pPr>
                  <w:r>
                    <w:t xml:space="preserve">Moderado: librería de benchmarking, configuraciones documentadas</w:t>
                  </w:r>
                </w:p>
              </w:tc>
              <w:tc>
                <w:tcPr/>
                <w:p>
                  <w:pPr>
                    <w:pStyle w:val="Compact"/>
                    <w:jc w:val="both"/>
                    <w:jc w:val="center"/>
                    <w:spacing w:line="360" w:lineRule="auto"/>
                  </w:pPr>
                  <w:r>
                    <w:t xml:space="preserve">Ninguno: librería sin protocolo de admisibilidad</w:t>
                  </w:r>
                </w:p>
              </w:tc>
              <w:tc>
                <w:tcPr/>
                <w:p>
                  <w:pPr>
                    <w:pStyle w:val="Compact"/>
                    <w:jc w:val="both"/>
                    <w:jc w:val="center"/>
                    <w:spacing w:line="360" w:lineRule="auto"/>
                  </w:pPr>
                  <w:r>
                    <w:t xml:space="preserve">Functionally-grounded + counterfactual-specific</w:t>
                  </w:r>
                </w:p>
              </w:tc>
            </w:tr>
            <w:tr>
              <w:tc>
                <w:tcPr/>
                <w:p>
                  <w:pPr>
                    <w:pStyle w:val="Compact"/>
                    <w:jc w:val="both"/>
                    <w:jc w:val="center"/>
                    <w:spacing w:line="360" w:lineRule="auto"/>
                  </w:pPr>
                  <w:r>
                    <w:rPr>
                      <w:b/>
                      <w:bCs/>
                    </w:rPr>
                    <w:t xml:space="preserve">FOM-7</w:t>
                  </w:r>
                  <w:r>
                    <w:t xml:space="preserve"> </w:t>
                  </w:r>
                  <w:r>
                    <w:t xml:space="preserve">(esta tesis)</w:t>
                  </w:r>
                </w:p>
              </w:tc>
              <w:tc>
                <w:tcPr/>
                <w:p>
                  <w:pPr>
                    <w:pStyle w:val="Compact"/>
                    <w:jc w:val="both"/>
                    <w:jc w:val="center"/>
                    <w:spacing w:line="360" w:lineRule="auto"/>
                  </w:pPr>
                  <w:r>
                    <w:t xml:space="preserve">Moderada: cinco métricas primarias operacionalizadas; extensible por diseño</w:t>
                  </w:r>
                </w:p>
              </w:tc>
              <w:tc>
                <w:tcPr/>
                <w:p>
                  <w:pPr>
                    <w:pStyle w:val="Compact"/>
                    <w:jc w:val="both"/>
                    <w:jc w:val="center"/>
                    <w:spacing w:line="360" w:lineRule="auto"/>
                  </w:pPr>
                  <w:r>
                    <w:t xml:space="preserve">Alto: manifiestos YAML, semillas declarativas, artefactos calificados, DOI Zenodo</w:t>
                  </w:r>
                </w:p>
              </w:tc>
              <w:tc>
                <w:tcPr/>
                <w:p>
                  <w:pPr>
                    <w:pStyle w:val="Compact"/>
                    <w:jc w:val="both"/>
                    <w:jc w:val="center"/>
                    <w:spacing w:line="360" w:lineRule="auto"/>
                  </w:pPr>
                  <w:r>
                    <w:t xml:space="preserve">Sí: siete puertas secuenciales con criterios de admisibilidad y falla explícitos</w:t>
                  </w:r>
                </w:p>
              </w:tc>
              <w:tc>
                <w:tcPr/>
                <w:p>
                  <w:pPr>
                    <w:pStyle w:val="Compact"/>
                    <w:jc w:val="both"/>
                    <w:jc w:val="center"/>
                    <w:spacing w:line="360" w:lineRule="auto"/>
                  </w:pPr>
                  <w:r>
                    <w:t xml:space="preserve">Functionally-grounded con admisibilidad estadística integrada</w:t>
                  </w:r>
                </w:p>
              </w:tc>
            </w:tr>
          </w:tbl>
          <w:bookmarkEnd w:id="52"/>
          <w:p>
            <w:pPr>
              <w:spacing w:line="360" w:lineRule="auto"/>
              <w:jc w:val="both"/>
            </w:pPr>
          </w:p>
        </w:tc>
      </w:tr>
    </w:tbl>
    <w:p>
      <w:pPr>
        <w:pStyle w:val="Textoindependiente"/>
        <w:spacing w:line="360" w:lineRule="auto"/>
        <w:jc w:val="both"/>
      </w:pPr>
      <w:r>
        <w:t xml:space="preserve">Esta comparación muestra que los marcos existentes cubren bien la dimensión de</w:t>
      </w:r>
      <w:r>
        <w:t xml:space="preserve"> </w:t>
      </w:r>
      <w:r>
        <w:t xml:space="preserve">cobertura de métricas (Quantus, OpenXAI) o la dimensión conceptual (Nauta et</w:t>
      </w:r>
      <w:r>
        <w:t xml:space="preserve"> </w:t>
      </w:r>
      <w:r>
        <w:t xml:space="preserve">al.), pero ninguno integra un protocolo de gobernanza secuencial que garantice</w:t>
      </w:r>
      <w:r>
        <w:t xml:space="preserve"> </w:t>
      </w:r>
      <w:r>
        <w:t xml:space="preserve">que cada paso del ciclo de evidencia —desde la congelación del diseño hasta la</w:t>
      </w:r>
      <w:r>
        <w:t xml:space="preserve"> </w:t>
      </w:r>
      <w:r>
        <w:t xml:space="preserve">trazabilidad de afirmaciones— esté regulado por criterios de admisibilidad</w:t>
      </w:r>
      <w:r>
        <w:t xml:space="preserve"> </w:t>
      </w:r>
      <w:r>
        <w:t xml:space="preserve">explícitos. Esa integración es precisamente la contribución diferenciadora de</w:t>
      </w:r>
      <w:r>
        <w:t xml:space="preserve"> </w:t>
      </w:r>
      <w:r>
        <w:t xml:space="preserve">FOM-7 respecto a los marcos enumerados.</w:t>
      </w:r>
    </w:p>
    <w:p>
      <w:pPr>
        <w:pStyle w:val="Textoindependiente"/>
        <w:spacing w:line="360" w:lineRule="auto"/>
        <w:jc w:val="both"/>
      </w:pPr>
      <w:r>
        <w:t xml:space="preserve">En dominios de alta responsabilidad, como salud, esta distinción se vuelve aún</w:t>
      </w:r>
      <w:r>
        <w:t xml:space="preserve"> </w:t>
      </w:r>
      <w:r>
        <w:t xml:space="preserve">más visible: las revisiones de XAI médico muestran que la explicabilidad debe</w:t>
      </w:r>
      <w:r>
        <w:t xml:space="preserve"> </w:t>
      </w:r>
      <w:r>
        <w:t xml:space="preserve">relacionarse con confianza, validación, responsabilidad y restricciones del</w:t>
      </w:r>
      <w:r>
        <w:t xml:space="preserve"> </w:t>
      </w:r>
      <w:r>
        <w:t xml:space="preserve">contexto de uso, no solo con la disponibilidad de una visualización o una lista</w:t>
      </w:r>
      <w:r>
        <w:t xml:space="preserve"> </w:t>
      </w:r>
      <w:r>
        <w:t xml:space="preserve">de importancias</w:t>
      </w:r>
      <w:r>
        <w:t xml:space="preserve"> </w:t>
      </w:r>
      <w:r>
        <w:t xml:space="preserve">(Tjoa and Guan 2021)</w:t>
      </w:r>
      <w:r>
        <w:t xml:space="preserve">. Aunque esta tesis no se limita al dominio médico,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spacing w:line="360" w:lineRule="auto"/>
        <w:jc w:val="both"/>
      </w:pPr>
      <w:r>
        <w:t xml:space="preserve">La literatura reciente sobre métricas XAI insiste en que la evaluación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método puede ser rápido y estable, pero poco fiel; otro puede ser</w:t>
      </w:r>
      <w:r>
        <w:t xml:space="preserve"> </w:t>
      </w:r>
      <w:r>
        <w:t xml:space="preserve">fiel y costoso; otro puede ser comprensible pero frágil ante perturbaciones. La</w:t>
      </w:r>
      <w:r>
        <w:t xml:space="preserve"> </w:t>
      </w:r>
      <w:r>
        <w:t xml:space="preserve">consecuencia metodológica es clara: la tesis debe reportar perfiles de</w:t>
      </w:r>
      <w:r>
        <w:t xml:space="preserve"> </w:t>
      </w:r>
      <w:r>
        <w:t xml:space="preserve">desempeño, no rankings absolutos simplificados.</w:t>
      </w:r>
    </w:p>
    <w:p>
      <w:pPr>
        <w:pStyle w:val="Textoindependiente"/>
        <w:spacing w:line="360" w:lineRule="auto"/>
        <w:jc w:val="both"/>
      </w:pPr>
      <w:r>
        <w:t xml:space="preserve">La perspectiva human-centered refuerza la misma conclusión desde otro ángulo.</w:t>
      </w:r>
      <w:r>
        <w:t xml:space="preserve"> </w:t>
      </w:r>
      <w:r>
        <w:t xml:space="preserve">No hay una explicación universalmente adecuada para todos los usuarios, tareas y</w:t>
      </w:r>
      <w:r>
        <w:t xml:space="preserve"> </w:t>
      </w:r>
      <w:r>
        <w:t xml:space="preserve">contextos. Las revisiones y estudios de usuarios muestran que la explicación</w:t>
      </w:r>
      <w:r>
        <w:t xml:space="preserve"> </w:t>
      </w:r>
      <w:r>
        <w:t xml:space="preserve">puede servir para depurar modelos, justificar decisiones, calibrar confianza,</w:t>
      </w:r>
      <w:r>
        <w:t xml:space="preserve"> </w:t>
      </w:r>
      <w:r>
        <w:t xml:space="preserve">enseñar comportamiento del sistema, identificar errores o apoyar acción</w:t>
      </w:r>
      <w:r>
        <w:t xml:space="preserve"> </w:t>
      </w:r>
      <w:r>
        <w:t xml:space="preserve">(Miller 2019; Abdul et al. 2018; Langer et al. 2021; Sokol and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perturbación definida, menor coste computacional, mayor cobertura de regla o</w:t>
      </w:r>
      <w:r>
        <w:t xml:space="preserve"> </w:t>
      </w:r>
      <w:r>
        <w:t xml:space="preserve">mayor satisfacción de un criterio contrafactual. Esta disciplina semántica es</w:t>
      </w:r>
      <w:r>
        <w:t xml:space="preserve"> </w:t>
      </w:r>
      <w:r>
        <w:t xml:space="preserve">parte del aporte teórico del protocolo.</w:t>
      </w:r>
    </w:p>
    <w:bookmarkStart w:id="53" w:name="X900f39c64f84f209bdf33df61ada6c5cfa8ef2d"/>
    <w:p>
      <w:pPr>
        <w:pStyle w:val="Ttulo3"/>
        <w:spacing w:line="360" w:lineRule="auto"/>
        <w:jc w:val="both"/>
      </w:pPr>
      <w:r>
        <w:t xml:space="preserve">Evaluación human-centered: usuarios, tareas y calidad explicativa</w:t>
      </w:r>
    </w:p>
    <w:p>
      <w:pPr>
        <w:pStyle w:val="FirstParagraph"/>
        <w:spacing w:line="360" w:lineRule="auto"/>
        <w:jc w:val="both"/>
      </w:pPr>
      <w:r>
        <w:t xml:space="preserve">Esta rama ha alcanzado en los últimos años una madurez propia, con agendas</w:t>
      </w:r>
      <w:r>
        <w:t xml:space="preserve"> </w:t>
      </w:r>
      <w:r>
        <w:t xml:space="preserve">explícitas de consolidación</w:t>
      </w:r>
      <w:r>
        <w:t xml:space="preserve"> </w:t>
      </w:r>
      <w:r>
        <w:t xml:space="preserve">(Ehsan et al. 2023)</w:t>
      </w:r>
      <w:r>
        <w:t xml:space="preserve"> </w:t>
      </w:r>
      <w:r>
        <w:t xml:space="preserve">y revisiones críticas que cuestionan los</w:t>
      </w:r>
      <w:r>
        <w:t xml:space="preserve"> </w:t>
      </w:r>
      <w:r>
        <w:t xml:space="preserve">supuestos dominantes del campo</w:t>
      </w:r>
      <w:r>
        <w:t xml:space="preserve"> </w:t>
      </w:r>
      <w:r>
        <w:t xml:space="preserve">(Ehsan and Riedl 2024)</w:t>
      </w:r>
      <w:r>
        <w:t xml:space="preserve">. La investigación reciente muestra</w:t>
      </w:r>
      <w:r>
        <w:t xml:space="preserve"> </w:t>
      </w:r>
      <w:r>
        <w:t xml:space="preserve">que la calidad percibida de una explicación depende de variables que ninguna</w:t>
      </w:r>
      <w:r>
        <w:t xml:space="preserve"> </w:t>
      </w:r>
      <w:r>
        <w:t xml:space="preserve">métrica computacional recoge: las características y el nivel de experiencia del</w:t>
      </w:r>
      <w:r>
        <w:t xml:space="preserve"> </w:t>
      </w:r>
      <w:r>
        <w:t xml:space="preserve">destinatario</w:t>
      </w:r>
      <w:r>
        <w:t xml:space="preserve"> </w:t>
      </w:r>
      <w:r>
        <w:t xml:space="preserve">(Nimmo et al. 2024)</w:t>
      </w:r>
      <w:r>
        <w:t xml:space="preserve">, el contexto cultural desde el que se interpreta</w:t>
      </w:r>
      <w:r>
        <w:t xml:space="preserve"> </w:t>
      </w:r>
      <w:r>
        <w:t xml:space="preserve">(Peters and Carman 2024)</w:t>
      </w:r>
      <w:r>
        <w:t xml:space="preserve">, el diseño de la interfaz que la presenta</w:t>
      </w:r>
      <w:r>
        <w:t xml:space="preserve"> </w:t>
      </w:r>
      <w:r>
        <w:t xml:space="preserve">(Bhat and Long 2024; Alkhateeb and Solaiman 2025)</w:t>
      </w:r>
      <w:r>
        <w:t xml:space="preserve">, e incluso su materialización física en artefactos tangibles</w:t>
      </w:r>
      <w:r>
        <w:t xml:space="preserve"> </w:t>
      </w:r>
      <w:r>
        <w:t xml:space="preserve">(Colley et al. 2023)</w:t>
      </w:r>
      <w:r>
        <w:t xml:space="preserve">. La transparencia y la explicabilidad se han estudiado también como</w:t>
      </w:r>
      <w:r>
        <w:t xml:space="preserve"> </w:t>
      </w:r>
      <w:r>
        <w:t xml:space="preserve">antecedentes de la confianza calibrada</w:t>
      </w:r>
      <w:r>
        <w:t xml:space="preserve"> </w:t>
      </w:r>
      <w:r>
        <w:t xml:space="preserve">(Kim 2024)</w:t>
      </w:r>
      <w:r>
        <w:t xml:space="preserve"> </w:t>
      </w:r>
      <w:r>
        <w:t xml:space="preserve">y como práctica organizativa</w:t>
      </w:r>
      <w:r>
        <w:t xml:space="preserve"> </w:t>
      </w:r>
      <w:r>
        <w:t xml:space="preserve">más que como propiedad técnica</w:t>
      </w:r>
      <w:r>
        <w:t xml:space="preserve"> </w:t>
      </w:r>
      <w:r>
        <w:t xml:space="preserve">(Ramachandram et al. 2025)</w:t>
      </w:r>
      <w:r>
        <w:t xml:space="preserve">, mientras que otros trabajos</w:t>
      </w:r>
      <w:r>
        <w:t xml:space="preserve"> </w:t>
      </w:r>
      <w:r>
        <w:t xml:space="preserve">documentan las contrapartidas que impone perseguir explicabilidad</w:t>
      </w:r>
      <w:r>
        <w:t xml:space="preserve"> </w:t>
      </w:r>
      <w:r>
        <w:t xml:space="preserve">(Brown and Hawe 2024)</w:t>
      </w:r>
      <w:r>
        <w:t xml:space="preserve"> </w:t>
      </w:r>
      <w:r>
        <w:t xml:space="preserve">e incluso el coste reputacional que puede acarrear el uso declarado</w:t>
      </w:r>
      <w:r>
        <w:t xml:space="preserve"> </w:t>
      </w:r>
      <w:r>
        <w:t xml:space="preserve">de IA</w:t>
      </w:r>
      <w:r>
        <w:t xml:space="preserve"> </w:t>
      </w:r>
      <w:r>
        <w:t xml:space="preserve">(Reif et al. 2025)</w:t>
      </w:r>
      <w:r>
        <w:t xml:space="preserve">. A ello se añade una literatura sobre las implicaciones éticas</w:t>
      </w:r>
      <w:r>
        <w:t xml:space="preserve"> </w:t>
      </w:r>
      <w:r>
        <w:t xml:space="preserve">del campo</w:t>
      </w:r>
      <w:r>
        <w:t xml:space="preserve"> </w:t>
      </w:r>
      <w:r>
        <w:t xml:space="preserve">(Nannini et al. 2024; Vainio-Pekka et al. 2023)</w:t>
      </w:r>
      <w:r>
        <w:t xml:space="preserve"> </w:t>
      </w:r>
      <w:r>
        <w:t xml:space="preserve">y sobre la distancia entre la</w:t>
      </w:r>
      <w:r>
        <w:t xml:space="preserve"> </w:t>
      </w:r>
      <w:r>
        <w:t xml:space="preserve">inteligencia de la máquina y la comprensión humana</w:t>
      </w:r>
      <w:r>
        <w:t xml:space="preserve"> </w:t>
      </w:r>
      <w:r>
        <w:t xml:space="preserve">(Choudhari et al. 2025)</w:t>
      </w:r>
      <w:r>
        <w:t xml:space="preserve">.</w:t>
      </w:r>
    </w:p>
    <w:p>
      <w:pPr>
        <w:pStyle w:val="Textoindependiente"/>
        <w:spacing w:line="360" w:lineRule="auto"/>
        <w:jc w:val="both"/>
      </w:pPr>
      <w:r>
        <w:t xml:space="preserve">La evaluación human-centered constituye una rama de la XAI que parte de una</w:t>
      </w:r>
      <w:r>
        <w:t xml:space="preserve"> </w:t>
      </w:r>
      <w:r>
        <w:t xml:space="preserve">premisa metodológica distinta: la calidad de una explicación no puede medirse</w:t>
      </w:r>
      <w:r>
        <w:t xml:space="preserve"> </w:t>
      </w:r>
      <w:r>
        <w:t xml:space="preserve">solo con proxies computacionales, sino que depende de su efecto sobre el</w:t>
      </w:r>
      <w:r>
        <w:t xml:space="preserve"> </w:t>
      </w:r>
      <w:r>
        <w:t xml:space="preserve">entendimiento, la confianza, la calibración y la acción de personas concretas</w:t>
      </w:r>
      <w:r>
        <w:t xml:space="preserve"> </w:t>
      </w:r>
      <w:r>
        <w:t xml:space="preserve">(Doshi-Velez 2017; Miller 2019)</w:t>
      </w:r>
      <w:r>
        <w:t xml:space="preserve">. Esta premisa enlaza con una línea previa que ya</w:t>
      </w:r>
      <w:r>
        <w:t xml:space="preserve"> </w:t>
      </w:r>
      <w:r>
        <w:t xml:space="preserve">situaba a la persona como participante activo del ciclo de aprendizaje, y no como</w:t>
      </w:r>
      <w:r>
        <w:t xml:space="preserve"> </w:t>
      </w:r>
      <w:r>
        <w:t xml:space="preserve">receptor pasivo de su salida</w:t>
      </w:r>
      <w:r>
        <w:t xml:space="preserve"> </w:t>
      </w:r>
      <w:r>
        <w:t xml:space="preserve">(Amershi 2014)</w:t>
      </w:r>
      <w:r>
        <w:t xml:space="preserve">. Esta perspectiva no invalida la evaluación</w:t>
      </w:r>
      <w:r>
        <w:t xml:space="preserve"> </w:t>
      </w:r>
      <w:r>
        <w:t xml:space="preserve">functionally-grounded, sino que la complementa al señalar que las métricas</w:t>
      </w:r>
      <w:r>
        <w:t xml:space="preserve"> </w:t>
      </w:r>
      <w:r>
        <w:t xml:space="preserve">automáticas responden a preguntas distintas a las que responden los usuarios.</w:t>
      </w:r>
    </w:p>
    <w:p>
      <w:pPr>
        <w:pStyle w:val="Textoindependiente"/>
        <w:spacing w:line="360" w:lineRule="auto"/>
        <w:jc w:val="both"/>
      </w:pPr>
      <w:r>
        <w:t xml:space="preserve">Miller (2019)</w:t>
      </w:r>
      <w:r>
        <w:t xml:space="preserve"> </w:t>
      </w:r>
      <w:r>
        <w:t xml:space="preserve">revisa la literatura sobre explicación en ciencias cognitivas y</w:t>
      </w:r>
      <w:r>
        <w:t xml:space="preserve"> </w:t>
      </w:r>
      <w:r>
        <w:t xml:space="preserve">sociales e identifica un conjunto de propiedades empíricamente validadas sobre</w:t>
      </w:r>
      <w:r>
        <w:t xml:space="preserve"> </w:t>
      </w:r>
      <w:r>
        <w:t xml:space="preserve">qué hace útil una explicación para los humanos. Las explicaciones son</w:t>
      </w:r>
      <w:r>
        <w:t xml:space="preserve"> </w:t>
      </w:r>
      <w:r>
        <w:t xml:space="preserve">contrastivas (respondemos a</w:t>
      </w:r>
      <w:r>
        <w:t xml:space="preserve"> </w:t>
      </w:r>
      <w:r>
        <w:t xml:space="preserve">“¿por qué P y no Q?”</w:t>
      </w:r>
      <w:r>
        <w:t xml:space="preserve"> </w:t>
      </w:r>
      <w:r>
        <w:t xml:space="preserve">mejor que a</w:t>
      </w:r>
      <w:r>
        <w:t xml:space="preserve"> </w:t>
      </w:r>
      <w:r>
        <w:t xml:space="preserve">“¿por qué P?”</w:t>
      </w:r>
      <w:r>
        <w:t xml:space="preserve">),</w:t>
      </w:r>
      <w:r>
        <w:t xml:space="preserve"> </w:t>
      </w:r>
      <w:r>
        <w:t xml:space="preserve">selectivas (preferimos explicaciones que citan pocas causas), sociales (el valor</w:t>
      </w:r>
      <w:r>
        <w:t xml:space="preserve"> </w:t>
      </w:r>
      <w:r>
        <w:t xml:space="preserve">de una explicación depende del destinatario y del diálogo) y dependientes del</w:t>
      </w:r>
      <w:r>
        <w:t xml:space="preserve"> </w:t>
      </w:r>
      <w:r>
        <w:t xml:space="preserve">contexto de uso. Estas propiedades no están capturadas por métricas como fidelidad</w:t>
      </w:r>
      <w:r>
        <w:t xml:space="preserve"> </w:t>
      </w:r>
      <w:r>
        <w:t xml:space="preserve">o estabilidad, que son agnósticas al destinatario. La consecuencia metodológica</w:t>
      </w:r>
      <w:r>
        <w:t xml:space="preserve"> </w:t>
      </w:r>
      <w:r>
        <w:t xml:space="preserve">es clara: una tesis que produce evidencia functionally-grounded debe reconocer</w:t>
      </w:r>
      <w:r>
        <w:t xml:space="preserve"> </w:t>
      </w:r>
      <w:r>
        <w:t xml:space="preserve">explícitamente que no puede derivar inferencias sobre comprensión humana o</w:t>
      </w:r>
      <w:r>
        <w:t xml:space="preserve"> </w:t>
      </w:r>
      <w:r>
        <w:t xml:space="preserve">utilidad en tarea.</w:t>
      </w:r>
    </w:p>
    <w:p>
      <w:pPr>
        <w:pStyle w:val="Textoindependiente"/>
        <w:spacing w:line="360" w:lineRule="auto"/>
        <w:jc w:val="both"/>
      </w:pPr>
      <w:r>
        <w:t xml:space="preserve">El problema de calibración de confianza ha recibido atención creciente</w:t>
      </w:r>
      <w:r>
        <w:t xml:space="preserve"> </w:t>
      </w:r>
      <w:r>
        <w:t xml:space="preserve">(Hoffman et al. 2023; Kaur et al. 2020)</w:t>
      </w:r>
      <w:r>
        <w:t xml:space="preserve">. Estudios con científicos de datos muestran que las</w:t>
      </w:r>
      <w:r>
        <w:t xml:space="preserve"> </w:t>
      </w:r>
      <w:r>
        <w:t xml:space="preserve">herramientas de XAI pueden inducir exceso de confianza: los usuarios tienden a</w:t>
      </w:r>
      <w:r>
        <w:t xml:space="preserve"> </w:t>
      </w:r>
      <w:r>
        <w:t xml:space="preserve">aceptar explicaciones visualmente atractivas sin verificar su validez técnica</w:t>
      </w:r>
      <w:r>
        <w:t xml:space="preserve"> </w:t>
      </w:r>
      <w:r>
        <w:t xml:space="preserve">(Kaur et al. 2020)</w:t>
      </w:r>
      <w:r>
        <w:t xml:space="preserve">. Este fenómeno es especialmente problemático en explicaciones LIME,</w:t>
      </w:r>
      <w:r>
        <w:t xml:space="preserve"> </w:t>
      </w:r>
      <w:r>
        <w:t xml:space="preserve">donde el sustituto local puede parecer coherente —una lista de importancias</w:t>
      </w:r>
      <w:r>
        <w:t xml:space="preserve"> </w:t>
      </w:r>
      <w:r>
        <w:t xml:space="preserve">lineales— aunque sea inestable o de baja fidelidad. La literatura de evaluación</w:t>
      </w:r>
      <w:r>
        <w:t xml:space="preserve"> </w:t>
      </w:r>
      <w:r>
        <w:t xml:space="preserve">human-centered sugiere que medir confianza calibrada (si la confianza del usuario</w:t>
      </w:r>
      <w:r>
        <w:t xml:space="preserve"> </w:t>
      </w:r>
      <w:r>
        <w:t xml:space="preserve">en el modelo aumenta cuando la explicación es fiable y disminuye cuando no lo</w:t>
      </w:r>
      <w:r>
        <w:t xml:space="preserve"> </w:t>
      </w:r>
      <w:r>
        <w:t xml:space="preserve">es) es un criterio de calidad distinto e irreductible a los criterios</w:t>
      </w:r>
      <w:r>
        <w:t xml:space="preserve"> </w:t>
      </w:r>
      <w:r>
        <w:t xml:space="preserve">computacionales</w:t>
      </w:r>
      <w:r>
        <w:t xml:space="preserve"> </w:t>
      </w:r>
      <w:r>
        <w:t xml:space="preserve">(Hoffman et al. 2023)</w:t>
      </w:r>
      <w:r>
        <w:t xml:space="preserve">.</w:t>
      </w:r>
    </w:p>
    <w:p>
      <w:pPr>
        <w:pStyle w:val="Textoindependiente"/>
        <w:spacing w:line="360" w:lineRule="auto"/>
        <w:jc w:val="both"/>
      </w:pPr>
      <w:r>
        <w:t xml:space="preserve">Hase and Bansal (2020)</w:t>
      </w:r>
      <w:r>
        <w:t xml:space="preserve"> </w:t>
      </w:r>
      <w:r>
        <w:t xml:space="preserve">evalúan directamente la relación entre explicaciones y comprensión del</w:t>
      </w:r>
      <w:r>
        <w:t xml:space="preserve"> </w:t>
      </w:r>
      <w:r>
        <w:t xml:space="preserve">modelo por parte de usuarios. Sus experimentos muestran que explicaciones con</w:t>
      </w:r>
      <w:r>
        <w:t xml:space="preserve"> </w:t>
      </w:r>
      <w:r>
        <w:t xml:space="preserve">mayor fidelidad no siempre producen mejor comprensión: los usuarios pueden</w:t>
      </w:r>
      <w:r>
        <w:t xml:space="preserve"> </w:t>
      </w:r>
      <w:r>
        <w:t xml:space="preserve">modelar mejor el comportamiento del clasificador con explicaciones simples y</w:t>
      </w:r>
      <w:r>
        <w:t xml:space="preserve"> </w:t>
      </w:r>
      <w:r>
        <w:t xml:space="preserve">ligeramente imprecisas que con atribuciones técnicamente más exactas pero</w:t>
      </w:r>
      <w:r>
        <w:t xml:space="preserve"> </w:t>
      </w:r>
      <w:r>
        <w:t xml:space="preserve">cognitivamente costosas. Esta disociación —fidelidad técnica y comprensión</w:t>
      </w:r>
      <w:r>
        <w:t xml:space="preserve"> </w:t>
      </w:r>
      <w:r>
        <w:t xml:space="preserve">humana no alineadas— es una de las razones por las que la taxonomía de este</w:t>
      </w:r>
      <w:r>
        <w:t xml:space="preserve"> </w:t>
      </w:r>
      <w:r>
        <w:t xml:space="preserve">trabajo distingue el eje de contexto de tarea y señala que el contexto de</w:t>
      </w:r>
      <w:r>
        <w:t xml:space="preserve"> </w:t>
      </w:r>
      <w:r>
        <w:t xml:space="preserve">“soporte a usuario final”</w:t>
      </w:r>
      <w:r>
        <w:t xml:space="preserve"> </w:t>
      </w:r>
      <w:r>
        <w:t xml:space="preserve">requiere criterios propios.</w:t>
      </w:r>
    </w:p>
    <w:p>
      <w:pPr>
        <w:pStyle w:val="Textoindependiente"/>
        <w:spacing w:line="360" w:lineRule="auto"/>
        <w:jc w:val="both"/>
      </w:pPr>
      <w:r>
        <w:t xml:space="preserve">Bhattacharya and Verbert (2024)</w:t>
      </w:r>
      <w:r>
        <w:t xml:space="preserve"> </w:t>
      </w:r>
      <w:r>
        <w:t xml:space="preserve">y</w:t>
      </w:r>
      <w:r>
        <w:t xml:space="preserve"> </w:t>
      </w:r>
      <w:r>
        <w:t xml:space="preserve">Rong et al. (2024)</w:t>
      </w:r>
      <w:r>
        <w:t xml:space="preserve"> </w:t>
      </w:r>
      <w:r>
        <w:t xml:space="preserve">contribuyen revisiones sistemáticas de la</w:t>
      </w:r>
      <w:r>
        <w:t xml:space="preserve"> </w:t>
      </w:r>
      <w:r>
        <w:t xml:space="preserve">literatura sobre XAI human-centered que convergen en recomendar el uso de</w:t>
      </w:r>
      <w:r>
        <w:t xml:space="preserve"> </w:t>
      </w:r>
      <w:r>
        <w:t xml:space="preserve">escalas normalizadas para medir comprehensibilidad entre sistemas, la separación</w:t>
      </w:r>
      <w:r>
        <w:t xml:space="preserve"> </w:t>
      </w:r>
      <w:r>
        <w:t xml:space="preserve">entre satisfacción de usuario y utilidad en tarea, y la necesidad de reportar</w:t>
      </w:r>
      <w:r>
        <w:t xml:space="preserve"> </w:t>
      </w:r>
      <w:r>
        <w:t xml:space="preserve">características del usuario (experto, no experto, dominio) como covariables de</w:t>
      </w:r>
      <w:r>
        <w:t xml:space="preserve"> </w:t>
      </w:r>
      <w:r>
        <w:t xml:space="preserve">los estudios. Estos estudios refuerzan la pertinencia de que la presente tesis</w:t>
      </w:r>
      <w:r>
        <w:t xml:space="preserve"> </w:t>
      </w:r>
      <w:r>
        <w:t xml:space="preserve">declare explícitamente sus límites: FOM-7 opera en el dominio de la evaluación</w:t>
      </w:r>
      <w:r>
        <w:t xml:space="preserve"> </w:t>
      </w:r>
      <w:r>
        <w:t xml:space="preserve">functionally-grounded y cualquier extensión a evaluación human-centered</w:t>
      </w:r>
      <w:r>
        <w:t xml:space="preserve"> </w:t>
      </w:r>
      <w:r>
        <w:t xml:space="preserve">requeriría un protocolo propio con participantes, tareas, escalas y análisis de</w:t>
      </w:r>
      <w:r>
        <w:t xml:space="preserve"> </w:t>
      </w:r>
      <w:r>
        <w:t xml:space="preserve">fiabilidad interrater.</w:t>
      </w:r>
    </w:p>
    <w:p>
      <w:pPr>
        <w:pStyle w:val="Textoindependiente"/>
        <w:spacing w:line="360" w:lineRule="auto"/>
        <w:jc w:val="both"/>
      </w:pPr>
      <w:r>
        <w:t xml:space="preserve">La ausencia de evaluación human-centered no es una omisión inadvertida de esta</w:t>
      </w:r>
      <w:r>
        <w:t xml:space="preserve"> </w:t>
      </w:r>
      <w:r>
        <w:t xml:space="preserve">tesis; es una delimitación metodológica explícita y defendible. La taxonomía del</w:t>
      </w:r>
      <w:r>
        <w:t xml:space="preserve"> </w:t>
      </w:r>
      <w:r>
        <w:t xml:space="preserve">Capítulo 5 localiza con precisión qué cuadrantes del espacio de evaluación XAI</w:t>
      </w:r>
      <w:r>
        <w:t xml:space="preserve"> </w:t>
      </w:r>
      <w:r>
        <w:t xml:space="preserve">cubre el benchmark y cuáles no, lo que convierte la limitación en información</w:t>
      </w:r>
      <w:r>
        <w:t xml:space="preserve"> </w:t>
      </w:r>
      <w:r>
        <w:t xml:space="preserve">científica estructurada y evita sobreinterpretar los resultados empíricos.</w:t>
      </w:r>
    </w:p>
    <w:bookmarkEnd w:id="53"/>
    <w:bookmarkStart w:id="54" w:name="Xcb28a5da8e0ee4c37a7111d109b1f7262846e3e"/>
    <w:p>
      <w:pPr>
        <w:pStyle w:val="Ttulo3"/>
        <w:spacing w:line="360" w:lineRule="auto"/>
        <w:jc w:val="both"/>
      </w:pPr>
      <w:r>
        <w:t xml:space="preserve">Reproducibilidad en XAI: crisis, causas y respuestas</w:t>
      </w:r>
    </w:p>
    <w:p>
      <w:pPr>
        <w:pStyle w:val="FirstParagraph"/>
        <w:spacing w:line="360" w:lineRule="auto"/>
        <w:jc w:val="both"/>
      </w:pPr>
      <w:r>
        <w:t xml:space="preserve">La reproducibilidad es una condición de validez científica, no un detalle</w:t>
      </w:r>
      <w:r>
        <w:t xml:space="preserve"> </w:t>
      </w:r>
      <w:r>
        <w:t xml:space="preserve">técnico. En aprendizaje automático, la crisis de reproducibilidad ha sido</w:t>
      </w:r>
      <w:r>
        <w:t xml:space="preserve"> </w:t>
      </w:r>
      <w:r>
        <w:t xml:space="preserve">documentada tanto en investigación fundamental</w:t>
      </w:r>
      <w:r>
        <w:t xml:space="preserve"> </w:t>
      </w:r>
      <w:r>
        <w:t xml:space="preserve">(Hutson 2018)</w:t>
      </w:r>
      <w:r>
        <w:t xml:space="preserve"> </w:t>
      </w:r>
      <w:r>
        <w:t xml:space="preserve">como en evaluación</w:t>
      </w:r>
      <w:r>
        <w:t xml:space="preserve"> </w:t>
      </w:r>
      <w:r>
        <w:t xml:space="preserve">XAI</w:t>
      </w:r>
      <w:r>
        <w:t xml:space="preserve"> </w:t>
      </w:r>
      <w:r>
        <w:t xml:space="preserve">(Pawlicki et al. 2024; Canha et al. 2025)</w:t>
      </w:r>
      <w:r>
        <w:t xml:space="preserve">. En el contexto de XAI, la reproducibilidad</w:t>
      </w:r>
      <w:r>
        <w:t xml:space="preserve"> </w:t>
      </w:r>
      <w:r>
        <w:t xml:space="preserve">tiene una dimensión adicional: no solo deben reproducirse las predicciones del</w:t>
      </w:r>
      <w:r>
        <w:t xml:space="preserve"> </w:t>
      </w:r>
      <w:r>
        <w:t xml:space="preserve">modelo, sino también los artefactos explicativos, las métricas calculadas sobre</w:t>
      </w:r>
      <w:r>
        <w:t xml:space="preserve"> </w:t>
      </w:r>
      <w:r>
        <w:t xml:space="preserve">ellos y las conclusiones inferenciales derivadas. Esta cadena de reproducibilidad</w:t>
      </w:r>
      <w:r>
        <w:t xml:space="preserve"> </w:t>
      </w:r>
      <w:r>
        <w:t xml:space="preserve">es más frágil que la del modelo base porque introduce más puntos de variación:</w:t>
      </w:r>
      <w:r>
        <w:t xml:space="preserve"> </w:t>
      </w:r>
      <w:r>
        <w:t xml:space="preserve">semillas del explicador, estrategias de muestreo, conjuntos de referencia,</w:t>
      </w:r>
      <w:r>
        <w:t xml:space="preserve"> </w:t>
      </w:r>
      <w:r>
        <w:t xml:space="preserve">umbrales de reglas, y parámetros de métricas.</w:t>
      </w:r>
    </w:p>
    <w:p>
      <w:pPr>
        <w:pStyle w:val="Textoindependiente"/>
        <w:spacing w:line="360" w:lineRule="auto"/>
        <w:jc w:val="both"/>
      </w:pPr>
      <w:r>
        <w:t xml:space="preserve">La literatura identifica al menos cinco fuentes de irreproducibilidad específicas</w:t>
      </w:r>
      <w:r>
        <w:t xml:space="preserve"> </w:t>
      </w:r>
      <w:r>
        <w:t xml:space="preserve">de los benchmarks XAI. Primera, la</w:t>
      </w:r>
      <w:r>
        <w:t xml:space="preserve"> </w:t>
      </w:r>
      <w:r>
        <w:rPr>
          <w:b/>
          <w:bCs/>
        </w:rPr>
        <w:t xml:space="preserve">sensibilidad a hiperparámetros no declarados</w:t>
      </w:r>
      <w:r>
        <w:t xml:space="preserve">:</w:t>
      </w:r>
      <w:r>
        <w:t xml:space="preserve"> </w:t>
      </w:r>
      <w:r>
        <w:t xml:space="preserve">LIME sin declarar</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w:t>
      </w:r>
      <w:r>
        <w:t xml:space="preserve"> </w:t>
      </w:r>
      <w:r>
        <w:rPr>
          <w:rStyle w:val="VerbatimChar"/>
        </w:rPr>
        <w:t xml:space="preserve">discretize_continuous</w:t>
      </w:r>
      <w:r>
        <w:t xml:space="preserve"> </w:t>
      </w:r>
      <w:r>
        <w:t xml:space="preserve">puede</w:t>
      </w:r>
      <w:r>
        <w:t xml:space="preserve"> </w:t>
      </w:r>
      <w:r>
        <w:t xml:space="preserve">producir explicaciones sustancialmente distintas entre estudios que usan</w:t>
      </w:r>
      <w:r>
        <w:t xml:space="preserve"> </w:t>
      </w:r>
      <w:r>
        <w:t xml:space="preserve">“LIME”</w:t>
      </w:r>
      <w:r>
        <w:t xml:space="preserve"> </w:t>
      </w:r>
      <w:r>
        <w:t xml:space="preserve">como etiqueta sin especificar configuración</w:t>
      </w:r>
      <w:r>
        <w:t xml:space="preserve"> </w:t>
      </w:r>
      <w:r>
        <w:t xml:space="preserve">(Burger et al. 2023; Slack et al. 2020)</w:t>
      </w:r>
      <w:r>
        <w:t xml:space="preserve">. Segunda,</w:t>
      </w:r>
      <w:r>
        <w:t xml:space="preserve"> </w:t>
      </w:r>
      <w:r>
        <w:t xml:space="preserve">la</w:t>
      </w:r>
      <w:r>
        <w:t xml:space="preserve"> </w:t>
      </w:r>
      <w:r>
        <w:rPr>
          <w:b/>
          <w:bCs/>
        </w:rPr>
        <w:t xml:space="preserve">dependencia de semillas aleatorias</w:t>
      </w:r>
      <w:r>
        <w:t xml:space="preserve">: los explicadores estocásticos como</w:t>
      </w:r>
      <w:r>
        <w:t xml:space="preserve"> </w:t>
      </w:r>
      <w:r>
        <w:t xml:space="preserve">LIME y DiCE producen resultados distintos con semillas distintas, lo que requiere</w:t>
      </w:r>
      <w:r>
        <w:t xml:space="preserve"> </w:t>
      </w:r>
      <w:r>
        <w:t xml:space="preserve">múltiples réplicas y análisis de varianza por semilla para distinguir señal de</w:t>
      </w:r>
      <w:r>
        <w:t xml:space="preserve"> </w:t>
      </w:r>
      <w:r>
        <w:t xml:space="preserve">ruido</w:t>
      </w:r>
      <w:r>
        <w:t xml:space="preserve"> </w:t>
      </w:r>
      <w:r>
        <w:t xml:space="preserve">(Canha et al. 2025)</w:t>
      </w:r>
      <w:r>
        <w:t xml:space="preserve">. Tercera, la</w:t>
      </w:r>
      <w:r>
        <w:t xml:space="preserve"> </w:t>
      </w:r>
      <w:r>
        <w:rPr>
          <w:b/>
          <w:bCs/>
        </w:rPr>
        <w:t xml:space="preserve">mezcla de cohortes de evidencia</w:t>
      </w:r>
      <w:r>
        <w:t xml:space="preserve">: estudios</w:t>
      </w:r>
      <w:r>
        <w:t xml:space="preserve"> </w:t>
      </w:r>
      <w:r>
        <w:t xml:space="preserve">que usan los mismos artefactos para calibración y para inferencia confirmativa</w:t>
      </w:r>
      <w:r>
        <w:t xml:space="preserve"> </w:t>
      </w:r>
      <w:r>
        <w:t xml:space="preserve">pueden reportar efectos estadísticos inflados, no por fraude sino por falta de</w:t>
      </w:r>
      <w:r>
        <w:t xml:space="preserve"> </w:t>
      </w:r>
      <w:r>
        <w:t xml:space="preserve">una arquitectura que separe las dos funciones</w:t>
      </w:r>
      <w:r>
        <w:t xml:space="preserve"> </w:t>
      </w:r>
      <w:r>
        <w:t xml:space="preserve">(Hedström et al. 2023)</w:t>
      </w:r>
      <w:r>
        <w:t xml:space="preserve">. Cuarta, la</w:t>
      </w:r>
      <w:r>
        <w:t xml:space="preserve"> </w:t>
      </w:r>
      <w:r>
        <w:rPr>
          <w:b/>
          <w:bCs/>
        </w:rPr>
        <w:t xml:space="preserve">ausencia de criterios de calificación de artefactos</w:t>
      </w:r>
      <w:r>
        <w:t xml:space="preserve">: un artefacto vacío,</w:t>
      </w:r>
      <w:r>
        <w:t xml:space="preserve"> </w:t>
      </w:r>
      <w:r>
        <w:t xml:space="preserve">malformado o de convergencia fallida que no se detecta en la etapa de auditoría</w:t>
      </w:r>
      <w:r>
        <w:t xml:space="preserve"> </w:t>
      </w:r>
      <w:r>
        <w:t xml:space="preserve">contamina las tablas métricas con valores espurios</w:t>
      </w:r>
      <w:r>
        <w:t xml:space="preserve"> </w:t>
      </w:r>
      <w:r>
        <w:t xml:space="preserve">(Pawlicki et al. 2024)</w:t>
      </w:r>
      <w:r>
        <w:t xml:space="preserve">. Quinta, la</w:t>
      </w:r>
      <w:r>
        <w:t xml:space="preserve"> </w:t>
      </w:r>
      <w:r>
        <w:rPr>
          <w:b/>
          <w:bCs/>
        </w:rPr>
        <w:t xml:space="preserve">dependencia del entorno computacional</w:t>
      </w:r>
      <w:r>
        <w:t xml:space="preserve">: versiones de librerías, hardware</w:t>
      </w:r>
      <w:r>
        <w:t xml:space="preserve"> </w:t>
      </w:r>
      <w:r>
        <w:t xml:space="preserve">disponible y órdenes de ejecución pueden afectar el timing y, en algunos casos,</w:t>
      </w:r>
      <w:r>
        <w:t xml:space="preserve"> </w:t>
      </w:r>
      <w:r>
        <w:t xml:space="preserve">los valores de métricas.</w:t>
      </w:r>
    </w:p>
    <w:p>
      <w:pPr>
        <w:pStyle w:val="Textoindependiente"/>
        <w:spacing w:line="360" w:lineRule="auto"/>
        <w:jc w:val="both"/>
      </w:pPr>
      <w:r>
        <w:t xml:space="preserve">Canha et al.</w:t>
      </w:r>
      <w:r>
        <w:t xml:space="preserve"> </w:t>
      </w:r>
      <w:r>
        <w:t xml:space="preserve">(2025)</w:t>
      </w:r>
      <w:r>
        <w:t xml:space="preserve"> </w:t>
      </w:r>
      <w:r>
        <w:t xml:space="preserve">proponen un conjunto de principios de reproducibilidad</w:t>
      </w:r>
      <w:r>
        <w:t xml:space="preserve"> </w:t>
      </w:r>
      <w:r>
        <w:t xml:space="preserve">para XAI que incluye declaración de semillas, versionado de dependencias,</w:t>
      </w:r>
      <w:r>
        <w:t xml:space="preserve"> </w:t>
      </w:r>
      <w:r>
        <w:t xml:space="preserve">separación entre datos de entrenamiento y de evaluación, y publicación de</w:t>
      </w:r>
      <w:r>
        <w:t xml:space="preserve"> </w:t>
      </w:r>
      <w:r>
        <w:t xml:space="preserve">artefactos en repositorios con DOI. FOM-7 operacionaliza estos principios en</w:t>
      </w:r>
      <w:r>
        <w:t xml:space="preserve"> </w:t>
      </w:r>
      <w:r>
        <w:t xml:space="preserve">siete puertas: la puerta 1 (congelación del protocolo) previene modificaciones</w:t>
      </w:r>
      <w:r>
        <w:t xml:space="preserve"> </w:t>
      </w:r>
      <w:r>
        <w:t xml:space="preserve">post-hoc; la puerta 2 (ejecución con semillas declarativas) previene</w:t>
      </w:r>
      <w:r>
        <w:t xml:space="preserve"> </w:t>
      </w:r>
      <w:r>
        <w:t xml:space="preserve">sensibilidad no documentada; la puerta 3 (auditoría de integridad) previene</w:t>
      </w:r>
      <w:r>
        <w:t xml:space="preserve"> </w:t>
      </w:r>
      <w:r>
        <w:t xml:space="preserve">contaminación por artefactos malformados; y la puerta 6 (perfilado de</w:t>
      </w:r>
      <w:r>
        <w:t xml:space="preserve"> </w:t>
      </w:r>
      <w:r>
        <w:t xml:space="preserve">reproducibilidad) cuantifica la varianza residual de semilla. Estas puertas no</w:t>
      </w:r>
      <w:r>
        <w:t xml:space="preserve"> </w:t>
      </w:r>
      <w:r>
        <w:t xml:space="preserve">eliminan todas las fuentes de variación, pero las documentan y controlan dentro</w:t>
      </w:r>
      <w:r>
        <w:t xml:space="preserve"> </w:t>
      </w:r>
      <w:r>
        <w:t xml:space="preserve">del alcance del diseño experimental.</w:t>
      </w:r>
    </w:p>
    <w:p>
      <w:pPr>
        <w:pStyle w:val="Textoindependiente"/>
        <w:spacing w:line="360" w:lineRule="auto"/>
        <w:jc w:val="both"/>
      </w:pPr>
      <w:r>
        <w:t xml:space="preserve">La importancia de la reproducibilidad se amplifica en el contexto regulatorio.</w:t>
      </w:r>
      <w:r>
        <w:t xml:space="preserve"> </w:t>
      </w:r>
      <w:r>
        <w:t xml:space="preserve">El EU AI Act exige que los sistemas de IA de alto riesgo sean auditables, lo que</w:t>
      </w:r>
      <w:r>
        <w:t xml:space="preserve"> </w:t>
      </w:r>
      <w:r>
        <w:t xml:space="preserve">implica que las explicaciones usadas en decisiones consecuentes deben poder</w:t>
      </w:r>
      <w:r>
        <w:t xml:space="preserve"> </w:t>
      </w:r>
      <w:r>
        <w:t xml:space="preserve">regenerarse con los mismos parámetros y producir el mismo resultado. Un método</w:t>
      </w:r>
      <w:r>
        <w:t xml:space="preserve"> </w:t>
      </w:r>
      <w:r>
        <w:t xml:space="preserve">de explicación con alta variabilidad de semilla no puede satisfacer este</w:t>
      </w:r>
      <w:r>
        <w:t xml:space="preserve"> </w:t>
      </w:r>
      <w:r>
        <w:t xml:space="preserve">requisito de auditabilidad, independientemente de su fidelidad media. El</w:t>
      </w:r>
      <w:r>
        <w:t xml:space="preserve"> </w:t>
      </w:r>
      <w:r>
        <w:t xml:space="preserve">protocolo FOM-7, al incorporar reproducibilidad como criterio explícito de</w:t>
      </w:r>
      <w:r>
        <w:t xml:space="preserve"> </w:t>
      </w:r>
      <w:r>
        <w:t xml:space="preserve">admisibilidad (proposición P1), conecta la dimensión técnica del benchmark con</w:t>
      </w:r>
      <w:r>
        <w:t xml:space="preserve"> </w:t>
      </w:r>
      <w:r>
        <w:t xml:space="preserve">este requisito normativo emergente.</w:t>
      </w:r>
    </w:p>
    <w:bookmarkEnd w:id="54"/>
    <w:bookmarkEnd w:id="55"/>
    <w:bookmarkStart w:id="56" w:name="X1ac049df9037bab7d9ddedb9eb6dfc246d0f001"/>
    <w:p>
      <w:pPr>
        <w:pStyle w:val="Ttulo2"/>
        <w:spacing w:line="360" w:lineRule="auto"/>
        <w:jc w:val="both"/>
      </w:pPr>
      <w:r>
        <w:t xml:space="preserve">Taxonomias de métricas y brechas de constructo</w:t>
      </w:r>
    </w:p>
    <w:p>
      <w:pPr>
        <w:pStyle w:val="FirstParagraph"/>
        <w:spacing w:line="360" w:lineRule="auto"/>
        <w:jc w:val="both"/>
      </w:pPr>
      <w:r>
        <w:t xml:space="preserve">El esfuerzo por ordenar este espacio ha generado una literatura de síntesis</w:t>
      </w:r>
      <w:r>
        <w:t xml:space="preserve"> </w:t>
      </w:r>
      <w:r>
        <w:t xml:space="preserve">abundante y heterogénea. Existen historias breves del campo que sitúan la</w:t>
      </w:r>
      <w:r>
        <w:t xml:space="preserve"> </w:t>
      </w:r>
      <w:r>
        <w:t xml:space="preserve">interpretabilidad en una tradición estadística de más de dos siglos</w:t>
      </w:r>
      <w:r>
        <w:t xml:space="preserve"> </w:t>
      </w:r>
      <w:r>
        <w:t xml:space="preserve">(Molnar et al. 2020)</w:t>
      </w:r>
      <w:r>
        <w:t xml:space="preserve">, panorámicas compactas de métodos</w:t>
      </w:r>
      <w:r>
        <w:t xml:space="preserve"> </w:t>
      </w:r>
      <w:r>
        <w:t xml:space="preserve">(Holzinger et al. 2022; Long et al. 2019)</w:t>
      </w:r>
      <w:r>
        <w:t xml:space="preserve">,</w:t>
      </w:r>
      <w:r>
        <w:t xml:space="preserve"> </w:t>
      </w:r>
      <w:r>
        <w:t xml:space="preserve">revisiones sistemáticas de técnicas y retos abiertos</w:t>
      </w:r>
      <w:r>
        <w:t xml:space="preserve"> </w:t>
      </w:r>
      <w:r>
        <w:t xml:space="preserve">(Abusitta et al. 2024; Ullah et al. 2024)</w:t>
      </w:r>
      <w:r>
        <w:t xml:space="preserve">,</w:t>
      </w:r>
      <w:r>
        <w:t xml:space="preserve"> </w:t>
      </w:r>
      <w:r>
        <w:t xml:space="preserve">inventarios de aplicaciones por dominio</w:t>
      </w:r>
      <w:r>
        <w:t xml:space="preserve"> </w:t>
      </w:r>
      <w:r>
        <w:t xml:space="preserve">(Kalasampath et al. 2025)</w:t>
      </w:r>
      <w:r>
        <w:t xml:space="preserve"> </w:t>
      </w:r>
      <w:r>
        <w:t xml:space="preserve">y revisiones</w:t>
      </w:r>
      <w:r>
        <w:t xml:space="preserve"> </w:t>
      </w:r>
      <w:r>
        <w:t xml:space="preserve">focalizadas en tareas concretas</w:t>
      </w:r>
      <w:r>
        <w:t xml:space="preserve"> </w:t>
      </w:r>
      <w:r>
        <w:t xml:space="preserve">(Ngueajio et al. 2025; Fan et al. 2026)</w:t>
      </w:r>
      <w:r>
        <w:t xml:space="preserve">. La reflexión más</w:t>
      </w:r>
      <w:r>
        <w:t xml:space="preserve"> </w:t>
      </w:r>
      <w:r>
        <w:t xml:space="preserve">articulada sobre el estado del campo es el manifiesto que propone una segunda</w:t>
      </w:r>
      <w:r>
        <w:t xml:space="preserve"> </w:t>
      </w:r>
      <w:r>
        <w:t xml:space="preserve">generación de XAI y enumera los desafíos abiertos que la primera no resolvió</w:t>
      </w:r>
      <w:r>
        <w:t xml:space="preserve"> </w:t>
      </w:r>
      <w:r>
        <w:t xml:space="preserve">(Longo et al. 2024)</w:t>
      </w:r>
      <w:r>
        <w:t xml:space="preserve">. La proliferación de estas síntesis es, en sí misma, un síntoma del</w:t>
      </w:r>
      <w:r>
        <w:t xml:space="preserve"> </w:t>
      </w:r>
      <w:r>
        <w:t xml:space="preserve">problema que esta tesis aborda: se acumulan mapas del territorio con mayor</w:t>
      </w:r>
      <w:r>
        <w:t xml:space="preserve"> </w:t>
      </w:r>
      <w:r>
        <w:t xml:space="preserve">rapidez que protocolos para transitarlo.</w:t>
      </w:r>
    </w:p>
    <w:p>
      <w:pPr>
        <w:pStyle w:val="Textoindependiente"/>
        <w:spacing w:line="360" w:lineRule="auto"/>
        <w:jc w:val="both"/>
      </w:pPr>
      <w:r>
        <w:t xml:space="preserve">La fidelidad mide hasta qué punto una explicación aproxima el comportamiento</w:t>
      </w:r>
      <w:r>
        <w:t xml:space="preserve"> </w:t>
      </w:r>
      <w:r>
        <w:t xml:space="preserve">observable del modelo. En métodos de sustitución local, puede operacionalizarse</w:t>
      </w:r>
      <w:r>
        <w:t xml:space="preserve"> </w:t>
      </w:r>
      <w:r>
        <w:t xml:space="preserve">como acuerdo entre el modelo de caja negra y el sustituto en un vecindario</w:t>
      </w:r>
      <w:r>
        <w:t xml:space="preserve"> </w:t>
      </w:r>
      <w:r>
        <w:t xml:space="preserve">definido. Sin embargo, la fidelidad depende de cómo se construye ese</w:t>
      </w:r>
      <w:r>
        <w:t xml:space="preserve"> </w:t>
      </w:r>
      <w:r>
        <w:t xml:space="preserve">vecindario, de qué instancias se consultan y de qué diferencia se considera</w:t>
      </w:r>
      <w:r>
        <w:t xml:space="preserve"> </w:t>
      </w:r>
      <w:r>
        <w:t xml:space="preserve">relevante. Por ello, FOM-7 trata la fidelidad como un resultado condicionado por</w:t>
      </w:r>
      <w:r>
        <w:t xml:space="preserve"> </w:t>
      </w:r>
      <w:r>
        <w:t xml:space="preserve">decisiones experimentales, no como propiedad absoluta del método.</w:t>
      </w:r>
    </w:p>
    <w:p>
      <w:pPr>
        <w:pStyle w:val="Textoindependiente"/>
        <w:spacing w:line="360" w:lineRule="auto"/>
        <w:jc w:val="both"/>
      </w:pPr>
      <w:r>
        <w:t xml:space="preserve">La fidelidad debe leerse como una relación entre tres elementos: el modelo que</w:t>
      </w:r>
      <w:r>
        <w:t xml:space="preserve"> </w:t>
      </w:r>
      <w:r>
        <w:t xml:space="preserve">se explica, el artefacto explicativo y el dominio de comparación.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atribución aditiva bajo supuestos de referencia. En</w:t>
      </w:r>
      <w:r>
        <w:t xml:space="preserve"> </w:t>
      </w:r>
      <w:r>
        <w:t xml:space="preserve">Anchors, la fidelidad no aparece como peso continuo sino como precisión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homogénea entre</w:t>
      </w:r>
      <w:r>
        <w:t xml:space="preserve"> </w:t>
      </w:r>
      <w:r>
        <w:t xml:space="preserve">familias explicativas; debe operacionalizarse según el objeto que cada método</w:t>
      </w:r>
      <w:r>
        <w:t xml:space="preserve"> </w:t>
      </w:r>
      <w:r>
        <w:t xml:space="preserve">produce</w:t>
      </w:r>
      <w:r>
        <w:t xml:space="preserve"> </w:t>
      </w:r>
      <w:r>
        <w:t xml:space="preserve">(Guidotti et al. 2018; Carvalho et al. 2019; Nauta et al. 2023)</w:t>
      </w:r>
      <w:r>
        <w:t xml:space="preserve">.</w:t>
      </w:r>
    </w:p>
    <w:p>
      <w:pPr>
        <w:pStyle w:val="Textoindependiente"/>
        <w:spacing w:line="360" w:lineRule="auto"/>
        <w:jc w:val="both"/>
      </w:pPr>
      <w:r>
        <w:t xml:space="preserve">La estabilidad evalúa la consistencia de explicaciones ante variaciones</w:t>
      </w:r>
      <w:r>
        <w:t xml:space="preserve"> </w:t>
      </w:r>
      <w:r>
        <w:t xml:space="preserve">pequeñas. Esta propiedad es central porque un usuario puede perder confianza si</w:t>
      </w:r>
      <w:r>
        <w:t xml:space="preserve"> </w:t>
      </w:r>
      <w:r>
        <w:t xml:space="preserve">instancias casi idénticas reciben explicaciones incompatibles. Sin embargo, una</w:t>
      </w:r>
      <w:r>
        <w:t xml:space="preserve"> </w:t>
      </w:r>
      <w:r>
        <w:t xml:space="preserve">explicación estable no es necesariamente correcta; puede repetir de forma</w:t>
      </w:r>
      <w:r>
        <w:t xml:space="preserve"> </w:t>
      </w:r>
      <w:r>
        <w:t xml:space="preserve">consistente una aproximación pobre. La estabilidad debe leerse junto con</w:t>
      </w:r>
      <w:r>
        <w:t xml:space="preserve"> </w:t>
      </w:r>
      <w:r>
        <w:t xml:space="preserve">fidelidad, robustez y alcance del experimento.</w:t>
      </w:r>
    </w:p>
    <w:p>
      <w:pPr>
        <w:pStyle w:val="Textoindependiente"/>
        <w:spacing w:line="360" w:lineRule="auto"/>
        <w:jc w:val="both"/>
      </w:pPr>
      <w:r>
        <w:t xml:space="preserve">En FOM-7, la estabilidad funciona como un control de sensibilidad. Su pregunta</w:t>
      </w:r>
      <w:r>
        <w:t xml:space="preserve"> </w:t>
      </w:r>
      <w:r>
        <w:t xml:space="preserve">no es si la explicación es verdadera, sino si el explicador responde de forma</w:t>
      </w:r>
      <w:r>
        <w:t xml:space="preserve"> </w:t>
      </w:r>
      <w:r>
        <w:t xml:space="preserve">coherente ante variaciones que no deberían alterar sustancialmente la</w:t>
      </w:r>
      <w:r>
        <w:t xml:space="preserve"> </w:t>
      </w:r>
      <w:r>
        <w:t xml:space="preserve">interpretación. Esta distinción es relevante porque algunos explicadores</w:t>
      </w:r>
      <w:r>
        <w:t xml:space="preserve"> </w:t>
      </w:r>
      <w:r>
        <w:t xml:space="preserve">post-hoc pueden variar por razones técnicas ajenas al fenómeno que se desea</w:t>
      </w:r>
      <w:r>
        <w:t xml:space="preserve"> </w:t>
      </w:r>
      <w:r>
        <w:t xml:space="preserve">explicar, como el muestreo, la selección de características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spacing w:line="360" w:lineRule="auto"/>
        <w:jc w:val="both"/>
      </w:pPr>
      <w:r>
        <w:t xml:space="preserve">La robustez amplía el análisis hacia perturbaciones mayores, ataques o</w:t>
      </w:r>
      <w:r>
        <w:t xml:space="preserve"> </w:t>
      </w:r>
      <w:r>
        <w:t xml:space="preserve">condiciones fuera de distribución. En evaluación XAI, esto es especialmente</w:t>
      </w:r>
      <w:r>
        <w:t xml:space="preserve"> </w:t>
      </w:r>
      <w:r>
        <w:t xml:space="preserve">problemático porque muchas métricas operan alterando entradas. Si las entradas</w:t>
      </w:r>
      <w:r>
        <w:t xml:space="preserve"> </w:t>
      </w:r>
      <w:r>
        <w:t xml:space="preserve">alteradas dejan de representar casos plausibles del dominio, la métrica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spacing w:line="360" w:lineRule="auto"/>
        <w:jc w:val="both"/>
      </w:pPr>
      <w:r>
        <w:t xml:space="preserve">La complejidad o sparsity evalúa el tamaño cognitivo del artefacto explicativo.</w:t>
      </w:r>
      <w:r>
        <w:t xml:space="preserve"> </w:t>
      </w:r>
      <w:r>
        <w:t xml:space="preserve">Explicaciones más breves pueden ser más comprensibles, pero la parquedad no</w:t>
      </w:r>
      <w:r>
        <w:t xml:space="preserve"> </w:t>
      </w:r>
      <w:r>
        <w:t xml:space="preserve">garantiza calidad. Una explicación demasiado simple puede omitir factores</w:t>
      </w:r>
      <w:r>
        <w:t xml:space="preserve"> </w:t>
      </w:r>
      <w:r>
        <w:t xml:space="preserve">necesarios; una demasiado extensa puede ser técnicamente rica pero inútil para</w:t>
      </w:r>
      <w:r>
        <w:t xml:space="preserve"> </w:t>
      </w:r>
      <w:r>
        <w:t xml:space="preserve">un usuario. FOM-7 usa complejidad como una dimensión de perfil, no como criterio</w:t>
      </w:r>
      <w:r>
        <w:t xml:space="preserve"> </w:t>
      </w:r>
      <w:r>
        <w:t xml:space="preserve">supremo</w:t>
      </w:r>
      <w:r>
        <w:t xml:space="preserve"> </w:t>
      </w:r>
      <w:r>
        <w:t xml:space="preserve">(Nauta et al. 2023)</w:t>
      </w:r>
      <w:r>
        <w:t xml:space="preserve">.</w:t>
      </w:r>
    </w:p>
    <w:p>
      <w:pPr>
        <w:pStyle w:val="Textoindependiente"/>
        <w:spacing w:line="360" w:lineRule="auto"/>
        <w:jc w:val="both"/>
      </w:pPr>
      <w:r>
        <w:t xml:space="preserve">El coste computacional incorpora una dimensión práctica. Explicaciones que</w:t>
      </w:r>
      <w:r>
        <w:t xml:space="preserve"> </w:t>
      </w:r>
      <w:r>
        <w:t xml:space="preserve">requieren miles de consultas al modelo pueden ser aceptables en investigación</w:t>
      </w:r>
      <w:r>
        <w:t xml:space="preserve"> </w:t>
      </w:r>
      <w:r>
        <w:t xml:space="preserve">offline, pero inadecuadas para sistemas interactivos o despliegues con</w:t>
      </w:r>
      <w:r>
        <w:t xml:space="preserve"> </w:t>
      </w:r>
      <w:r>
        <w:t xml:space="preserve">restricciones de latencia. La comparación entre KernelSHAP y aproximaciones más</w:t>
      </w:r>
      <w:r>
        <w:t xml:space="preserve"> </w:t>
      </w:r>
      <w:r>
        <w:t xml:space="preserve">rápidas muestra que la evaluación debe incluir compromisos de factibilidad</w:t>
      </w:r>
      <w:r>
        <w:t xml:space="preserve"> </w:t>
      </w:r>
      <w:r>
        <w:t xml:space="preserve">(Lundberg 2017; Van den Broeck et al. 2022)</w:t>
      </w:r>
      <w:r>
        <w:t xml:space="preserve">.</w:t>
      </w:r>
    </w:p>
    <w:p>
      <w:pPr>
        <w:pStyle w:val="Textoindependiente"/>
        <w:spacing w:line="360" w:lineRule="auto"/>
        <w:jc w:val="both"/>
      </w:pPr>
      <w:r>
        <w:t xml:space="preserve">El coste no es solamente una medida de eficiencia; también condiciona que</w:t>
      </w:r>
      <w:r>
        <w:t xml:space="preserve"> </w:t>
      </w:r>
      <w:r>
        <w:t xml:space="preserve">preguntas pueden contestarse dentro de un benchmark. Un método costoso puede</w:t>
      </w:r>
      <w:r>
        <w:t xml:space="preserve"> </w:t>
      </w:r>
      <w:r>
        <w:t xml:space="preserve">limitar el número de instancias evaluadas, reducir la cantidad de semillas,</w:t>
      </w:r>
      <w:r>
        <w:t xml:space="preserve"> </w:t>
      </w:r>
      <w:r>
        <w:t xml:space="preserve">impedir análisis de sensibilidad o forzar aproximaciones. La literatura sobre</w:t>
      </w:r>
      <w:r>
        <w:t xml:space="preserve"> </w:t>
      </w:r>
      <w:r>
        <w:t xml:space="preserve">tractabilidad de SHAP ilustra que la complejidad computacional no es un detalle</w:t>
      </w:r>
      <w:r>
        <w:t xml:space="preserve"> </w:t>
      </w:r>
      <w:r>
        <w:t xml:space="preserve">de implementación, sino una propiedad que afecta la admisibilidad experimental</w:t>
      </w:r>
      <w:r>
        <w:t xml:space="preserve"> </w:t>
      </w:r>
      <w:r>
        <w:t xml:space="preserve">(Van den Broeck et al. 2022)</w:t>
      </w:r>
      <w:r>
        <w:t xml:space="preserve">. FOM-7 incorpora el coste para evitar que la comparación</w:t>
      </w:r>
      <w:r>
        <w:t xml:space="preserve"> </w:t>
      </w:r>
      <w:r>
        <w:t xml:space="preserve">privilegie explicaciones teóricamente atractivas pero impracticables bajo</w:t>
      </w:r>
      <w:r>
        <w:t xml:space="preserve"> </w:t>
      </w:r>
      <w:r>
        <w:t xml:space="preserve">restricciones reales.</w:t>
      </w:r>
    </w:p>
    <w:p>
      <w:pPr>
        <w:pStyle w:val="Textoindependiente"/>
        <w:spacing w:line="360" w:lineRule="auto"/>
        <w:jc w:val="both"/>
      </w:pPr>
      <w:r>
        <w:t xml:space="preserve">La utilidad y la plausibilidad introducen una capa distinta. Una explicación</w:t>
      </w:r>
      <w:r>
        <w:t xml:space="preserve"> </w:t>
      </w:r>
      <w:r>
        <w:t xml:space="preserve">puede ser útil para un científico de datos que busca depurar un pipeline, para</w:t>
      </w:r>
      <w:r>
        <w:t xml:space="preserve"> </w:t>
      </w:r>
      <w:r>
        <w:t xml:space="preserve">un experto de dominio que evalúa coherencia sustantiva o para un usuario que</w:t>
      </w:r>
      <w:r>
        <w:t xml:space="preserve"> </w:t>
      </w:r>
      <w:r>
        <w:t xml:space="preserve">necesita entender una decisión. Sin embargo, esos usos no se derivan</w:t>
      </w:r>
      <w:r>
        <w:t xml:space="preserve"> </w:t>
      </w:r>
      <w:r>
        <w:t xml:space="preserve">automáticamente de las métricas computacionales. Los estudios human-centered</w:t>
      </w:r>
      <w:r>
        <w:t xml:space="preserve"> </w:t>
      </w:r>
      <w:r>
        <w:t xml:space="preserve">muestran que la utilidad depende de usuario, tarea, interfaz y contexto</w:t>
      </w:r>
      <w:r>
        <w:t xml:space="preserve"> </w:t>
      </w:r>
      <w:r>
        <w:t xml:space="preserve">(Miller 2019; Kaur et al. 2020; Hase and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spacing w:line="360" w:lineRule="auto"/>
        <w:jc w:val="both"/>
      </w:pPr>
      <w:r>
        <w:t xml:space="preserve">La brecha de constructo aparece cuando una métrica mide una propiedad cercana</w:t>
      </w:r>
      <w:r>
        <w:t xml:space="preserve"> </w:t>
      </w:r>
      <w:r>
        <w:t xml:space="preserve">pero no idéntica a la afirmación que se desea hacer. Por ejemplo, una métrica de</w:t>
      </w:r>
      <w:r>
        <w:t xml:space="preserve"> </w:t>
      </w:r>
      <w:r>
        <w:t xml:space="preserve">fidelidad local no autoriza automáticamente afirmar utilidad humana; una métrica</w:t>
      </w:r>
      <w:r>
        <w:t xml:space="preserve"> </w:t>
      </w:r>
      <w:r>
        <w:t xml:space="preserve">de estabilidad no prueba causalidad; una regla Anchor precisa no garantiza</w:t>
      </w:r>
      <w:r>
        <w:t xml:space="preserve"> </w:t>
      </w:r>
      <w:r>
        <w:t xml:space="preserve">cobertura amplia; un contrafactual válido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spacing w:line="360" w:lineRule="auto"/>
        <w:jc w:val="both"/>
      </w:pPr>
      <w:r>
        <w:t xml:space="preserve">El problema se agrava cuando la métrica produce una cifra fácil de comparar. La</w:t>
      </w:r>
      <w:r>
        <w:t xml:space="preserve"> </w:t>
      </w:r>
      <w:r>
        <w:t xml:space="preserve">forma tabular puede sugerir una objetividad mayor que la realmente disponible.</w:t>
      </w:r>
      <w:r>
        <w:t xml:space="preserve"> </w:t>
      </w:r>
      <w:r>
        <w:t xml:space="preserve">Una diferencia numérica entre dos explicadores solo es significativa si la</w:t>
      </w:r>
      <w:r>
        <w:t xml:space="preserve"> </w:t>
      </w:r>
      <w:r>
        <w:t xml:space="preserve">métrica es válida para el constructo, si la variabilidad fue estimada, si el</w:t>
      </w:r>
      <w:r>
        <w:t xml:space="preserve"> </w:t>
      </w:r>
      <w:r>
        <w:t xml:space="preserve">procedimiento es reproducible y si la afirmación resultante respeta el alcance</w:t>
      </w:r>
      <w:r>
        <w:t xml:space="preserve"> </w:t>
      </w:r>
      <w:r>
        <w:t xml:space="preserve">del experimento. Las revisiones de métodos y métricas insisten en la necesidad</w:t>
      </w:r>
      <w:r>
        <w:t xml:space="preserve"> </w:t>
      </w:r>
      <w:r>
        <w:t xml:space="preserve">de interpretar la evaluación XAI como un conjunto de dimensiones relacionadas,</w:t>
      </w:r>
      <w:r>
        <w:t xml:space="preserve"> </w:t>
      </w:r>
      <w:r>
        <w:t xml:space="preserve">no como un único eje de optimización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método, métrica, constructo, condición experimental y claim.</w:t>
      </w:r>
    </w:p>
    <w:p>
      <w:pPr>
        <w:pStyle w:val="Textoindependiente"/>
        <w:spacing w:line="360" w:lineRule="auto"/>
        <w:jc w:val="both"/>
      </w:pPr>
      <w:r>
        <w:t xml:space="preserve">La siguiente matriz resume esta alineación entre métodos, objetos explicativos y</w:t>
      </w:r>
      <w:r>
        <w:t xml:space="preserve"> </w:t>
      </w:r>
      <w:r>
        <w:t xml:space="preserve">constructos de evaluación. Su función no es sustituir el análisis empírico, sino</w:t>
      </w:r>
      <w:r>
        <w:t xml:space="preserve"> </w:t>
      </w:r>
      <w:r>
        <w:t xml:space="preserve">hacer explícita la razón por la cual FOM-7 evalúa perfiles y no rankings</w:t>
      </w:r>
      <w:r>
        <w:t xml:space="preserve"> </w:t>
      </w:r>
      <w:r>
        <w:t xml:space="preserve">absolutos.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both"/>
            </w:pPr>
            <w:r>
              <w:t xml:space="preserve">Método</w:t>
            </w:r>
          </w:p>
        </w:tc>
        <w:tc>
          <w:tcPr/>
          <w:p>
            <w:pPr>
              <w:pStyle w:val="Compact"/>
              <w:spacing w:line="360" w:lineRule="auto"/>
              <w:jc w:val="both"/>
            </w:pPr>
            <w:r>
              <w:t xml:space="preserve">Objeto explicativo principal</w:t>
            </w:r>
          </w:p>
        </w:tc>
        <w:tc>
          <w:tcPr/>
          <w:p>
            <w:pPr>
              <w:pStyle w:val="Compact"/>
              <w:spacing w:line="360" w:lineRule="auto"/>
              <w:jc w:val="both"/>
            </w:pPr>
            <w:r>
              <w:t xml:space="preserve">Constructos naturalmente alineados</w:t>
            </w:r>
          </w:p>
        </w:tc>
        <w:tc>
          <w:tcPr/>
          <w:p>
            <w:pPr>
              <w:pStyle w:val="Compact"/>
              <w:spacing w:line="360" w:lineRule="auto"/>
              <w:jc w:val="both"/>
            </w:pPr>
            <w:r>
              <w:t xml:space="preserve">Riesgos de evaluación</w:t>
            </w:r>
          </w:p>
        </w:tc>
        <w:tc>
          <w:tcPr/>
          <w:p>
            <w:pPr>
              <w:pStyle w:val="Compact"/>
              <w:spacing w:line="360" w:lineRule="auto"/>
              <w:jc w:val="both"/>
            </w:pPr>
            <w:r>
              <w:t xml:space="preserve">Lectura dentro de FOM-7</w:t>
            </w:r>
          </w:p>
        </w:tc>
      </w:tr>
      <w:tr>
        <w:tc>
          <w:tcPr/>
          <w:p>
            <w:pPr>
              <w:pStyle w:val="Compact"/>
              <w:spacing w:line="360" w:lineRule="auto"/>
              <w:jc w:val="both"/>
            </w:pPr>
            <w:r>
              <w:t xml:space="preserve">LIME</w:t>
            </w:r>
          </w:p>
        </w:tc>
        <w:tc>
          <w:tcPr/>
          <w:p>
            <w:pPr>
              <w:pStyle w:val="Compact"/>
              <w:spacing w:line="360" w:lineRule="auto"/>
              <w:jc w:val="both"/>
            </w:pPr>
            <w:r>
              <w:t xml:space="preserve">Sustituto local interpretable</w:t>
            </w:r>
          </w:p>
        </w:tc>
        <w:tc>
          <w:tcPr/>
          <w:p>
            <w:pPr>
              <w:pStyle w:val="Compact"/>
              <w:spacing w:line="360" w:lineRule="auto"/>
              <w:jc w:val="both"/>
            </w:pPr>
            <w:r>
              <w:t xml:space="preserve">Fidelidad local, estabilidad, complejidad, coste</w:t>
            </w:r>
          </w:p>
        </w:tc>
        <w:tc>
          <w:tcPr/>
          <w:p>
            <w:pPr>
              <w:pStyle w:val="Compact"/>
              <w:spacing w:line="360" w:lineRule="auto"/>
              <w:jc w:val="both"/>
            </w:pPr>
            <w:r>
              <w:t xml:space="preserve">Sensibilidad al muestreo, vecindarios artificiales, manipulabilidad post-hoc</w:t>
            </w:r>
          </w:p>
        </w:tc>
        <w:tc>
          <w:tcPr/>
          <w:p>
            <w:pPr>
              <w:pStyle w:val="Compact"/>
              <w:spacing w:line="360" w:lineRule="auto"/>
              <w:jc w:val="both"/>
            </w:pPr>
            <w:r>
              <w:t xml:space="preserve">Válido como aproximación local condicionada por parámetros documentados</w:t>
            </w:r>
          </w:p>
        </w:tc>
      </w:tr>
      <w:tr>
        <w:tc>
          <w:tcPr/>
          <w:p>
            <w:pPr>
              <w:pStyle w:val="Compact"/>
              <w:spacing w:line="360" w:lineRule="auto"/>
              <w:jc w:val="both"/>
            </w:pPr>
            <w:r>
              <w:t xml:space="preserve">SHAP</w:t>
            </w:r>
          </w:p>
        </w:tc>
        <w:tc>
          <w:tcPr/>
          <w:p>
            <w:pPr>
              <w:pStyle w:val="Compact"/>
              <w:spacing w:line="360" w:lineRule="auto"/>
              <w:jc w:val="both"/>
            </w:pPr>
            <w:r>
              <w:t xml:space="preserve">Atribución aditiva de características</w:t>
            </w:r>
          </w:p>
        </w:tc>
        <w:tc>
          <w:tcPr/>
          <w:p>
            <w:pPr>
              <w:pStyle w:val="Compact"/>
              <w:spacing w:line="360" w:lineRule="auto"/>
              <w:jc w:val="both"/>
            </w:pPr>
            <w:r>
              <w:t xml:space="preserve">Consistencia atributiva, coste, estabilidad, sensibilidad al conjunto de referencia</w:t>
            </w:r>
          </w:p>
        </w:tc>
        <w:tc>
          <w:tcPr/>
          <w:p>
            <w:pPr>
              <w:pStyle w:val="Compact"/>
              <w:spacing w:line="360" w:lineRule="auto"/>
              <w:jc w:val="both"/>
            </w:pPr>
            <w:r>
              <w:t xml:space="preserve">Coste elevado, supuestos sobre ausencia/presencia de variables, lectura causal indebida</w:t>
            </w:r>
          </w:p>
        </w:tc>
        <w:tc>
          <w:tcPr/>
          <w:p>
            <w:pPr>
              <w:pStyle w:val="Compact"/>
              <w:spacing w:line="360" w:lineRule="auto"/>
              <w:jc w:val="both"/>
            </w:pPr>
            <w:r>
              <w:t xml:space="preserve">Válido como perfil de atribución bajo variante y referencia especificadas</w:t>
            </w:r>
          </w:p>
        </w:tc>
      </w:tr>
      <w:tr>
        <w:tc>
          <w:tcPr/>
          <w:p>
            <w:pPr>
              <w:pStyle w:val="Compact"/>
              <w:spacing w:line="360" w:lineRule="auto"/>
              <w:jc w:val="both"/>
            </w:pPr>
            <w:r>
              <w:t xml:space="preserve">Anchors</w:t>
            </w:r>
          </w:p>
        </w:tc>
        <w:tc>
          <w:tcPr/>
          <w:p>
            <w:pPr>
              <w:pStyle w:val="Compact"/>
              <w:spacing w:line="360" w:lineRule="auto"/>
              <w:jc w:val="both"/>
            </w:pPr>
            <w:r>
              <w:t xml:space="preserve">Regla local de alta precisión</w:t>
            </w:r>
          </w:p>
        </w:tc>
        <w:tc>
          <w:tcPr/>
          <w:p>
            <w:pPr>
              <w:pStyle w:val="Compact"/>
              <w:spacing w:line="360" w:lineRule="auto"/>
              <w:jc w:val="both"/>
            </w:pPr>
            <w:r>
              <w:t xml:space="preserve">Precisión, cobertura, complejidad de regla, reproducibilidad</w:t>
            </w:r>
          </w:p>
        </w:tc>
        <w:tc>
          <w:tcPr/>
          <w:p>
            <w:pPr>
              <w:pStyle w:val="Compact"/>
              <w:spacing w:line="360" w:lineRule="auto"/>
              <w:jc w:val="both"/>
            </w:pPr>
            <w:r>
              <w:t xml:space="preserve">Reglas demasiado estrechas, cobertura limitada, comparación difícil con atribuciones</w:t>
            </w:r>
          </w:p>
        </w:tc>
        <w:tc>
          <w:tcPr/>
          <w:p>
            <w:pPr>
              <w:pStyle w:val="Compact"/>
              <w:spacing w:line="360" w:lineRule="auto"/>
              <w:jc w:val="both"/>
            </w:pPr>
            <w:r>
              <w:t xml:space="preserve">Válido como evidencia condicional cuando precisión y cobertura se reportan juntas</w:t>
            </w:r>
          </w:p>
        </w:tc>
      </w:tr>
      <w:tr>
        <w:tc>
          <w:tcPr/>
          <w:p>
            <w:pPr>
              <w:pStyle w:val="Compact"/>
              <w:spacing w:line="360" w:lineRule="auto"/>
              <w:jc w:val="both"/>
            </w:pPr>
            <w:r>
              <w:t xml:space="preserve">DiCE</w:t>
            </w:r>
          </w:p>
        </w:tc>
        <w:tc>
          <w:tcPr/>
          <w:p>
            <w:pPr>
              <w:pStyle w:val="Compact"/>
              <w:spacing w:line="360" w:lineRule="auto"/>
              <w:jc w:val="both"/>
            </w:pPr>
            <w:r>
              <w:t xml:space="preserve">Conjunto de contrafactuales diversos</w:t>
            </w:r>
          </w:p>
        </w:tc>
        <w:tc>
          <w:tcPr/>
          <w:p>
            <w:pPr>
              <w:pStyle w:val="Compact"/>
              <w:spacing w:line="360" w:lineRule="auto"/>
              <w:jc w:val="both"/>
            </w:pPr>
            <w:r>
              <w:t xml:space="preserve">Validez, proximidad, diversidad, factibilidad, accionabilidad</w:t>
            </w:r>
          </w:p>
        </w:tc>
        <w:tc>
          <w:tcPr/>
          <w:p>
            <w:pPr>
              <w:pStyle w:val="Compact"/>
              <w:spacing w:line="360" w:lineRule="auto"/>
              <w:jc w:val="both"/>
            </w:pPr>
            <w:r>
              <w:t xml:space="preserve">Cambios imposibles, recourse no garantizado, confundir cambio de etiqueta con acción real</w:t>
            </w:r>
          </w:p>
        </w:tc>
        <w:tc>
          <w:tcPr/>
          <w:p>
            <w:pPr>
              <w:pStyle w:val="Compact"/>
              <w:spacing w:line="360" w:lineRule="auto"/>
              <w:jc w:val="both"/>
            </w:pPr>
            <w:r>
              <w:t xml:space="preserve">Válido como evidencia contrafactual bajo restricciones de factibilidad explicitadas</w:t>
            </w:r>
          </w:p>
        </w:tc>
      </w:tr>
    </w:tbl>
    <w:p>
      <w:pPr>
        <w:pStyle w:val="Textoindependiente"/>
        <w:spacing w:line="360" w:lineRule="auto"/>
        <w:jc w:val="both"/>
      </w:pPr>
      <w:r>
        <w:t xml:space="preserve">La matriz también muestra que la comparación entre métodos es necesariamente</w:t>
      </w:r>
      <w:r>
        <w:t xml:space="preserve"> </w:t>
      </w:r>
      <w:r>
        <w:t xml:space="preserve">asimétrica. LIME y SHAP pueden compararse parcialmente en términos de</w:t>
      </w:r>
      <w:r>
        <w:t xml:space="preserve"> </w:t>
      </w:r>
      <w:r>
        <w:t xml:space="preserve">atribución o fidelidad local, pero Anchors introduce cobertura de regla y DiCE</w:t>
      </w:r>
      <w:r>
        <w:t xml:space="preserve"> </w:t>
      </w:r>
      <w:r>
        <w:t xml:space="preserve">introduce accionabilidad contrafactual. Si el protocolo fuerza una escala única,</w:t>
      </w:r>
      <w:r>
        <w:t xml:space="preserve"> </w:t>
      </w:r>
      <w:r>
        <w:t xml:space="preserve">puede castigar a un método por no producir el tipo de artefacto que la métrica</w:t>
      </w:r>
      <w:r>
        <w:t xml:space="preserve"> </w:t>
      </w:r>
      <w:r>
        <w:t xml:space="preserve">espera. FOM-7 evita ese error al requerir que cada conclusión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56"/>
    <w:bookmarkStart w:id="57" w:name="X56f8700cbeeed185eff27b2505360753d99a361"/>
    <w:p>
      <w:pPr>
        <w:pStyle w:val="Ttulo2"/>
        <w:spacing w:line="360" w:lineRule="auto"/>
        <w:jc w:val="both"/>
      </w:pPr>
      <w:r>
        <w:t xml:space="preserve">Reproducibilidad y trazabilidad en benchmarking XAI</w:t>
      </w:r>
    </w:p>
    <w:p>
      <w:pPr>
        <w:pStyle w:val="FirstParagraph"/>
        <w:spacing w:line="360" w:lineRule="auto"/>
        <w:jc w:val="both"/>
      </w:pPr>
      <w:r>
        <w:t xml:space="preserve">La reproducibilidad en XAI no se limita a publicar código. Un benchmark de</w:t>
      </w:r>
      <w:r>
        <w:t xml:space="preserve"> </w:t>
      </w:r>
      <w:r>
        <w:t xml:space="preserve">explicaciones depende de versiones de datos, modelos, semillas, hiperparámetros,</w:t>
      </w:r>
      <w:r>
        <w:t xml:space="preserve"> </w:t>
      </w:r>
      <w:r>
        <w:t xml:space="preserve">métodos de perturbación, parámetros de explicadores, definiciones de métricas y</w:t>
      </w:r>
      <w:r>
        <w:t xml:space="preserve"> </w:t>
      </w:r>
      <w:r>
        <w:t xml:space="preserve">reglas de agregación. Si estos elementos no se registran, dos estudios pueden</w:t>
      </w:r>
      <w:r>
        <w:t xml:space="preserve"> </w:t>
      </w:r>
      <w:r>
        <w:t xml:space="preserve">usar el mismo nombre de método y producir evidencia no comparable. La</w:t>
      </w:r>
      <w:r>
        <w:t xml:space="preserve"> </w:t>
      </w:r>
      <w:r>
        <w:t xml:space="preserve">reproducibilidad requiere entonces una descripción del pipeline completo</w:t>
      </w:r>
      <w:r>
        <w:t xml:space="preserve"> </w:t>
      </w:r>
      <w:r>
        <w:t xml:space="preserve">(Hedström et al. 2023; Nauta et al. 2023)</w:t>
      </w:r>
      <w:r>
        <w:t xml:space="preserve">.</w:t>
      </w:r>
    </w:p>
    <w:p>
      <w:pPr>
        <w:pStyle w:val="Textoindependiente"/>
        <w:spacing w:line="360" w:lineRule="auto"/>
        <w:jc w:val="both"/>
      </w:pPr>
      <w:r>
        <w:t xml:space="preserve">La literatura de evaluación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método aunque en realidad sea una propiedad de una configuración concreta.</w:t>
      </w:r>
      <w:r>
        <w:t xml:space="preserve"> </w:t>
      </w:r>
      <w:r>
        <w:t xml:space="preserve">Por eso, el paso desde evaluación anecdótica hacia evaluación cuantitativa debe</w:t>
      </w:r>
      <w:r>
        <w:t xml:space="preserve"> </w:t>
      </w:r>
      <w:r>
        <w:t xml:space="preserve">acompañarse de una disciplina de trazabilidad: no basta con que una métrica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spacing w:line="360" w:lineRule="auto"/>
        <w:jc w:val="both"/>
      </w:pPr>
      <w:r>
        <w:t xml:space="preserve">FOM-7 incorpora esta preocupación mediante una secuencia de control: congelar el</w:t>
      </w:r>
      <w:r>
        <w:t xml:space="preserve"> </w:t>
      </w:r>
      <w:r>
        <w:t xml:space="preserve">diseño experimental, calificar artefactos, ejecutar métricas armonizadas,</w:t>
      </w:r>
      <w:r>
        <w:t xml:space="preserve"> </w:t>
      </w:r>
      <w:r>
        <w:t xml:space="preserve">aplicar criterios estadísticos,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spacing w:line="360" w:lineRule="auto"/>
        <w:jc w:val="both"/>
      </w:pPr>
      <w:r>
        <w:t xml:space="preserve">Esta secuencia también protege contra un problema frecuente en revisiones</w:t>
      </w:r>
      <w:r>
        <w:t xml:space="preserve"> </w:t>
      </w:r>
      <w:r>
        <w:t xml:space="preserve">comparativas: la conversión de resultados de herramienta en conclusiones de</w:t>
      </w:r>
      <w:r>
        <w:t xml:space="preserve"> </w:t>
      </w:r>
      <w:r>
        <w:t xml:space="preserve">teoría. Un toolkit puede calcular métricas correctamente y, aun así, el estudio</w:t>
      </w:r>
      <w:r>
        <w:t xml:space="preserve"> </w:t>
      </w:r>
      <w:r>
        <w:t xml:space="preserve">puede sobreinterpretar el resultado si no distingue entre constructo medido,</w:t>
      </w:r>
      <w:r>
        <w:t xml:space="preserve"> </w:t>
      </w:r>
      <w:r>
        <w:t xml:space="preserve">objeto explicativo y alcance del dataset. Los sanity checks de métricas y las</w:t>
      </w:r>
      <w:r>
        <w:t xml:space="preserve"> </w:t>
      </w:r>
      <w:r>
        <w:t xml:space="preserve">críticas a explicaciones post-hoc muestran que tanto los explicadores como los</w:t>
      </w:r>
      <w:r>
        <w:t xml:space="preserve"> </w:t>
      </w:r>
      <w:r>
        <w:t xml:space="preserve">instrumentos de evaluación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calificación del artefacto y la admisibilidad del claim sean pasos explícitos,</w:t>
      </w:r>
      <w:r>
        <w:t xml:space="preserve"> </w:t>
      </w:r>
      <w:r>
        <w:t xml:space="preserve">no inferencias dejadas al lector.</w:t>
      </w:r>
    </w:p>
    <w:p>
      <w:pPr>
        <w:pStyle w:val="Textoindependiente"/>
        <w:spacing w:line="360" w:lineRule="auto"/>
        <w:jc w:val="both"/>
      </w:pPr>
      <w:r>
        <w:t xml:space="preserve">La trazabilidad de afirmaciones es especialmente relevante para una tesis</w:t>
      </w:r>
      <w:r>
        <w:t xml:space="preserve"> </w:t>
      </w:r>
      <w:r>
        <w:t xml:space="preserve">doctoral. Cada afirmación fuerte debe poder regresar a una tabla, figura,</w:t>
      </w:r>
      <w:r>
        <w:t xml:space="preserve"> </w:t>
      </w:r>
      <w:r>
        <w:t xml:space="preserve">métrica, prueba estadística o decisión metodológica. Si se afirma que un método</w:t>
      </w:r>
      <w:r>
        <w:t xml:space="preserve"> </w:t>
      </w:r>
      <w:r>
        <w:t xml:space="preserve">es más estable, debe quedar claro en qué dataset, modelo, configuración,</w:t>
      </w:r>
      <w:r>
        <w:t xml:space="preserve"> </w:t>
      </w:r>
      <w:r>
        <w:t xml:space="preserve">vecindario, semilla y métrica se observó esa estabilidad. Si se afirma que un</w:t>
      </w:r>
      <w:r>
        <w:t xml:space="preserve"> </w:t>
      </w:r>
      <w:r>
        <w:t xml:space="preserve">método es preferible, debe específicarse preferible respecto a qué criterio y</w:t>
      </w:r>
      <w:r>
        <w:t xml:space="preserve"> </w:t>
      </w:r>
      <w:r>
        <w:t xml:space="preserve">bajo qué restricciones.</w:t>
      </w:r>
    </w:p>
    <w:p>
      <w:pPr>
        <w:pStyle w:val="Textoindependiente"/>
        <w:spacing w:line="360" w:lineRule="auto"/>
        <w:jc w:val="both"/>
      </w:pPr>
      <w:r>
        <w:t xml:space="preserve">Esta disciplina también protege contra sobreclaiming. FOM-7 no convierte la</w:t>
      </w:r>
      <w:r>
        <w:t xml:space="preserve"> </w:t>
      </w:r>
      <w:r>
        <w:t xml:space="preserve">evaluación functionally-grounded en evidencia application-grounded. Tampoco</w:t>
      </w:r>
      <w:r>
        <w:t xml:space="preserve"> </w:t>
      </w:r>
      <w:r>
        <w:t xml:space="preserve">pretende resolver todos los problemas human-centered de la XAI. Su contribución</w:t>
      </w:r>
      <w:r>
        <w:t xml:space="preserve"> </w:t>
      </w:r>
      <w:r>
        <w:t xml:space="preserve">es más precisa: construir un protocolo operacional para producir evidencia</w:t>
      </w:r>
      <w:r>
        <w:t xml:space="preserve"> </w:t>
      </w:r>
      <w:r>
        <w:t xml:space="preserve">multinivel, reproducible y trazable en un benchmark de explicaciones post-hoc.</w:t>
      </w:r>
    </w:p>
    <w:p>
      <w:pPr>
        <w:pStyle w:val="Textoindependiente"/>
        <w:spacing w:line="360" w:lineRule="auto"/>
        <w:jc w:val="both"/>
      </w:pPr>
      <w:r>
        <w:t xml:space="preserve">La consecuencia práctica es que cada tabla de resultados debe leerse como una</w:t>
      </w:r>
      <w:r>
        <w:t xml:space="preserve"> </w:t>
      </w:r>
      <w:r>
        <w:t xml:space="preserve">tabla de evidencia condicionada. Un valor de fidelidad pertenece a una</w:t>
      </w:r>
      <w:r>
        <w:t xml:space="preserve"> </w:t>
      </w:r>
      <w:r>
        <w:t xml:space="preserve">combinación de modelo, dataset, explicador, perturbación y criterio de</w:t>
      </w:r>
      <w:r>
        <w:t xml:space="preserve"> </w:t>
      </w:r>
      <w:r>
        <w:t xml:space="preserve">agregación. Un valor de estabilidad pertenece a una definición de vecindario y</w:t>
      </w:r>
      <w:r>
        <w:t xml:space="preserve"> </w:t>
      </w:r>
      <w:r>
        <w:t xml:space="preserve">a una clase de variación. Una medición de coste pertenece a una configuración de</w:t>
      </w:r>
      <w:r>
        <w:t xml:space="preserve"> </w:t>
      </w:r>
      <w:r>
        <w:t xml:space="preserve">hardware, implementación y parámetros. Sin esta información, la comparación</w:t>
      </w:r>
      <w:r>
        <w:t xml:space="preserve"> </w:t>
      </w:r>
      <w:r>
        <w:t xml:space="preserve">puede ser útil como orientación preliminar, pero débil como evidencia doctoral.</w:t>
      </w:r>
      <w:r>
        <w:t xml:space="preserve"> </w:t>
      </w:r>
      <w:r>
        <w:t xml:space="preserve">Con esta información,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medición”</w:t>
      </w:r>
      <w:r>
        <w:t xml:space="preserve">. Ese cambio de lenguaje es una parte sustantiva de la contribución</w:t>
      </w:r>
      <w:r>
        <w:t xml:space="preserve"> </w:t>
      </w:r>
      <w:r>
        <w:t xml:space="preserve">metodológica.</w:t>
      </w:r>
    </w:p>
    <w:bookmarkEnd w:id="57"/>
    <w:bookmarkStart w:id="58" w:name="síntesis-crítica-justificación-de-fom-7"/>
    <w:p>
      <w:pPr>
        <w:pStyle w:val="Ttulo2"/>
        <w:spacing w:line="360" w:lineRule="auto"/>
        <w:jc w:val="both"/>
      </w:pPr>
      <w:r>
        <w:t xml:space="preserve">Síntesis crítica: justificación de FOM-7</w:t>
      </w:r>
    </w:p>
    <w:p>
      <w:pPr>
        <w:pStyle w:val="FirstParagraph"/>
        <w:spacing w:line="360" w:lineRule="auto"/>
        <w:jc w:val="both"/>
      </w:pPr>
      <w:r>
        <w:t xml:space="preserve">La revisión permite formular la brecha central de la tesis. La literatura ofrece</w:t>
      </w:r>
      <w:r>
        <w:t xml:space="preserve"> </w:t>
      </w:r>
      <w:r>
        <w:t xml:space="preserve">métodos de explicación influyentes, como LIME, SHAP, Anchors y DiCE. También</w:t>
      </w:r>
      <w:r>
        <w:t xml:space="preserve"> </w:t>
      </w:r>
      <w:r>
        <w:t xml:space="preserve">ofrece marcos de evaluación y toolkits, como Quantus y OpenXAI. Además,</w:t>
      </w:r>
      <w:r>
        <w:t xml:space="preserve"> </w:t>
      </w:r>
      <w:r>
        <w:t xml:space="preserve">dispone de taxonomías conceptuales que distinguen tipos de evaluación,</w:t>
      </w:r>
      <w:r>
        <w:t xml:space="preserve"> </w:t>
      </w:r>
      <w:r>
        <w:t xml:space="preserve">constructos métricos y niveles de participación humana. El problema, por tanto,</w:t>
      </w:r>
      <w:r>
        <w:t xml:space="preserve"> </w:t>
      </w:r>
      <w:r>
        <w:t xml:space="preserve">no es la ausencia total de recursos teóricos o técnicos.</w:t>
      </w:r>
    </w:p>
    <w:p>
      <w:pPr>
        <w:pStyle w:val="Textoindependiente"/>
        <w:spacing w:line="360" w:lineRule="auto"/>
        <w:jc w:val="both"/>
      </w:pPr>
      <w:r>
        <w:t xml:space="preserve">La brecha reside en la integración operacional. En la práctica, evaluar XAI para</w:t>
      </w:r>
      <w:r>
        <w:t xml:space="preserve"> </w:t>
      </w:r>
      <w:r>
        <w:t xml:space="preserve">fines comparativos exige responder preguntas encadenadas: qué artefactos son</w:t>
      </w:r>
      <w:r>
        <w:t xml:space="preserve"> </w:t>
      </w:r>
      <w:r>
        <w:t xml:space="preserve">admisibles, qué métodos se comparan, bajo qué datasets y modelos, con qué</w:t>
      </w:r>
      <w:r>
        <w:t xml:space="preserve"> </w:t>
      </w:r>
      <w:r>
        <w:t xml:space="preserve">parámetros, mediante qué métricas, con qué controles estadísticos, bajo qué</w:t>
      </w:r>
      <w:r>
        <w:t xml:space="preserve"> </w:t>
      </w:r>
      <w:r>
        <w:t xml:space="preserve">criterios de reproducibilidad y con qué límites de interpretación. Cuando estas</w:t>
      </w:r>
      <w:r>
        <w:t xml:space="preserve"> </w:t>
      </w:r>
      <w:r>
        <w:t xml:space="preserve">decisiones no se integran en un protocolo, la evaluación puede producir tablas</w:t>
      </w:r>
      <w:r>
        <w:t xml:space="preserve"> </w:t>
      </w:r>
      <w:r>
        <w:t xml:space="preserve">aparentemente rigurosas pero débiles como evidencia científica.</w:t>
      </w:r>
    </w:p>
    <w:p>
      <w:pPr>
        <w:pStyle w:val="Textoindependiente"/>
        <w:spacing w:line="360" w:lineRule="auto"/>
        <w:jc w:val="both"/>
      </w:pPr>
      <w:r>
        <w:t xml:space="preserve">Esta brecha no debe formularse como una descalificación de los marcos</w:t>
      </w:r>
      <w:r>
        <w:t xml:space="preserve"> </w:t>
      </w:r>
      <w:r>
        <w:t xml:space="preserve">existentes. Quantus, OpenXAI y las revisiones sistemáticas recientes representan</w:t>
      </w:r>
      <w:r>
        <w:t xml:space="preserve"> </w:t>
      </w:r>
      <w:r>
        <w:t xml:space="preserve">avances reales hacia la estandarización, la comparabilidad y la cuantificación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términos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métricas; un protocolo doctoral debe decir cuándo esas métricas son admisibles,</w:t>
      </w:r>
      <w:r>
        <w:t xml:space="preserve"> </w:t>
      </w:r>
      <w:r>
        <w:t xml:space="preserve">cómo se documentan, cómo se comparan, qué inferencias permiten y qué límites</w:t>
      </w:r>
      <w:r>
        <w:t xml:space="preserve"> </w:t>
      </w:r>
      <w:r>
        <w:t xml:space="preserve">conservan.</w:t>
      </w:r>
    </w:p>
    <w:p>
      <w:pPr>
        <w:pStyle w:val="Textoindependiente"/>
        <w:spacing w:line="360" w:lineRule="auto"/>
        <w:jc w:val="both"/>
      </w:pPr>
      <w:r>
        <w:t xml:space="preserve">La revisión también muestra que las familias de explicación no comparten una</w:t>
      </w:r>
      <w:r>
        <w:t xml:space="preserve"> </w:t>
      </w:r>
      <w:r>
        <w:t xml:space="preserve">ontología única.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comparación debe ser multinivel porque cada método se relaciona</w:t>
      </w:r>
      <w:r>
        <w:t xml:space="preserve"> </w:t>
      </w:r>
      <w:r>
        <w:t xml:space="preserve">de manera distinta con fidelidad, estabilidad, coste, cobertura, accionabilidad</w:t>
      </w:r>
      <w:r>
        <w:t xml:space="preserve"> </w:t>
      </w:r>
      <w:r>
        <w:t xml:space="preserve">y utilidad. La matriz anterior formaliza esta asimetría y convierte una</w:t>
      </w:r>
      <w:r>
        <w:t xml:space="preserve"> </w:t>
      </w:r>
      <w:r>
        <w:t xml:space="preserve">observación teórica en una regla metodológica: ninguna conclusión comparativa</w:t>
      </w:r>
      <w:r>
        <w:t xml:space="preserve"> </w:t>
      </w:r>
      <w:r>
        <w:t xml:space="preserve">puede separarse del tipo de objeto explicativo que la sostiene.</w:t>
      </w:r>
    </w:p>
    <w:p>
      <w:pPr>
        <w:pStyle w:val="Textoindependiente"/>
        <w:spacing w:line="360" w:lineRule="auto"/>
        <w:jc w:val="both"/>
      </w:pPr>
      <w:r>
        <w:t xml:space="preserve">El tercer elemento de la brecha es la admisibilidad estadística. Una diferencia</w:t>
      </w:r>
      <w:r>
        <w:t xml:space="preserve"> </w:t>
      </w:r>
      <w:r>
        <w:t xml:space="preserve">observada entre métodos no basta para sostener una afirmación doctoral si no se</w:t>
      </w:r>
      <w:r>
        <w:t xml:space="preserve"> </w:t>
      </w:r>
      <w:r>
        <w:t xml:space="preserve">acompaña de controles sobre variabilidad, repetición, comparabilidad y alcance.</w:t>
      </w:r>
      <w:r>
        <w:t xml:space="preserve"> </w:t>
      </w:r>
      <w:r>
        <w:t xml:space="preserve">La literatura de benchmarking XAI ha avanzado al ofrecer métricas y esquemas de</w:t>
      </w:r>
      <w:r>
        <w:t xml:space="preserve"> </w:t>
      </w:r>
      <w:r>
        <w:t xml:space="preserve">evaluación, pero el paso desde resultado numérico hasta claim requiere una capa</w:t>
      </w:r>
      <w:r>
        <w:t xml:space="preserve"> </w:t>
      </w:r>
      <w:r>
        <w:t xml:space="preserve">de decisión metodológica.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estadística es apropiada, si los artefactos</w:t>
      </w:r>
      <w:r>
        <w:t xml:space="preserve"> </w:t>
      </w:r>
      <w:r>
        <w:t xml:space="preserve">son comparables y si la conclusión respeta el constructo evaluado.</w:t>
      </w:r>
    </w:p>
    <w:p>
      <w:pPr>
        <w:pStyle w:val="Textoindependiente"/>
        <w:spacing w:line="360" w:lineRule="auto"/>
        <w:jc w:val="both"/>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afirmación hasta sus condiciones de producción. Esta trazabilidad</w:t>
      </w:r>
      <w:r>
        <w:t xml:space="preserve"> </w:t>
      </w:r>
      <w:r>
        <w:t xml:space="preserve">incluye referencias bibliográficas, definiciones conceptuales, decisiones de</w:t>
      </w:r>
      <w:r>
        <w:t xml:space="preserve"> </w:t>
      </w:r>
      <w:r>
        <w:t xml:space="preserve">diseño, configuraciones experimentales, métricas, pruebas estadísticas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Así,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spacing w:line="360" w:lineRule="auto"/>
        <w:jc w:val="both"/>
      </w:pPr>
      <w:r>
        <w:t xml:space="preserve">FOM-7 se justifica como respuesta a esa brecha. Su aporte no es proponer una</w:t>
      </w:r>
      <w:r>
        <w:t xml:space="preserve"> </w:t>
      </w:r>
      <w:r>
        <w:t xml:space="preserve">métrica aislada ni afirmar que un método de explicación domina universalmente a</w:t>
      </w:r>
      <w:r>
        <w:t xml:space="preserve"> </w:t>
      </w:r>
      <w:r>
        <w:t xml:space="preserve">los demás. Su aporte es estructurar un proceso de evaluación multinivel que</w:t>
      </w:r>
      <w:r>
        <w:t xml:space="preserve"> </w:t>
      </w:r>
      <w:r>
        <w:t xml:space="preserve">conecta diseño experimental, calificación de artefactos, medición,</w:t>
      </w:r>
      <w:r>
        <w:t xml:space="preserve"> </w:t>
      </w:r>
      <w:r>
        <w:t xml:space="preserve">admisibilidad estadística, reproducibilidad y trazabilidad de claims. Esta</w:t>
      </w:r>
      <w:r>
        <w:t xml:space="preserve"> </w:t>
      </w:r>
      <w:r>
        <w:t xml:space="preserve">conexión permite que las conclusiones de la tesis sean evaluables, replicables y</w:t>
      </w:r>
      <w:r>
        <w:t xml:space="preserve"> </w:t>
      </w:r>
      <w:r>
        <w:t xml:space="preserve">delimitadas.</w:t>
      </w:r>
    </w:p>
    <w:p>
      <w:pPr>
        <w:pStyle w:val="Textoindependiente"/>
        <w:spacing w:line="360" w:lineRule="auto"/>
        <w:jc w:val="both"/>
      </w:pPr>
      <w:r>
        <w:t xml:space="preserve">En consecuencia, FOM-7 puede describirse como una contribución de gobernanza</w:t>
      </w:r>
      <w:r>
        <w:t xml:space="preserve"> </w:t>
      </w:r>
      <w:r>
        <w:t xml:space="preserve">metodológica para evaluación XAI. No compite con LIME, SHAP, Anchors o DiCE,</w:t>
      </w:r>
      <w:r>
        <w:t xml:space="preserve"> </w:t>
      </w:r>
      <w:r>
        <w:t xml:space="preserve">porque no es un explicador. No compite con Quantus u OpenXAI como librería de</w:t>
      </w:r>
      <w:r>
        <w:t xml:space="preserve"> </w:t>
      </w:r>
      <w:r>
        <w:t xml:space="preserve">métricas, porque su foco no es ampliar el catálogo de implementaciones. Su</w:t>
      </w:r>
      <w:r>
        <w:t xml:space="preserve"> </w:t>
      </w:r>
      <w:r>
        <w:t xml:space="preserve">espacio propio está en coordinar los pasos que permiten convertir explicaciones</w:t>
      </w:r>
      <w:r>
        <w:t xml:space="preserve"> </w:t>
      </w:r>
      <w:r>
        <w:t xml:space="preserve">y métricas en evidencia científica: selección de artefactos, congelamiento de</w:t>
      </w:r>
      <w:r>
        <w:t xml:space="preserve"> </w:t>
      </w:r>
      <w:r>
        <w:t xml:space="preserve">condiciones, ejecución comparable, análisis estadístico, perfil reproducible y</w:t>
      </w:r>
      <w:r>
        <w:t xml:space="preserve"> </w:t>
      </w:r>
      <w:r>
        <w:t xml:space="preserve">claim trazable. Esta posición hace que la contribución sea defendible sin</w:t>
      </w:r>
      <w:r>
        <w:t xml:space="preserve"> </w:t>
      </w:r>
      <w:r>
        <w:t xml:space="preserve">sobreclaiming.</w:t>
      </w:r>
    </w:p>
    <w:p>
      <w:pPr>
        <w:pStyle w:val="Textoindependiente"/>
        <w:spacing w:line="360" w:lineRule="auto"/>
        <w:jc w:val="both"/>
      </w:pPr>
      <w:r>
        <w:t xml:space="preserve">El capítulo también delimita lo que FOM-7 no demuestra. No demuestra utilidad</w:t>
      </w:r>
      <w:r>
        <w:t xml:space="preserve"> </w:t>
      </w:r>
      <w:r>
        <w:t xml:space="preserve">humana directa, porque esa afirmación requeriría estudios human-grounded o</w:t>
      </w:r>
      <w:r>
        <w:t xml:space="preserve"> </w:t>
      </w:r>
      <w:r>
        <w:t xml:space="preserve">application-grounded específicos</w:t>
      </w:r>
      <w:r>
        <w:t xml:space="preserve"> </w:t>
      </w:r>
      <w:r>
        <w:t xml:space="preserve">(Doshi-Velez 2017; Hase and Bansal 2020; Rong et al. 2024)</w:t>
      </w:r>
      <w:r>
        <w:t xml:space="preserve">. No</w:t>
      </w:r>
      <w:r>
        <w:t xml:space="preserve"> </w:t>
      </w:r>
      <w:r>
        <w:t xml:space="preserve">demuestra verdad causal de las explicaciones, porque las métricas</w:t>
      </w:r>
      <w:r>
        <w:t xml:space="preserve"> </w:t>
      </w:r>
      <w:r>
        <w:t xml:space="preserve">functionally-grounded operan sobre proxies definidos. No demuestra superioridad</w:t>
      </w:r>
      <w:r>
        <w:t xml:space="preserve"> </w:t>
      </w:r>
      <w:r>
        <w:t xml:space="preserve">universal de un método, porque los métodos producen objetos heterogéneos y</w:t>
      </w:r>
      <w:r>
        <w:t xml:space="preserve"> </w:t>
      </w:r>
      <w:r>
        <w:t xml:space="preserve">responden a constructos distintos. Estas limitaciones no debilitan la tesis; al</w:t>
      </w:r>
      <w:r>
        <w:t xml:space="preserve"> </w:t>
      </w:r>
      <w:r>
        <w:t xml:space="preserve">contrario, fortalecen su precisión. Un protocolo doctoral robusto no elimina los</w:t>
      </w:r>
      <w:r>
        <w:t xml:space="preserve"> </w:t>
      </w:r>
      <w:r>
        <w:t xml:space="preserve">límites, los vuelve visibles y auditables.</w:t>
      </w:r>
    </w:p>
    <w:p>
      <w:pPr>
        <w:pStyle w:val="Textoindependiente"/>
        <w:spacing w:line="360" w:lineRule="auto"/>
        <w:jc w:val="both"/>
      </w:pPr>
      <w:r>
        <w:t xml:space="preserve">Desde esta perspectiva, el capítulo 2 cumple una función argumentativa:</w:t>
      </w:r>
      <w:r>
        <w:t xml:space="preserve"> </w:t>
      </w:r>
      <w:r>
        <w:t xml:space="preserve">demuestra que la XAI ha madurado como campo de métodos, que la evaluación ha</w:t>
      </w:r>
      <w:r>
        <w:t xml:space="preserve"> </w:t>
      </w:r>
      <w:r>
        <w:t xml:space="preserve">avanzado mediante taxonomías y toolkits, y que aún falta una capa operacional</w:t>
      </w:r>
      <w:r>
        <w:t xml:space="preserve"> </w:t>
      </w:r>
      <w:r>
        <w:t xml:space="preserve">que gobierne el paso desde resultados métricos hacia afirmaciones científicas.</w:t>
      </w:r>
      <w:r>
        <w:t xml:space="preserve"> </w:t>
      </w:r>
      <w:r>
        <w:t xml:space="preserve">Esa capa es el espacio de contribución de FOM-7 y el puente conceptual hacia el</w:t>
      </w:r>
      <w:r>
        <w:t xml:space="preserve"> </w:t>
      </w:r>
      <w:r>
        <w:t xml:space="preserve">diseño experimental desarrollado en el capítulo siguiente.</w:t>
      </w:r>
    </w:p>
    <w:p>
      <w:pPr>
        <w:pStyle w:val="Textoindependiente"/>
        <w:spacing w:line="360" w:lineRule="auto"/>
        <w:jc w:val="both"/>
      </w:pPr>
      <w:r>
        <w:t xml:space="preserve">Este capítulo ha establecido el fundamento conceptual que sostiene la propuesta</w:t>
      </w:r>
      <w:r>
        <w:t xml:space="preserve"> </w:t>
      </w:r>
      <w:r>
        <w:t xml:space="preserve">FOM-7. La revisión muestra que la literatura dispone de explicadores maduros,</w:t>
      </w:r>
      <w:r>
        <w:t xml:space="preserve"> </w:t>
      </w:r>
      <w:r>
        <w:t xml:space="preserve">toolkits de evaluación funcionales y taxonomías conceptuales que distinguen</w:t>
      </w:r>
      <w:r>
        <w:t xml:space="preserve"> </w:t>
      </w:r>
      <w:r>
        <w:t xml:space="preserve">niveles de evidencia —pero ningún protocolo operativo que gobierne el ciclo</w:t>
      </w:r>
      <w:r>
        <w:t xml:space="preserve"> </w:t>
      </w:r>
      <w:r>
        <w:t xml:space="preserve">completo desde el diseño experimental hasta la trazabilidad de afirmaciones. Las</w:t>
      </w:r>
      <w:r>
        <w:t xml:space="preserve"> </w:t>
      </w:r>
      <w:r>
        <w:t xml:space="preserve">dos subsecciones finales —evaluación human-centered y reproducibilidad en XAI—</w:t>
      </w:r>
      <w:r>
        <w:t xml:space="preserve"> </w:t>
      </w:r>
      <w:r>
        <w:t xml:space="preserve">sitúan esa brecha en su contexto más amplio: la reproducibilidad es un requisito</w:t>
      </w:r>
      <w:r>
        <w:t xml:space="preserve"> </w:t>
      </w:r>
      <w:r>
        <w:t xml:space="preserve">de validez científica y un requisito normativo emergente; la evaluación centrada</w:t>
      </w:r>
      <w:r>
        <w:t xml:space="preserve"> </w:t>
      </w:r>
      <w:r>
        <w:t xml:space="preserve">en el usuario es una dimensión de calidad que el benchmark puede delimitar, pero</w:t>
      </w:r>
      <w:r>
        <w:t xml:space="preserve"> </w:t>
      </w:r>
      <w:r>
        <w:t xml:space="preserve">no sustituir. La consecuencia operativa de esta revisión es que el Capítulo 3</w:t>
      </w:r>
      <w:r>
        <w:t xml:space="preserve"> </w:t>
      </w:r>
      <w:r>
        <w:t xml:space="preserve">no puede limitarse a describir qué métricas se calculan: debe especificar bajo</w:t>
      </w:r>
      <w:r>
        <w:t xml:space="preserve"> </w:t>
      </w:r>
      <w:r>
        <w:t xml:space="preserve">qué condiciones experimentales son admisibles, qué artefactos las sostienen y</w:t>
      </w:r>
      <w:r>
        <w:t xml:space="preserve"> </w:t>
      </w:r>
      <w:r>
        <w:t xml:space="preserve">qué inferencias permiten. Esa especificación es el diseño de FOM-7.</w:t>
      </w:r>
    </w:p>
    <w:bookmarkEnd w:id="58"/>
    <w:bookmarkEnd w:id="59"/>
    <w:bookmarkStart w:id="102" w:name="marco-empírico-y-diseño-experimental"/>
    <w:p>
      <w:pPr>
        <w:pStyle w:val="Ttulo1"/>
        <w:spacing w:line="360" w:lineRule="auto"/>
        <w:jc w:val="both"/>
      </w:pPr>
      <w:r>
        <w:t xml:space="preserve">Marco empírico y diseño experimental</w:t>
      </w:r>
    </w:p>
    <w:p>
      <w:pPr>
        <w:pStyle w:val="FirstParagraph"/>
        <w:spacing w:line="360" w:lineRule="auto"/>
        <w:jc w:val="bot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(Estudio A, Paper A) y la comparación pareada enfocada entre LIME y SHAP</w:t>
      </w:r>
      <w:r>
        <w:t xml:space="preserve"> </w:t>
      </w:r>
      <w:r>
        <w:t xml:space="preserve">(Estudio B, Paper B). Ambos estudios comparten el mismo pipeline experimental,</w:t>
      </w:r>
      <w:r>
        <w:t xml:space="preserve"> </w:t>
      </w:r>
      <w:r>
        <w:t xml:space="preserve">el mismo conjunto de datos y los mismos artefactos de modelo, y se distinguen</w:t>
      </w:r>
      <w:r>
        <w:t xml:space="preserve"> </w:t>
      </w:r>
      <w:r>
        <w:t xml:space="preserve">por el alcance del análisis inferencial: Estudio A evalúa los cuatro métodos</w:t>
      </w:r>
      <w:r>
        <w:t xml:space="preserve"> </w:t>
      </w:r>
      <w:r>
        <w:t xml:space="preserve">sobre el diseño factorial completo; Estudio B restringe la inferencia</w:t>
      </w:r>
      <w:r>
        <w:t xml:space="preserve"> </w:t>
      </w:r>
      <w:r>
        <w:t xml:space="preserve">confirmativa al subconjunto pareado LIME-SHAP. El capítulo se organiza en ocho</w:t>
      </w:r>
      <w:r>
        <w:t xml:space="preserve"> </w:t>
      </w:r>
      <w:r>
        <w:t xml:space="preserve">secciones: las dos fases experimentales (EXP1 y EXP2), el conjunto de datos y</w:t>
      </w:r>
      <w:r>
        <w:t xml:space="preserve"> </w:t>
      </w:r>
      <w:r>
        <w:t xml:space="preserve">el protocolo de preprocesamiento, el diseño factorial, las configuraciones de</w:t>
      </w:r>
      <w:r>
        <w:t xml:space="preserve"> </w:t>
      </w:r>
      <w:r>
        <w:t xml:space="preserve">los explicadores, la operacionalización de las métricas, el protocolo FOM-7,</w:t>
      </w:r>
      <w:r>
        <w:t xml:space="preserve"> </w:t>
      </w:r>
      <w:r>
        <w:t xml:space="preserve">el análisis de cobertura de artefactos, y el plan de inferencia estadística.</w:t>
      </w:r>
      <w:r>
        <w:t xml:space="preserve"> </w:t>
      </w:r>
      <w:r>
        <w:t xml:space="preserve">Las amenazas a la validez y el inventario de recursos de reproducibilidad</w:t>
      </w:r>
      <w:r>
        <w:t xml:space="preserve"> </w:t>
      </w:r>
      <w:r>
        <w:t xml:space="preserve">figuran en el Apéndice A.</w:t>
      </w:r>
    </w:p>
    <w:p>
      <w:pPr>
        <w:pStyle w:val="Textoindependiente"/>
        <w:spacing w:line="360" w:lineRule="auto"/>
        <w:jc w:val="both"/>
      </w:pPr>
      <w:r>
        <w:t xml:space="preserve">El diseño traduce los constructos definidos en el Capítulo 2 a decisiones</w:t>
      </w:r>
      <w:r>
        <w:t xml:space="preserve"> </w:t>
      </w:r>
      <w:r>
        <w:t xml:space="preserve">operativas: fidelidad, estabilidad, robustez, complejidad, coste computacional,</w:t>
      </w:r>
      <w:r>
        <w:t xml:space="preserve"> </w:t>
      </w:r>
      <w:r>
        <w:t xml:space="preserve">calificación de artefactos, admisibilidad estadística y trazabilidad de claims.</w:t>
      </w:r>
      <w:r>
        <w:t xml:space="preserve"> </w:t>
      </w:r>
      <w:r>
        <w:t xml:space="preserve">Esta traducción es deliberadamente functionally-grounded: las métricas producen</w:t>
      </w:r>
      <w:r>
        <w:t xml:space="preserve"> </w:t>
      </w:r>
      <w:r>
        <w:t xml:space="preserve">evidencia computacional reproducible, no evidencia directa de utilidad humana ni</w:t>
      </w:r>
      <w:r>
        <w:t xml:space="preserve"> </w:t>
      </w:r>
      <w:r>
        <w:t xml:space="preserve">de verdad causal de las explicaciones</w:t>
      </w:r>
      <w:r>
        <w:t xml:space="preserve"> </w:t>
      </w:r>
      <w:r>
        <w:t xml:space="preserve">(Doshi-Velez 2017; Hedström et al. 2023; Nauta et al. 2023)</w:t>
      </w:r>
      <w:r>
        <w:t xml:space="preserve">.</w:t>
      </w:r>
    </w:p>
    <w:bookmarkStart w:id="63" w:name="fases-experimentales-exp1-y-exp2"/>
    <w:p>
      <w:pPr>
        <w:pStyle w:val="Ttulo2"/>
        <w:spacing w:line="360" w:lineRule="auto"/>
        <w:jc w:val="both"/>
      </w:pPr>
      <w:r>
        <w:t xml:space="preserve">Fases experimentales: EXP1 y EXP2</w:t>
      </w:r>
    </w:p>
    <w:p>
      <w:pPr>
        <w:pStyle w:val="FirstParagraph"/>
        <w:spacing w:line="360" w:lineRule="auto"/>
        <w:jc w:val="bot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61" w:name="X32cac70d6076bcfbcdceb21da7e13d3984b2a1d"/>
    <w:p>
      <w:pPr>
        <w:pStyle w:val="Ttulo3"/>
        <w:spacing w:line="360" w:lineRule="auto"/>
        <w:jc w:val="both"/>
      </w:pPr>
      <w:r>
        <w:t xml:space="preserve">Fase de calibración y reproducibilidad (EXP1)</w:t>
      </w:r>
    </w:p>
    <w:p>
      <w:pPr>
        <w:pStyle w:val="FirstParagraph"/>
        <w:spacing w:line="360" w:lineRule="auto"/>
        <w:jc w:val="bot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spacing w:line="360" w:lineRule="auto"/>
        <w:jc w:val="both"/>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spacing w:line="360" w:lineRule="auto"/>
        <w:jc w:val="both"/>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tblLayout w:type="fixed"/>
        <w:tblLook w:firstRow="0" w:lastRow="0" w:firstColumn="0" w:lastColumn="0" w:noHBand="0" w:noVBand="0" w:val="0000"/>
      </w:tblPr>
      <w:tblGrid>
        <w:gridCol w:w="7920"/>
      </w:tblGrid>
      <w:tr>
        <w:tc>
          <w:tcPr/>
          <w:bookmarkStart w:id="60" w:name="tbl-model-performance"/>
          <w:p>
            <w:pPr>
              <w:jc w:val="both"/>
              <w:spacing w:line="360" w:lineRule="auto"/>
            </w:pPr>
            <w:pPr>
              <w:jc w:val="left"/>
              <w:spacing w:before="200"/>
              <w:pStyle w:val="ImageCaption"/>
            </w:pPr>
            <w:r>
              <w:t xml:space="preserve">Table 4.1: Rendimiento predictivo de los modelos en el conjunto de prueba (</w:t>
            </w:r>
            <ns1:oMath>
              <ns1:r>
                <ns1:t>n</ns1:t>
              </ns1:r>
              <ns1:r>
                <ns1:rPr>
                  <ns1:sty ns1:val="p"/>
                </ns1:rPr>
                <ns1:t>=</ns1:t>
              </ns1:r>
              <ns1:r>
                <ns1:t>9</ns1:t>
              </ns1:r>
              <ns1:r>
                <ns1:rPr>
                  <ns1:sty ns1:val="p"/>
                </ns1:rPr>
                <ns1:t>,</ns1:t>
              </ns1:r>
              <ns1:r>
                <ns1:t>758</ns1:t>
              </ns1:r>
            </ns1: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Exactitud</w:t>
                  </w:r>
                </w:p>
              </w:tc>
              <w:tc>
                <w:tcPr/>
                <w:p>
                  <w:pPr>
                    <w:pStyle w:val="Compact"/>
                    <w:jc w:val="both"/>
                    <w:jc w:val="center"/>
                    <w:spacing w:line="360" w:lineRule="auto"/>
                  </w:pPr>
                  <w:r>
                    <w:t xml:space="preserve">Precisión</w:t>
                  </w:r>
                </w:p>
              </w:tc>
              <w:tc>
                <w:tcPr/>
                <w:p>
                  <w:pPr>
                    <w:pStyle w:val="Compact"/>
                    <w:jc w:val="both"/>
                    <w:jc w:val="center"/>
                    <w:spacing w:line="360" w:lineRule="auto"/>
                  </w:pPr>
                  <w:r>
                    <w:t xml:space="preserve">Recall</w:t>
                  </w:r>
                </w:p>
              </w:tc>
              <w:tc>
                <w:tcPr/>
                <w:p>
                  <w:pPr>
                    <w:pStyle w:val="Compact"/>
                    <w:jc w:val="both"/>
                    <w:jc w:val="center"/>
                    <w:spacing w:line="360" w:lineRule="auto"/>
                  </w:pPr>
                  <w:r>
                    <w:t xml:space="preserve">F1</w:t>
                  </w:r>
                </w:p>
              </w:tc>
              <w:tc>
                <w:tcPr/>
                <w:p>
                  <w:pPr>
                    <w:pStyle w:val="Compact"/>
                    <w:jc w:val="both"/>
                    <w:jc w:val="center"/>
                    <w:spacing w:line="360" w:lineRule="auto"/>
                  </w:pPr>
                  <w:r>
                    <w:t xml:space="preserve">AUC-ROC</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0.842</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0.844</w:t>
                  </w:r>
                </w:p>
              </w:tc>
              <w:tc>
                <w:tcPr/>
                <w:p>
                  <w:pPr>
                    <w:pStyle w:val="Compact"/>
                    <w:jc w:val="both"/>
                    <w:jc w:val="center"/>
                    <w:spacing w:line="360" w:lineRule="auto"/>
                  </w:pPr>
                  <w:r>
                    <w:t xml:space="preserve">0.903</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0.851</w:t>
                  </w:r>
                </w:p>
              </w:tc>
              <w:tc>
                <w:tcPr/>
                <w:p>
                  <w:pPr>
                    <w:pStyle w:val="Compact"/>
                    <w:jc w:val="both"/>
                    <w:jc w:val="center"/>
                    <w:spacing w:line="360" w:lineRule="auto"/>
                  </w:pPr>
                  <w:r>
                    <w:t xml:space="preserve">0.902</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0.926</w:t>
                  </w:r>
                </w:p>
              </w:tc>
            </w:tr>
            <w:tr>
              <w:tc>
                <w:tcPr/>
                <w:p>
                  <w:pPr>
                    <w:pStyle w:val="Compact"/>
                    <w:jc w:val="both"/>
                    <w:jc w:val="center"/>
                    <w:spacing w:line="360" w:lineRule="auto"/>
                  </w:pPr>
                  <w:r>
                    <w:t xml:space="preserve">Máquina de vectores soporte (</w:t>
                  </w:r>
                  <w:r>
                    <w:rPr>
                      <w:rStyle w:val="VerbatimChar"/>
                    </w:rPr>
                    <w:t xml:space="preserve">svm</w:t>
                  </w:r>
                  <w:r>
                    <w:t xml:space="preserve">)</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0.898</w:t>
                  </w:r>
                </w:p>
              </w:tc>
            </w:tr>
            <w:tr>
              <w:tc>
                <w:tcPr/>
                <w:p>
                  <w:pPr>
                    <w:pStyle w:val="Compact"/>
                    <w:jc w:val="both"/>
                    <w:jc w:val="center"/>
                    <w:spacing w:line="360" w:lineRule="auto"/>
                  </w:pPr>
                  <w:r>
                    <w:t xml:space="preserve">Perceptrón multicapa (</w:t>
                  </w:r>
                  <w:r>
                    <w:rPr>
                      <w:rStyle w:val="VerbatimChar"/>
                    </w:rPr>
                    <w:t xml:space="preserve">mlp</w:t>
                  </w:r>
                  <w:r>
                    <w:t xml:space="preserve">)</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0.833</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0.835</w:t>
                  </w:r>
                </w:p>
              </w:tc>
              <w:tc>
                <w:tcPr/>
                <w:p>
                  <w:pPr>
                    <w:pStyle w:val="Compact"/>
                    <w:jc w:val="both"/>
                    <w:jc w:val="center"/>
                    <w:spacing w:line="360" w:lineRule="auto"/>
                  </w:pPr>
                  <w:r>
                    <w:t xml:space="preserve">0.885</w:t>
                  </w:r>
                </w:p>
              </w:tc>
            </w:tr>
          </w:tbl>
          <w:bookmarkEnd w:id="60"/>
          <w:p>
            <w:pPr>
              <w:spacing w:line="360" w:lineRule="auto"/>
              <w:jc w:val="both"/>
            </w:pPr>
          </w:p>
        </w:tc>
      </w:tr>
    </w:tbl>
    <w:p>
      <w:pPr>
        <w:pStyle w:val="Textoindependiente"/>
        <w:spacing w:line="360" w:lineRule="auto"/>
        <w:jc w:val="both"/>
      </w:pPr>
      <w:r>
        <w:t xml:space="preserve">Todos los modelos superan los umbrales de inclusión definidos en el protocolo:</w:t>
      </w:r>
      <w:r>
        <w:t xml:space="preserve"> </w:t>
      </w:r>
      <w:r>
        <w:t xml:space="preserve">exactitud</w:t>
      </w:r>
      <w:r>
        <w:t xml:space="preserve"> </w:t>
      </w:r>
      <ns1:oMath>
        <ns1:r>
          <ns1:rPr>
            <ns1:sty ns1:val="p"/>
          </ns1:rPr>
          <ns1:t>≥</ns1:t>
        </ns1:r>
        <ns1:r>
          <ns1:t>0.83</ns1:t>
        </ns1:r>
      </ns1:oMath>
      <w:r>
        <w:t xml:space="preserve"> </w:t>
      </w:r>
      <w:r>
        <w:t xml:space="preserve">y AUC-ROC</w:t>
      </w:r>
      <w:r>
        <w:t xml:space="preserve"> </w:t>
      </w:r>
      <ns1:oMath>
        <ns1:r>
          <ns1:rPr>
            <ns1:sty ns1:val="p"/>
          </ns1:rPr>
          <ns1:t>≥</ns1:t>
        </ns1:r>
        <ns1:r>
          <ns1:t>0.88</ns1:t>
        </ns1:r>
      </ns1: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spacing w:line="360" w:lineRule="auto"/>
        <w:jc w:val="both"/>
      </w:pPr>
      <w:r>
        <w:t xml:space="preserve">El perfilado de reproducibilidad de EXP1 establece que las métricas de calidad</w:t>
      </w:r>
      <w:r>
        <w:t xml:space="preserve"> </w:t>
      </w:r>
      <w:r>
        <w:t xml:space="preserve">presentan coeficientes de variación inferiores al 9% bajo variación de semilla:</w:t>
      </w:r>
      <w:r>
        <w:t xml:space="preserve"> </w:t>
      </w:r>
      <ns1:oMath>
        <ns1:sSub>
          <ns1:e>
            <ns1:r>
              <ns1:rPr>
                <ns1:nor/>
                <ns1:sty ns1:val="p"/>
              </ns1:rPr>
              <ns1:t>CV</ns1:t>
            </ns1:r>
          </ns1:e>
          <ns1:sub>
            <ns1:r>
              <ns1:t>F</ns1:t>
            </ns1:r>
          </ns1:sub>
        </ns1:sSub>
        <ns1:r>
          <ns1:rPr>
            <ns1:sty ns1:val="p"/>
          </ns1:rPr>
          <ns1:t>≤</ns1:t>
        </ns1:r>
        <ns1:r>
          <ns1:t>0.063</ns1:t>
        </ns1:r>
      </ns1:oMath>
      <w:r>
        <w:t xml:space="preserve">,</w:t>
      </w:r>
      <w:r>
        <w:t xml:space="preserve"> </w:t>
      </w:r>
      <ns1:oMath>
        <ns1:sSub>
          <ns1:e>
            <ns1:r>
              <ns1:rPr>
                <ns1:nor/>
                <ns1:sty ns1:val="p"/>
              </ns1:rPr>
              <ns1:t>CV</ns1:t>
            </ns1:r>
          </ns1:e>
          <ns1:sub>
            <ns1:r>
              <ns1:t>S</ns1:t>
            </ns1:r>
          </ns1:sub>
        </ns1:sSub>
        <ns1:r>
          <ns1:rPr>
            <ns1:sty ns1:val="p"/>
          </ns1:rPr>
          <ns1:t>≤</ns1:t>
        </ns1:r>
        <ns1:r>
          <ns1:t>0.083</ns1:t>
        </ns1:r>
      </ns1:oMath>
      <w:r>
        <w:t xml:space="preserve">,</w:t>
      </w:r>
      <w:r>
        <w:t xml:space="preserve"> </w:t>
      </w:r>
      <ns1:oMath>
        <ns1:sSub>
          <ns1:e>
            <ns1:r>
              <ns1:rPr>
                <ns1:nor/>
                <ns1:sty ns1:val="p"/>
              </ns1:rPr>
              <ns1:t>CV</ns1:t>
            </ns1:r>
          </ns1:e>
          <ns1:sub>
            <ns1:r>
              <ns1:t>P</ns1:t>
            </ns1:r>
          </ns1:sub>
        </ns1:sSub>
        <ns1:r>
          <ns1:rPr>
            <ns1:sty ns1:val="p"/>
          </ns1:rPr>
          <ns1:t>≤</ns1:t>
        </ns1:r>
        <ns1:r>
          <ns1:t>0.044</ns1:t>
        </ns1:r>
      </ns1:oMath>
      <w:r>
        <w:t xml:space="preserve">,</w:t>
      </w:r>
      <w:r>
        <w:t xml:space="preserve"> </w:t>
      </w:r>
      <ns1:oMath>
        <ns1:sSub>
          <ns1:e>
            <ns1:r>
              <ns1:rPr>
                <ns1:nor/>
                <ns1:sty ns1:val="p"/>
              </ns1:rPr>
              <ns1:t>CV</ns1:t>
            </ns1:r>
          </ns1:e>
          <ns1:sub>
            <ns1:sSub>
              <ns1:e>
                <ns1:r>
                  <ns1:rPr>
                    <ns1:sty ns1:val="p"/>
                  </ns1:rPr>
                  <ns1:t>Δ</ns1:t>
                </ns1:r>
              </ns1:e>
              <ns1:sub>
                <ns1:r>
                  <ns1:t>k</ns1:t>
                </ns1:r>
              </ns1:sub>
            </ns1:sSub>
          </ns1:sub>
        </ns1:sSub>
        <ns1:r>
          <ns1:rPr>
            <ns1:sty ns1:val="p"/>
          </ns1:rPr>
          <ns1:t>≤</ns1:t>
        </ns1:r>
        <ns1:r>
          <ns1:t>0.036</ns1:t>
        </ns1:r>
      </ns1:oMath>
      <w:r>
        <w:t xml:space="preserve">. El coste</w:t>
      </w:r>
      <w:r>
        <w:t xml:space="preserve"> </w:t>
      </w:r>
      <w:r>
        <w:t xml:space="preserve">computacional exhibe mayor variabilidad (</w:t>
      </w:r>
      <ns1:oMath>
        <ns1:sSub>
          <ns1:e>
            <ns1:r>
              <ns1:rPr>
                <ns1:nor/>
                <ns1:sty ns1:val="p"/>
              </ns1:rPr>
              <ns1:t>CV</ns1:t>
            </ns1:r>
          </ns1:e>
          <ns1:sub>
            <ns1:r>
              <ns1:t>C</ns1:t>
            </ns1:r>
          </ns1:sub>
        </ns1:sSub>
        <ns1:r>
          <ns1:rPr>
            <ns1:sty ns1:val="p"/>
          </ns1:rPr>
          <ns1:t>≤</ns1:t>
        </ns1:r>
        <ns1:r>
          <ns1:t>0.225</ns1:t>
        </ns1:r>
      </ns1: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61"/>
    <w:bookmarkStart w:id="62" w:name="X88dee61532cae681dfa2cfeee2779c5c9929176"/>
    <w:p>
      <w:pPr>
        <w:pStyle w:val="Ttulo3"/>
        <w:spacing w:line="360" w:lineRule="auto"/>
        <w:jc w:val="both"/>
      </w:pPr>
      <w:r>
        <w:t xml:space="preserve">Fase de benchmark primario de robustez (EXP2)</w:t>
      </w:r>
    </w:p>
    <w:p>
      <w:pPr>
        <w:pStyle w:val="FirstParagraph"/>
        <w:spacing w:line="360" w:lineRule="auto"/>
        <w:jc w:val="bot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 los Estudios A y B.</w:t>
      </w:r>
    </w:p>
    <w:bookmarkEnd w:id="62"/>
    <w:bookmarkEnd w:id="63"/>
    <w:bookmarkStart w:id="67" w:name="Xb179eb5e9b7cbdb0e78e991d72b8aeee41d8932"/>
    <w:p>
      <w:pPr>
        <w:pStyle w:val="Ttulo2"/>
        <w:spacing w:line="360" w:lineRule="auto"/>
        <w:jc w:val="both"/>
      </w:pPr>
      <w:r>
        <w:t xml:space="preserve">Conjunto de datos y protocolo de preprocesamiento</w:t>
      </w:r>
    </w:p>
    <w:bookmarkStart w:id="64" w:name="descripción-del-conjunto-de-datos"/>
    <w:p>
      <w:pPr>
        <w:pStyle w:val="Ttulo3"/>
        <w:spacing w:line="360" w:lineRule="auto"/>
        <w:jc w:val="both"/>
      </w:pPr>
      <w:r>
        <w:t xml:space="preserve">Descripción del conjunto de datos</w:t>
      </w:r>
    </w:p>
    <w:p>
      <w:pPr>
        <w:pStyle w:val="FirstParagraph"/>
        <w:spacing w:line="360" w:lineRule="auto"/>
        <w:jc w:val="both"/>
      </w:pPr>
      <w:r>
        <w:t xml:space="preserve">Ambos estudios utilizan el conjunto de datos UCI Adult Income</w:t>
      </w:r>
      <w:r>
        <w:t xml:space="preserve"> </w:t>
      </w:r>
      <w:r>
        <w:t xml:space="preserve">(Breiman 2001; Kohavi and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spacing w:line="360" w:lineRule="auto"/>
        <w:jc w:val="both"/>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ns1:oMath>
        <ns1:r>
          <ns1:rPr>
            <ns1:sty ns1:val="p"/>
          </ns1:rPr>
          <ns1:t>&gt;</ns1:t>
        </ns1:r>
        <ns1:r>
          <ns1:t>50</ns1:t>
        </ns1:r>
      </ns1: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64"/>
    <w:bookmarkStart w:id="65" w:name="carga-limpieza-y-partición"/>
    <w:p>
      <w:pPr>
        <w:pStyle w:val="Ttulo3"/>
        <w:spacing w:line="360" w:lineRule="auto"/>
        <w:jc w:val="both"/>
      </w:pPr>
      <w:r>
        <w:t xml:space="preserve">Carga, limpieza y partición</w:t>
      </w:r>
    </w:p>
    <w:p>
      <w:pPr>
        <w:pStyle w:val="FirstParagraph"/>
        <w:spacing w:line="360" w:lineRule="auto"/>
        <w:jc w:val="bot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ns1:oMath>
        <ns1:r>
          <ns1:rPr>
            <ns1:sty ns1:val="p"/>
          </ns1:rPr>
          <ns1:t>→</ns1:t>
        </ns1:r>
      </ns1: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ns1:oMath>
        <ns1:r>
          <ns1:rPr>
            <ns1:sty ns1:val="p"/>
          </ns1:rPr>
          <ns1:t>→</ns1:t>
        </ns1:r>
      </ns1:oMath>
      <w:r>
        <w:t xml:space="preserve"> </w:t>
      </w:r>
      <w:r>
        <w:t xml:space="preserve">1,</w:t>
      </w:r>
      <w:r>
        <w:t xml:space="preserve"> </w:t>
      </w:r>
      <w:r>
        <w:rPr>
          <w:rStyle w:val="VerbatimChar"/>
        </w:rPr>
        <w:t xml:space="preserve">"&lt;=50K."</w:t>
      </w:r>
      <w:r>
        <w:t xml:space="preserve"> </w:t>
      </w:r>
      <ns1:oMath>
        <ns1:r>
          <ns1:rPr>
            <ns1:sty ns1:val="p"/>
          </ns1:rPr>
          <ns1:t>→</ns1:t>
        </ns1:r>
      </ns1:oMath>
      <w:r>
        <w:t xml:space="preserve"> </w:t>
      </w:r>
      <w:r>
        <w:t xml:space="preserve">0), (iv) eliminación de duplicados</w:t>
      </w:r>
      <w:r>
        <w:t xml:space="preserve"> </w:t>
      </w:r>
      <w:r>
        <w:t xml:space="preserve">exactos, y (v) ordenamiento determinista de columnas.</w:t>
      </w:r>
    </w:p>
    <w:p>
      <w:pPr>
        <w:pStyle w:val="Textoindependiente"/>
        <w:spacing w:line="360" w:lineRule="auto"/>
        <w:jc w:val="both"/>
      </w:pPr>
      <w:r>
        <w:t xml:space="preserve">La partición sigue el esquema estratificado:</w:t>
      </w:r>
    </w:p>
    <w:p>
      <w:pPr>
        <w:pStyle w:val="Textoindependiente"/>
        <w:spacing w:line="360" w:lineRule="auto"/>
        <w:jc w:val="both"/>
      </w:pPr>
      <ns1:oMathPara>
        <ns1:oMathParaPr>
          <ns1:jc ns1:val="center"/>
        </ns1:oMathParaPr>
        <ns1:oMath>
          <ns1:r>
            <ns1:rPr>
              <ns1:nor/>
              <ns1:sty ns1:val="p"/>
            </ns1:rPr>
            <ns1:t>train_test_split</ns1:t>
          </ns1:r>
          <ns1:r>
            <ns1:t>​</ns1:t>
          </ns1:r>
          <ns1:d>
            <ns1:dPr>
              <ns1:begChr ns1:val="("/>
              <ns1:sepChr ns1:val=""/>
              <ns1:endChr ns1:val=")"/>
              <ns1:grow/>
            </ns1:dPr>
            <ns1:e>
              <ns1:r>
                <ns1:rPr>
                  <ns1:nor/>
                  <ns1:sty ns1:val="p"/>
                </ns1:rPr>
                <ns1:t>test_size</ns1:t>
              </ns1:r>
              <ns1:r>
                <ns1:rPr>
                  <ns1:sty ns1:val="p"/>
                </ns1:rPr>
                <ns1:t>=</ns1:t>
              </ns1:r>
              <ns1:r>
                <ns1:t>0.20</ns1:t>
              </ns1:r>
              <ns1:r>
                <ns1:rPr>
                  <ns1:sty ns1:val="p"/>
                </ns1:rPr>
                <ns1:t>,</ns1:t>
              </ns1:r>
              <ns1:r>
                <ns1:t> </ns1:t>
              </ns1:r>
              <ns1:r>
                <ns1:rPr>
                  <ns1:nor/>
                  <ns1:sty ns1:val="p"/>
                </ns1:rPr>
                <ns1:t>stratify</ns1:t>
              </ns1:r>
              <ns1:r>
                <ns1:rPr>
                  <ns1:sty ns1:val="p"/>
                </ns1:rPr>
                <ns1:t>=</ns1:t>
              </ns1:r>
              <ns1:r>
                <ns1:t>y</ns1:t>
              </ns1:r>
              <ns1:r>
                <ns1:rPr>
                  <ns1:sty ns1:val="p"/>
                </ns1:rPr>
                <ns1:t>,</ns1:t>
              </ns1:r>
              <ns1:r>
                <ns1:t> </ns1:t>
              </ns1:r>
              <ns1:r>
                <ns1:rPr>
                  <ns1:nor/>
                  <ns1:sty ns1:val="p"/>
                </ns1:rPr>
                <ns1:t>random_state</ns1:t>
              </ns1:r>
              <ns1:r>
                <ns1:rPr>
                  <ns1:sty ns1:val="p"/>
                </ns1:rPr>
                <ns1:t>=</ns1:t>
              </ns1:r>
              <ns1:r>
                <ns1:t>s</ns1:t>
              </ns1:r>
            </ns1:e>
          </ns1:d>
        </ns1:oMath>
      </ns1:oMathPara>
    </w:p>
    <w:p>
      <w:pPr>
        <w:pStyle w:val="FirstParagraph"/>
        <w:spacing w:line="360" w:lineRule="auto"/>
        <w:jc w:val="both"/>
      </w:pPr>
      <w:r>
        <w:t xml:space="preserve">Para la semilla canónica</w:t>
      </w:r>
      <w:r>
        <w:t xml:space="preserve"> </w:t>
      </w:r>
      <ns1:oMath>
        <ns1:r>
          <ns1:t>s</ns1:t>
        </ns1:r>
        <ns1:r>
          <ns1:rPr>
            <ns1:sty ns1:val="p"/>
          </ns1:rPr>
          <ns1:t>=</ns1:t>
        </ns1:r>
        <ns1:r>
          <ns1:t>42</ns1:t>
        </ns1:r>
      </ns1:oMath>
      <w:r>
        <w:t xml:space="preserve">, la partición produce 39,032 instancias</w:t>
      </w:r>
      <w:r>
        <w:t xml:space="preserve"> </w:t>
      </w:r>
      <w:r>
        <w:t xml:space="preserve">de entrenamiento y 9,758 de prueba.</w:t>
      </w:r>
    </w:p>
    <w:bookmarkEnd w:id="65"/>
    <w:bookmarkStart w:id="66" w:name="controles-de-fuga-de-datos"/>
    <w:p>
      <w:pPr>
        <w:pStyle w:val="Ttulo3"/>
        <w:spacing w:line="360" w:lineRule="auto"/>
        <w:jc w:val="both"/>
      </w:pPr>
      <w:r>
        <w:t xml:space="preserve">Controles de fuga de datos</w:t>
      </w:r>
    </w:p>
    <w:p>
      <w:pPr>
        <w:pStyle w:val="FirstParagraph"/>
        <w:spacing w:line="360" w:lineRule="auto"/>
        <w:jc w:val="both"/>
      </w:pPr>
      <w:r>
        <w:t xml:space="preserve">Los cuatro controles de fuga de datos se aplican de forma uniforme a todos</w:t>
      </w:r>
      <w:r>
        <w:t xml:space="preserve"> </w:t>
      </w:r>
      <w:r>
        <w:t xml:space="preserve">los métodos explicadores:</w:t>
      </w:r>
    </w:p>
    <w:p>
      <w:pPr>
        <w:pStyle w:val="Compact"/>
        <w:numPr>
          <w:ilvl w:val="0"/>
          <w:numId w:val="1006"/>
        </w:numPr>
        <w:spacing w:line="360" w:lineRule="auto"/>
        <w:jc w:val="both"/>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spacing w:line="360" w:lineRule="auto"/>
        <w:jc w:val="both"/>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spacing w:line="360" w:lineRule="auto"/>
        <w:jc w:val="both"/>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spacing w:line="360" w:lineRule="auto"/>
        <w:jc w:val="both"/>
      </w:pPr>
      <w:r>
        <w:t xml:space="preserve">Las explicaciones se generan sobre el espacio de características</w:t>
      </w:r>
      <w:r>
        <w:t xml:space="preserve"> </w:t>
      </w:r>
      <w:r>
        <w:t xml:space="preserve">transformado que el modelo usó durante el entrenamiento.</w:t>
      </w:r>
    </w:p>
    <w:bookmarkEnd w:id="66"/>
    <w:bookmarkEnd w:id="67"/>
    <w:bookmarkStart w:id="69" w:name="X810bf4db8899260d734480c9f59b02e6a2182a3"/>
    <w:p>
      <w:pPr>
        <w:pStyle w:val="Ttulo2"/>
        <w:spacing w:line="360" w:lineRule="auto"/>
        <w:jc w:val="both"/>
      </w:pPr>
      <w:r>
        <w:t xml:space="preserve">Diseño factorial del benchmark primario (EXP2)</w:t>
      </w:r>
    </w:p>
    <w:p>
      <w:pPr>
        <w:pStyle w:val="FirstParagraph"/>
        <w:spacing w:line="360" w:lineRule="auto"/>
        <w:jc w:val="both"/>
      </w:pPr>
      <w:r>
        <w:t xml:space="preserve">El benchmark primario adopta una estructura factorial cruzada de cuatro</w:t>
      </w:r>
      <w:r>
        <w:t xml:space="preserve"> </w:t>
      </w:r>
      <w:r>
        <w:t xml:space="preserve">factores:</w:t>
      </w:r>
    </w:p>
    <w:p>
      <w:pPr>
        <w:pStyle w:val="Textoindependiente"/>
        <w:spacing w:line="360" w:lineRule="auto"/>
        <w:jc w:val="both"/>
      </w:pPr>
      <ns1:oMathPara>
        <ns1:oMathParaPr>
          <ns1:jc ns1:val="center"/>
        </ns1:oMathParaPr>
        <ns1:oMath>
          <ns1:r>
            <ns1:rPr>
              <ns1:scr ns1:val="script"/>
              <ns1:sty ns1:val="p"/>
            </ns1:rP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oMath>
      </ns1:oMathPara>
    </w:p>
    <w:p>
      <w:pPr>
        <w:pStyle w:val="FirstParagraph"/>
        <w:spacing w:line="360" w:lineRule="auto"/>
        <w:jc w:val="both"/>
      </w:pPr>
      <w:r>
        <w:t xml:space="preserve">donde:</w:t>
      </w:r>
    </w:p>
    <w:p>
      <w:pPr>
        <w:pStyle w:val="Compact"/>
        <w:numPr>
          <w:ilvl w:val="0"/>
          <w:numId w:val="1007"/>
        </w:numPr>
        <w:spacing w:line="360" w:lineRule="auto"/>
        <w:jc w:val="both"/>
      </w:pPr>
      <ns1:oMath>
        <ns1:r>
          <ns1:t>g</ns1:t>
        </ns1:r>
        <ns1:r>
          <ns1:rPr>
            <ns1:sty ns1:val="p"/>
          </ns1:rPr>
          <ns1:t>∈</ns1:t>
        </ns1:r>
        <ns1:r>
          <ns1:rPr>
            <ns1:sty ns1:val="p"/>
          </ns1:rPr>
          <ns1:t>{</ns1:t>
        </ns1:r>
        <ns1:r>
          <ns1:rPr>
            <ns1:nor/>
            <ns1:sty ns1:val="p"/>
          </ns1:rPr>
          <ns1:t>logreg</ns1:t>
        </ns1:r>
        <ns1:r>
          <ns1:rPr>
            <ns1:sty ns1:val="p"/>
          </ns1:rPr>
          <ns1:t>,</ns1:t>
        </ns1:r>
        <ns1:r>
          <ns1:t> </ns1:t>
        </ns1:r>
        <ns1:r>
          <ns1:rPr>
            <ns1:nor/>
            <ns1:sty ns1:val="p"/>
          </ns1:rPr>
          <ns1:t>rf</ns1:t>
        </ns1:r>
        <ns1:r>
          <ns1:rPr>
            <ns1:sty ns1:val="p"/>
          </ns1:rPr>
          <ns1:t>,</ns1:t>
        </ns1:r>
        <ns1:r>
          <ns1:t> </ns1:t>
        </ns1:r>
        <ns1:r>
          <ns1:rPr>
            <ns1:nor/>
            <ns1:sty ns1:val="p"/>
          </ns1:rPr>
          <ns1:t>xgb</ns1:t>
        </ns1:r>
        <ns1:r>
          <ns1:rPr>
            <ns1:sty ns1:val="p"/>
          </ns1:rPr>
          <ns1:t>,</ns1:t>
        </ns1:r>
        <ns1:r>
          <ns1:t> </ns1:t>
        </ns1:r>
        <ns1:r>
          <ns1:rPr>
            <ns1:nor/>
            <ns1:sty ns1:val="p"/>
          </ns1:rPr>
          <ns1:t>svm</ns1:t>
        </ns1:r>
        <ns1:r>
          <ns1:rPr>
            <ns1:sty ns1:val="p"/>
          </ns1:rPr>
          <ns1:t>,</ns1:t>
        </ns1:r>
        <ns1:r>
          <ns1:t> </ns1:t>
        </ns1:r>
        <ns1:r>
          <ns1:rPr>
            <ns1:nor/>
            <ns1:sty ns1:val="p"/>
          </ns1:rPr>
          <ns1:t>mlp</ns1:t>
        </ns1:r>
        <ns1:r>
          <ns1:rPr>
            <ns1:sty ns1:val="p"/>
          </ns1:rPr>
          <ns1:t>}</ns1:t>
        </ns1:r>
      </ns1:oMath>
      <w:r>
        <w:t xml:space="preserve"> </w:t>
      </w:r>
      <w:r>
        <w:t xml:space="preserve">— familia de modelo predictivo (5 niveles),</w:t>
      </w:r>
    </w:p>
    <w:p>
      <w:pPr>
        <w:pStyle w:val="Compact"/>
        <w:numPr>
          <w:ilvl w:val="0"/>
          <w:numId w:val="1007"/>
        </w:numPr>
        <w:spacing w:line="360" w:lineRule="auto"/>
        <w:jc w:val="both"/>
      </w:pPr>
      <ns1:oMath>
        <ns1:r>
          <ns1:t>k</ns1:t>
        </ns1:r>
        <ns1:r>
          <ns1:rPr>
            <ns1:sty ns1:val="p"/>
          </ns1:rPr>
          <ns1:t>∈</ns1:t>
        </ns1:r>
        <ns1:r>
          <ns1:rPr>
            <ns1:sty ns1:val="p"/>
          </ns1:rPr>
          <ns1:t>{</ns1:t>
        </ns1:r>
        <ns1:r>
          <ns1:rPr>
            <ns1:nor/>
            <ns1:sty ns1:val="p"/>
          </ns1:rPr>
          <ns1:t>shap</ns1:t>
        </ns1:r>
        <ns1:r>
          <ns1:rPr>
            <ns1:sty ns1:val="p"/>
          </ns1:rPr>
          <ns1:t>,</ns1:t>
        </ns1:r>
        <ns1:r>
          <ns1:t> </ns1:t>
        </ns1:r>
        <ns1:r>
          <ns1:rPr>
            <ns1:nor/>
            <ns1:sty ns1:val="p"/>
          </ns1:rPr>
          <ns1:t>lime</ns1:t>
        </ns1:r>
        <ns1:r>
          <ns1:rPr>
            <ns1:sty ns1:val="p"/>
          </ns1:rPr>
          <ns1:t>,</ns1:t>
        </ns1:r>
        <ns1:r>
          <ns1:t> </ns1:t>
        </ns1:r>
        <ns1:r>
          <ns1:rPr>
            <ns1:nor/>
            <ns1:sty ns1:val="p"/>
          </ns1:rPr>
          <ns1:t>anchors</ns1:t>
        </ns1:r>
        <ns1:r>
          <ns1:rPr>
            <ns1:sty ns1:val="p"/>
          </ns1:rPr>
          <ns1:t>,</ns1:t>
        </ns1:r>
        <ns1:r>
          <ns1:t> </ns1:t>
        </ns1:r>
        <ns1:r>
          <ns1:rPr>
            <ns1:nor/>
            <ns1:sty ns1:val="p"/>
          </ns1:rPr>
          <ns1:t>dice</ns1:t>
        </ns1:r>
        <ns1:r>
          <ns1:rPr>
            <ns1:sty ns1:val="p"/>
          </ns1:rPr>
          <ns1:t>}</ns1:t>
        </ns1:r>
      </ns1:oMath>
      <w:r>
        <w:t xml:space="preserve"> </w:t>
      </w:r>
      <w:r>
        <w:t xml:space="preserve">—</w:t>
      </w:r>
      <w:r>
        <w:t xml:space="preserve"> </w:t>
      </w:r>
      <w:r>
        <w:t xml:space="preserve">método de explicabilidad (4 niveles),</w:t>
      </w:r>
    </w:p>
    <w:p>
      <w:pPr>
        <w:pStyle w:val="Compact"/>
        <w:numPr>
          <w:ilvl w:val="0"/>
          <w:numId w:val="1007"/>
        </w:numPr>
        <w:spacing w:line="360" w:lineRule="auto"/>
        <w:jc w:val="both"/>
      </w:pPr>
      <ns1:oMath>
        <ns1:r>
          <ns1:t>s</ns1:t>
        </ns1:r>
        <ns1:r>
          <ns1:rPr>
            <ns1:sty ns1:val="p"/>
          </ns1:rPr>
          <ns1:t>∈</ns1:t>
        </ns1:r>
        <ns1:r>
          <ns1:rPr>
            <ns1:sty ns1:val="p"/>
          </ns1:rPr>
          <ns1:t>{</ns1:t>
        </ns1:r>
        <ns1:r>
          <ns1:t>42</ns1:t>
        </ns1:r>
        <ns1:r>
          <ns1:rPr>
            <ns1:sty ns1:val="p"/>
          </ns1:rPr>
          <ns1:t>,</ns1:t>
        </ns1:r>
        <ns1:r>
          <ns1:t> </ns1:t>
        </ns1:r>
        <ns1:r>
          <ns1:t>123</ns1:t>
        </ns1:r>
        <ns1:r>
          <ns1:rPr>
            <ns1:sty ns1:val="p"/>
          </ns1:rPr>
          <ns1:t>,</ns1:t>
        </ns1:r>
        <ns1:r>
          <ns1:t> </ns1:t>
        </ns1:r>
        <ns1:r>
          <ns1:t>456</ns1:t>
        </ns1:r>
        <ns1:r>
          <ns1:rPr>
            <ns1:sty ns1:val="p"/>
          </ns1:rPr>
          <ns1:t>,</ns1:t>
        </ns1:r>
        <ns1:r>
          <ns1:t> </ns1:t>
        </ns1:r>
        <ns1:r>
          <ns1:t>789</ns1:t>
        </ns1:r>
        <ns1:r>
          <ns1:rPr>
            <ns1:sty ns1:val="p"/>
          </ns1:rPr>
          <ns1:t>,</ns1:t>
        </ns1:r>
        <ns1:r>
          <ns1:t> </ns1:t>
        </ns1:r>
        <ns1:r>
          <ns1:t>999</ns1:t>
        </ns1:r>
        <ns1:r>
          <ns1:rPr>
            <ns1:sty ns1:val="p"/>
          </ns1:rPr>
          <ns1:t>}</ns1:t>
        </ns1:r>
      </ns1:oMath>
      <w:r>
        <w:t xml:space="preserve"> </w:t>
      </w:r>
      <w:r>
        <w:t xml:space="preserve">— semilla de aleatoriedad</w:t>
      </w:r>
      <w:r>
        <w:t xml:space="preserve"> </w:t>
      </w:r>
      <w:r>
        <w:t xml:space="preserve">(5 niveles),</w:t>
      </w:r>
    </w:p>
    <w:p>
      <w:pPr>
        <w:pStyle w:val="Compact"/>
        <w:numPr>
          <w:ilvl w:val="0"/>
          <w:numId w:val="1007"/>
        </w:numPr>
        <w:spacing w:line="360" w:lineRule="auto"/>
        <w:jc w:val="both"/>
      </w:pPr>
      <ns1:oMath>
        <ns1:r>
          <ns1:t>n</ns1:t>
        </ns1:r>
        <ns1:r>
          <ns1:rPr>
            <ns1:sty ns1:val="p"/>
          </ns1:rPr>
          <ns1:t>∈</ns1:t>
        </ns1:r>
        <ns1:r>
          <ns1:rPr>
            <ns1:sty ns1:val="p"/>
          </ns1:rPr>
          <ns1:t>{</ns1:t>
        </ns1:r>
        <ns1:r>
          <ns1:t>50</ns1:t>
        </ns1:r>
        <ns1:r>
          <ns1:rPr>
            <ns1:sty ns1:val="p"/>
          </ns1:rPr>
          <ns1:t>,</ns1:t>
        </ns1:r>
        <ns1:r>
          <ns1:t> </ns1:t>
        </ns1:r>
        <ns1:r>
          <ns1:t>100</ns1:t>
        </ns1:r>
        <ns1:r>
          <ns1:rPr>
            <ns1:sty ns1:val="p"/>
          </ns1:rPr>
          <ns1:t>,</ns1:t>
        </ns1:r>
        <ns1:r>
          <ns1:t> </ns1:t>
        </ns1:r>
        <ns1:r>
          <ns1:t>200</ns1:t>
        </ns1:r>
        <ns1:r>
          <ns1:rPr>
            <ns1:sty ns1:val="p"/>
          </ns1:rPr>
          <ns1:t>}</ns1:t>
        </ns1:r>
      </ns1:oMath>
      <w:r>
        <w:t xml:space="preserve"> </w:t>
      </w:r>
      <w:r>
        <w:t xml:space="preserve">— instancias por cuadrante de error (3 niveles).</w:t>
      </w:r>
    </w:p>
    <w:p>
      <w:pPr>
        <w:pStyle w:val="FirstParagraph"/>
        <w:spacing w:line="360" w:lineRule="auto"/>
        <w:jc w:val="both"/>
      </w:pPr>
      <w:r>
        <w:t xml:space="preserve">El tamaño del diseño planificado es:</w:t>
      </w:r>
    </w:p>
    <w:p>
      <w:pPr>
        <w:pStyle w:val="Textoindependiente"/>
        <w:spacing w:line="360" w:lineRule="auto"/>
        <w:jc w:val="both"/>
      </w:pPr>
      <ns1:oMathPara>
        <ns1:oMathParaPr>
          <ns1:jc ns1:val="center"/>
        </ns1:oMathParaPr>
        <ns1:oMath>
          <ns1:r>
            <ns1:rPr>
              <ns1:sty ns1:val="p"/>
            </ns1:rPr>
            <ns1:t>|</ns1:t>
          </ns1:r>
          <ns1:r>
            <ns1:rPr>
              <ns1:scr ns1:val="script"/>
              <ns1:sty ns1:val="p"/>
            </ns1:rPr>
            <ns1:t>D</ns1:t>
          </ns1:r>
          <ns1:r>
            <ns1:rPr>
              <ns1:sty ns1:val="p"/>
            </ns1:rPr>
            <ns1:t>|</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r>
            <ns1:rPr>
              <ns1:nor/>
              <ns1:sty ns1:val="p"/>
            </ns1:rPr>
            <ns1:t> ejecuciones</ns1:t>
          </ns1:r>
        </ns1:oMath>
      </ns1:oMathPara>
    </w:p>
    <w:p>
      <w:pPr>
        <w:pStyle w:val="FirstParagraph"/>
        <w:spacing w:line="360" w:lineRule="auto"/>
        <w:jc w:val="both"/>
      </w:pPr>
      <w:r>
        <w:t xml:space="preserve">Cada celda</w:t>
      </w:r>
      <w:r>
        <w:t xml:space="preserve"> </w:t>
      </w:r>
      <ns1:oMath>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oMath>
      <w:r>
        <w:t xml:space="preserve"> </w:t>
      </w:r>
      <w:r>
        <w:t xml:space="preserve">produce un artefacto de resultado independiente.</w:t>
      </w:r>
      <w:r>
        <w:t xml:space="preserve"> </w:t>
      </w:r>
      <w:r>
        <w:t xml:space="preserve">La variación en</w:t>
      </w:r>
      <w:r>
        <w:t xml:space="preserve"> </w:t>
      </w:r>
      <ns1:oMath>
        <ns1:r>
          <ns1:t>s</ns1:t>
        </ns1:r>
      </ns1:oMath>
      <w:r>
        <w:t xml:space="preserve"> </w:t>
      </w:r>
      <w:r>
        <w:t xml:space="preserve">sirve para estimar la reproducibilidad del protocolo. La</w:t>
      </w:r>
      <w:r>
        <w:t xml:space="preserve"> </w:t>
      </w:r>
      <w:r>
        <w:t xml:space="preserve">variación en</w:t>
      </w:r>
      <w:r>
        <w:t xml:space="preserve"> </w:t>
      </w:r>
      <ns1:oMath>
        <ns1:r>
          <ns1:t>n</ns1:t>
        </ns1:r>
      </ns1:oMath>
      <w:r>
        <w:t xml:space="preserve"> </w:t>
      </w:r>
      <w:r>
        <w:t xml:space="preserve">permite examinar la estabilidad de los rankings bajo</w:t>
      </w:r>
      <w:r>
        <w:t xml:space="preserve"> </w:t>
      </w:r>
      <w:r>
        <w:t xml:space="preserve">distintos volúmenes de evidencia local.</w:t>
      </w:r>
    </w:p>
    <w:bookmarkStart w:id="68" w:name="X7f3be01e797123bdbedac923d646584591998bc"/>
    <w:p>
      <w:pPr>
        <w:pStyle w:val="Ttulo3"/>
        <w:spacing w:line="360" w:lineRule="auto"/>
        <w:jc w:val="both"/>
      </w:pPr>
      <w:r>
        <w:t xml:space="preserve">Jerarquía de análisis y unidad inferencial</w:t>
      </w:r>
    </w:p>
    <w:p>
      <w:pPr>
        <w:pStyle w:val="FirstParagraph"/>
        <w:spacing w:line="360" w:lineRule="auto"/>
        <w:jc w:val="both"/>
      </w:pPr>
      <w:r>
        <w:t xml:space="preserve">Para evitar la pseudo-replicación, el análisis adopta una estructura</w:t>
      </w:r>
      <w:r>
        <w:t xml:space="preserve"> </w:t>
      </w:r>
      <w:r>
        <w:t xml:space="preserve">jerárquica de tres niveles:</w:t>
      </w:r>
    </w:p>
    <w:p>
      <w:pPr>
        <w:pStyle w:val="Compact"/>
        <w:numPr>
          <w:ilvl w:val="0"/>
          <w:numId w:val="1008"/>
        </w:numPr>
        <w:spacing w:line="360" w:lineRule="auto"/>
        <w:jc w:val="both"/>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spacing w:line="360" w:lineRule="auto"/>
        <w:jc w:val="both"/>
      </w:pPr>
      <w:r>
        <w:rPr>
          <w:b/>
          <w:bCs/>
        </w:rPr>
        <w:t xml:space="preserve">Nivel de ejecución:</w:t>
      </w:r>
      <w:r>
        <w:t xml:space="preserve"> </w:t>
      </w:r>
      <w:r>
        <w:t xml:space="preserve">media métrica por instancia, estimador del</w:t>
      </w:r>
      <w:r>
        <w:t xml:space="preserve"> </w:t>
      </w:r>
      <w:r>
        <w:t xml:space="preserve">rendimiento del método</w:t>
      </w:r>
      <w:r>
        <w:t xml:space="preserve"> </w:t>
      </w:r>
      <ns1:oMath>
        <ns1:r>
          <ns1:t>k</ns1:t>
        </ns1:r>
      </ns1:oMath>
      <w:r>
        <w:t xml:space="preserve"> </w:t>
      </w:r>
      <w:r>
        <w:t xml:space="preserve">sobre el modelo</w:t>
      </w:r>
      <w:r>
        <w:t xml:space="preserve"> </w:t>
      </w:r>
      <ns1:oMath>
        <ns1:r>
          <ns1:t>g</ns1:t>
        </ns1:r>
      </ns1:oMath>
      <w:r>
        <w:t xml:space="preserve"> </w:t>
      </w:r>
      <w:r>
        <w:t xml:space="preserve">bajo semilla</w:t>
      </w:r>
      <w:r>
        <w:t xml:space="preserve"> </w:t>
      </w:r>
      <ns1:oMath>
        <ns1:r>
          <ns1:t>s</ns1:t>
        </ns1:r>
      </ns1:oMath>
      <w:r>
        <w:t xml:space="preserve"> </w:t>
      </w:r>
      <w:r>
        <w:t xml:space="preserve">y tamaño</w:t>
      </w:r>
      <w:r>
        <w:t xml:space="preserve"> </w:t>
      </w:r>
      <ns1:oMath>
        <ns1:r>
          <ns1:t>n</ns1:t>
        </ns1:r>
      </ns1:oMath>
      <w:r>
        <w:t xml:space="preserve">. Estimando declarado:</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w:t>
      </w:r>
    </w:p>
    <w:p>
      <w:pPr>
        <w:pStyle w:val="Compact"/>
        <w:numPr>
          <w:ilvl w:val="0"/>
          <w:numId w:val="1008"/>
        </w:numPr>
        <w:spacing w:line="360" w:lineRule="auto"/>
        <w:jc w:val="both"/>
      </w:pPr>
      <w:r>
        <w:rPr>
          <w:b/>
          <w:bCs/>
        </w:rPr>
        <w:t xml:space="preserve">Nivel de bloque:</w:t>
      </w:r>
      <w:r>
        <w:t xml:space="preserve"> </w:t>
      </w:r>
      <w:r>
        <w:t xml:space="preserve">para los tests de Friedman, el bloque se define como</w:t>
      </w:r>
      <w:r>
        <w:t xml:space="preserve"> </w:t>
      </w:r>
      <ns1:oMath>
        <ns1:r>
          <ns1:t>b</ns1:t>
        </ns1:r>
        <ns1:r>
          <ns1:rPr>
            <ns1:sty ns1:val="p"/>
          </ns1:rPr>
          <ns1:t>=</ns1:t>
        </ns1:r>
        <ns1:r>
          <ns1:rPr>
            <ns1:sty ns1:val="p"/>
          </ns1:rPr>
          <ns1:t>(</ns1:t>
        </ns1:r>
        <ns1:r>
          <ns1:t>g</ns1:t>
        </ns1:r>
        <ns1:r>
          <ns1:rPr>
            <ns1:sty ns1:val="p"/>
          </ns1:rPr>
          <ns1:t>,</ns1:t>
        </ns1:r>
        <ns1:r>
          <ns1:t>n</ns1:t>
        </ns1:r>
        <ns1:r>
          <ns1:rPr>
            <ns1:sty ns1:val="p"/>
          </ns1:rPr>
          <ns1:t>)</ns1:t>
        </ns1:r>
      </ns1:oMath>
      <w:r>
        <w:t xml:space="preserve">, con la ejecución como unidad de observación dentro del bloque.</w:t>
      </w:r>
      <w:r>
        <w:t xml:space="preserve"> </w:t>
      </w:r>
      <w:r>
        <w:t xml:space="preserve">Este diseño produce</w:t>
      </w:r>
      <w:r>
        <w:t xml:space="preserve"> </w:t>
      </w:r>
      <ns1:oMath>
        <ns1:r>
          <ns1:t>5</ns1:t>
        </ns1:r>
        <ns1:r>
          <ns1:rPr>
            <ns1:sty ns1:val="p"/>
          </ns1:rPr>
          <ns1:t>×</ns1:t>
        </ns1:r>
        <ns1:r>
          <ns1:t>3</ns1:t>
        </ns1:r>
        <ns1:r>
          <ns1:rPr>
            <ns1:sty ns1:val="p"/>
          </ns1:rPr>
          <ns1:t>=</ns1:t>
        </ns1:r>
        <ns1:r>
          <ns1:t>15</ns1:t>
        </ns1:r>
      </ns1:oMath>
      <w:r>
        <w:t xml:space="preserve"> </w:t>
      </w:r>
      <w:r>
        <w:t xml:space="preserve">bloques completos.</w:t>
      </w:r>
    </w:p>
    <w:p>
      <w:pPr>
        <w:pStyle w:val="FirstParagraph"/>
        <w:spacing w:line="360" w:lineRule="auto"/>
        <w:jc w:val="both"/>
      </w:pPr>
      <w:r>
        <w:t xml:space="preserve">La unidad inferencial primaria del Estudio B es la</w:t>
      </w:r>
      <w:r>
        <w:t xml:space="preserve"> </w:t>
      </w:r>
      <w:r>
        <w:rPr>
          <w:b/>
          <w:bCs/>
        </w:rPr>
        <w:t xml:space="preserve">celda pareada</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las 75 tuplas para las que existen artefactos calificados de</w:t>
      </w:r>
      <w:r>
        <w:t xml:space="preserve"> </w:t>
      </w:r>
      <w:r>
        <w:t xml:space="preserve">SHAP y LIME con coordenadas idénticas.</w:t>
      </w:r>
    </w:p>
    <w:bookmarkEnd w:id="68"/>
    <w:bookmarkEnd w:id="69"/>
    <w:bookmarkStart w:id="72" w:name="Xa1b63f5b80ef9314faeb5aae6b8d7e743e4217a"/>
    <w:p>
      <w:pPr>
        <w:pStyle w:val="Ttulo2"/>
        <w:spacing w:line="360" w:lineRule="auto"/>
        <w:jc w:val="both"/>
      </w:pPr>
      <w:r>
        <w:t xml:space="preserve">Protocolo de muestreo de instancias y configuración de explicadores</w:t>
      </w:r>
    </w:p>
    <w:bookmarkStart w:id="70" w:name="X22a27531824c8c7d79a9c6abca6e13f987fd35c"/>
    <w:p>
      <w:pPr>
        <w:pStyle w:val="Ttulo3"/>
        <w:spacing w:line="360" w:lineRule="auto"/>
        <w:jc w:val="both"/>
      </w:pPr>
      <w:r>
        <w:t xml:space="preserve">Muestreo estratificado por cuadrante de error</w:t>
      </w:r>
    </w:p>
    <w:p>
      <w:pPr>
        <w:pStyle w:val="FirstParagraph"/>
        <w:spacing w:line="360" w:lineRule="auto"/>
        <w:jc w:val="bot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ns1:oMath>
        <ns1:r>
          <ns1:t>n</ns1:t>
        </ns1:r>
      </ns1:oMath>
      <w:r>
        <w:t xml:space="preserve"> </w:t>
      </w:r>
      <w:r>
        <w:t xml:space="preserve">instancias por cuadrante:</w:t>
      </w:r>
    </w:p>
    <w:p>
      <w:pPr>
        <w:pStyle w:val="Textoindependiente"/>
        <w:spacing w:line="360" w:lineRule="auto"/>
        <w:jc w:val="both"/>
      </w:pPr>
      <ns1:oMathPara>
        <ns1:oMathParaPr>
          <ns1:jc ns1:val="center"/>
        </ns1:oMathParaPr>
        <ns1:oMath>
          <ns1:sSub>
            <ns1:e>
              <ns1:r>
                <ns1:rPr>
                  <ns1:scr ns1:val="script"/>
                  <ns1:sty ns1:val="p"/>
                </ns1:rPr>
                <ns1:t>I</ns1:t>
              </ns1:r>
            </ns1:e>
            <ns1:sub>
              <ns1:r>
                <ns1:t>g</ns1:t>
              </ns1:r>
              <ns1:r>
                <ns1:rPr>
                  <ns1:sty ns1:val="p"/>
                </ns1:rPr>
                <ns1:t>,</ns1:t>
              </ns1:r>
              <ns1:r>
                <ns1:t>s</ns1:t>
              </ns1:r>
              <ns1:r>
                <ns1:rPr>
                  <ns1:sty ns1:val="p"/>
                </ns1:rPr>
                <ns1:t>,</ns1:t>
              </ns1:r>
              <ns1:r>
                <ns1:t>n</ns1:t>
              </ns1:r>
            </ns1:sub>
          </ns1:sSub>
          <ns1:r>
            <ns1:rPr>
              <ns1:sty ns1:val="p"/>
            </ns1:rPr>
            <ns1:t>=</ns1:t>
          </ns1:r>
          <ns1:r>
            <ns1:rPr>
              <ns1:nor/>
              <ns1:sty ns1:val="p"/>
            </ns1:rPr>
            <ns1:t>StratSample</ns1:t>
          </ns1:r>
          <ns1:r>
            <ns1:t>​</ns1:t>
          </ns1:r>
          <ns1:d>
            <ns1:dPr>
              <ns1:begChr ns1:val="("/>
              <ns1:sepChr ns1:val=""/>
              <ns1:endChr ns1:val=")"/>
              <ns1:grow/>
            </ns1:dPr>
            <ns1:e>
              <ns1:sSub>
                <ns1:e>
                  <ns1:r>
                    <ns1:rPr>
                      <ns1:scr ns1:val="script"/>
                      <ns1:sty ns1:val="p"/>
                    </ns1:rPr>
                    <ns1:t>I</ns1:t>
                  </ns1:r>
                </ns1:e>
                <ns1:sub>
                  <ns1:r>
                    <ns1:rPr>
                      <ns1:nor/>
                      <ns1:sty ns1:val="p"/>
                    </ns1:rPr>
                    <ns1:t>test</ns1:t>
                  </ns1:r>
                </ns1:sub>
              </ns1:sSub>
              <ns1:r>
                <ns1:rPr>
                  <ns1:sty ns1:val="p"/>
                </ns1:rPr>
                <ns1:t>,</ns1:t>
              </ns1:r>
              <ns1:r>
                <ns1:t> </ns1:t>
              </ns1:r>
              <ns1:r>
                <ns1:rPr>
                  <ns1:nor/>
                  <ns1:sty ns1:val="p"/>
                </ns1:rPr>
                <ns1:t>strata</ns1:t>
              </ns1:r>
              <ns1:r>
                <ns1:rPr>
                  <ns1:sty ns1:val="p"/>
                </ns1:rPr>
                <ns1:t>=</ns1:t>
              </ns1:r>
              <ns1:r>
                <ns1:rPr>
                  <ns1:sty ns1:val="p"/>
                </ns1:rPr>
                <ns1:t>{</ns1:t>
              </ns1:r>
              <ns1:r>
                <ns1:rPr>
                  <ns1:nor/>
                  <ns1:sty ns1:val="p"/>
                </ns1:rPr>
                <ns1:t>VP, VN, FP, FN</ns1:t>
              </ns1:r>
              <ns1:r>
                <ns1:rPr>
                  <ns1:sty ns1:val="p"/>
                </ns1:rPr>
                <ns1:t>}</ns1:t>
              </ns1:r>
              <ns1:r>
                <ns1:rPr>
                  <ns1:sty ns1:val="p"/>
                </ns1:rPr>
                <ns1:t>,</ns1:t>
              </ns1:r>
              <ns1:r>
                <ns1:t> </ns1:t>
              </ns1:r>
              <ns1:sSub>
                <ns1:e>
                  <ns1:r>
                    <ns1:t>n</ns1:t>
                  </ns1:r>
                </ns1:e>
                <ns1:sub>
                  <ns1:r>
                    <ns1:rPr>
                      <ns1:nor/>
                      <ns1:sty ns1:val="p"/>
                    </ns1:rPr>
                    <ns1:t>per_strata</ns1:t>
                  </ns1:r>
                </ns1:sub>
              </ns1:sSub>
              <ns1:r>
                <ns1:rPr>
                  <ns1:sty ns1:val="p"/>
                </ns1:rPr>
                <ns1:t>=</ns1:t>
              </ns1:r>
              <ns1:r>
                <ns1:t>n</ns1:t>
              </ns1:r>
            </ns1:e>
          </ns1:d>
        </ns1:oMath>
      </ns1:oMathPara>
    </w:p>
    <w:p>
      <w:pPr>
        <w:pStyle w:val="FirstParagraph"/>
        <w:spacing w:line="360" w:lineRule="auto"/>
        <w:jc w:val="both"/>
      </w:pPr>
      <w:r>
        <w:t xml:space="preserve">El tamaño nominal por ejecución es</w:t>
      </w:r>
      <w:r>
        <w:t xml:space="preserve"> </w:t>
      </w:r>
      <ns1:oMath>
        <ns1:r>
          <ns1:t>4</ns1:t>
        </ns1:r>
        <ns1:r>
          <ns1:t>n</ns1:t>
        </ns1:r>
      </ns1: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70"/>
    <w:bookmarkStart w:id="71" w:name="configuración-de-los-explicadores"/>
    <w:p>
      <w:pPr>
        <w:pStyle w:val="Ttulo3"/>
        <w:spacing w:line="360" w:lineRule="auto"/>
        <w:jc w:val="both"/>
      </w:pPr>
      <w:r>
        <w:t xml:space="preserve">Configuración de los explicadores</w:t>
      </w:r>
    </w:p>
    <w:p>
      <w:pPr>
        <w:pStyle w:val="FirstParagraph"/>
        <w:spacing w:line="360" w:lineRule="auto"/>
        <w:jc w:val="bot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spacing w:line="360" w:lineRule="auto"/>
        <w:jc w:val="both"/>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ns1:oMath>
        <ns1:sSub>
          <ns1:e>
            <ns1:r>
              <ns1:t>n</ns1:t>
            </ns1:r>
          </ns1:e>
          <ns1:sub>
            <ns1:r>
              <ns1:rPr>
                <ns1:nor/>
                <ns1:sty ns1:val="p"/>
              </ns1:rPr>
              <ns1:t>bg</ns1:t>
            </ns1:r>
          </ns1:sub>
        </ns1:sSub>
        <ns1:r>
          <ns1:rPr>
            <ns1:sty ns1:val="p"/>
          </ns1:rPr>
          <ns1:t>=</ns1:t>
        </ns1:r>
        <ns1:r>
          <ns1:t>50</ns1:t>
        </ns1:r>
      </ns1:oMath>
      <w:r>
        <w:t xml:space="preserve"> </w:t>
      </w:r>
      <w:r>
        <w:t xml:space="preserve">muestras del conjunto de entrenamiento. Objetivo:</w:t>
      </w:r>
      <w:r>
        <w:t xml:space="preserve"> </w:t>
      </w:r>
      <w:r>
        <w:t xml:space="preserve">probabilidad de la clase positiva.</w:t>
      </w:r>
    </w:p>
    <w:p>
      <w:pPr>
        <w:pStyle w:val="Textoindependiente"/>
        <w:spacing w:line="360" w:lineRule="auto"/>
        <w:jc w:val="both"/>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spacing w:line="360" w:lineRule="auto"/>
        <w:jc w:val="both"/>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ns1:oMath>
        <ns1:r>
          <ns1:t>τ</ns1:t>
        </ns1:r>
        <ns1:r>
          <ns1:rPr>
            <ns1:sty ns1:val="p"/>
          </ns1:rPr>
          <ns1:t>=</ns1:t>
        </ns1:r>
        <ns1:r>
          <ns1:t>0.95</ns1:t>
        </ns1:r>
      </ns1: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spacing w:line="360" w:lineRule="auto"/>
        <w:jc w:val="both"/>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ns1:oMath>
        <ns1:sSub>
          <ns1:e>
            <ns1:r>
              <ns1:rPr>
                <ns1:nor/>
                <ns1:sty ns1:val="p"/>
              </ns1:rPr>
              <ns1:t>imp</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r>
        <w:t xml:space="preserve">,</w:t>
      </w:r>
      <w:r>
        <w:t xml:space="preserve"> </w:t>
      </w:r>
      <w:r>
        <w:rPr>
          <w:rStyle w:val="VerbatimChar"/>
        </w:rPr>
        <w:t xml:space="preserve">total_CFs = 1</w:t>
      </w:r>
      <w:r>
        <w:t xml:space="preserve"> </w:t>
      </w:r>
      <w:r>
        <w:t xml:space="preserve">efectivo (parámetro YAML no consumido).</w:t>
      </w:r>
    </w:p>
    <w:bookmarkEnd w:id="71"/>
    <w:bookmarkEnd w:id="72"/>
    <w:bookmarkStart w:id="80" w:name="operacionalización-de-las-métricas"/>
    <w:p>
      <w:pPr>
        <w:pStyle w:val="Ttulo2"/>
        <w:spacing w:line="360" w:lineRule="auto"/>
        <w:jc w:val="both"/>
      </w:pPr>
      <w:r>
        <w:t xml:space="preserve">Operacionalización de las métricas</w:t>
      </w:r>
    </w:p>
    <w:p>
      <w:pPr>
        <w:pStyle w:val="FirstParagraph"/>
        <w:spacing w:line="360" w:lineRule="auto"/>
        <w:jc w:val="bot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p>
      <w:pPr>
        <w:pStyle w:val="Textoindependiente"/>
        <w:spacing w:line="360" w:lineRule="auto"/>
        <w:jc w:val="both"/>
      </w:pPr>
      <w:r>
        <w:t xml:space="preserve">Estas métricas deben leerse como proxies operacionales de los constructos</w:t>
      </w:r>
      <w:r>
        <w:t xml:space="preserve"> </w:t>
      </w:r>
      <w:r>
        <w:t xml:space="preserve">revisados en el Capítulo 2. Fidelidad, estabilidad, parsimonia, brecha de</w:t>
      </w:r>
      <w:r>
        <w:t xml:space="preserve"> </w:t>
      </w:r>
      <w:r>
        <w:t xml:space="preserve">fidelidad y coste no son intercambiables con utilidad humana, plausibilidad</w:t>
      </w:r>
      <w:r>
        <w:t xml:space="preserve"> </w:t>
      </w:r>
      <w:r>
        <w:t xml:space="preserve">semántica o causalidad del mecanismo; son indicadores reproducibles que</w:t>
      </w:r>
      <w:r>
        <w:t xml:space="preserve"> </w:t>
      </w:r>
      <w:r>
        <w:t xml:space="preserve">permiten comparar artefactos explicativos bajo condiciones experimentales</w:t>
      </w:r>
      <w:r>
        <w:t xml:space="preserve"> </w:t>
      </w:r>
      <w:r>
        <w:t xml:space="preserve">controladas</w:t>
      </w:r>
      <w:r>
        <w:t xml:space="preserve"> </w:t>
      </w:r>
      <w:r>
        <w:t xml:space="preserve">(Carvalho et al. 2019; Tomsett et al. 2020; Nauta et al. 2023)</w:t>
      </w:r>
      <w:r>
        <w:t xml:space="preserve">.</w:t>
      </w:r>
    </w:p>
    <w:bookmarkStart w:id="73" w:name="fidelidad"/>
    <w:p>
      <w:pPr>
        <w:pStyle w:val="Ttulo3"/>
        <w:spacing w:line="360" w:lineRule="auto"/>
        <w:jc w:val="both"/>
      </w:pPr>
      <w:r>
        <w:t xml:space="preserve">Fidelidad</w:t>
      </w:r>
    </w:p>
    <w:p>
      <w:pPr>
        <w:pStyle w:val="FirstParagraph"/>
        <w:spacing w:line="360" w:lineRule="auto"/>
        <w:jc w:val="bot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spacing w:line="360" w:lineRule="auto"/>
        <w:jc w:val="both"/>
      </w:pPr>
      <ns1:oMathPara>
        <ns1:oMathParaPr>
          <ns1:jc ns1:val="center"/>
        </ns1:oMathParaPr>
        <ns1:oMath>
          <ns1:r>
            <ns1:t>F</ns1:t>
          </ns1:r>
          <ns1:r>
            <ns1:rPr>
              <ns1:sty ns1:val="p"/>
            </ns1:rPr>
            <ns1:t>=</ns1:t>
          </ns1:r>
          <ns1:r>
            <ns1:rPr>
              <ns1:nor/>
              <ns1:sty ns1:val="p"/>
            </ns1:rPr>
            <ns1:t>corr</ns1:t>
          </ns1:r>
          <ns1:r>
            <ns1:t>​</ns1:t>
          </ns1:r>
          <ns1:d>
            <ns1:dPr>
              <ns1:begChr ns1:val="("/>
              <ns1:sepChr ns1:val=""/>
              <ns1:endChr ns1:val=")"/>
              <ns1:grow/>
            </ns1:dPr>
            <ns1:e>
              <ns1:r>
                <ns1:rPr>
                  <ns1:sty ns1:val="p"/>
                </ns1:rPr>
                <ns1:t>|</ns1:t>
              </ns1:r>
              <ns1:sSub>
                <ns1:e>
                  <ns1:r>
                    <ns1:t>w</ns1:t>
                  </ns1:r>
                </ns1:e>
                <ns1:sub>
                  <ns1:r>
                    <ns1:t>i</ns1:t>
                  </ns1:r>
                </ns1:sub>
              </ns1:sSub>
              <ns1:r>
                <ns1:rPr>
                  <ns1:sty ns1:val="p"/>
                </ns1:rPr>
                <ns1:t>|</ns1:t>
              </ns1:r>
              <ns1:r>
                <ns1:rPr>
                  <ns1:sty ns1:val="p"/>
                </ns1:rPr>
                <ns1:t>,</ns1:t>
              </ns1:r>
              <ns1:r>
                <ns1:t> </ns1:t>
              </ns1:r>
              <ns1:r>
                <ns1:rPr>
                  <ns1:sty ns1:val="p"/>
                </ns1:rPr>
                <ns1:t>|</ns1:t>
              </ns1:r>
              <ns1:r>
                <ns1:t>f</ns1:t>
              </ns1:r>
              <ns1:r>
                <ns1:rPr>
                  <ns1:sty ns1:val="p"/>
                </ns1:rPr>
                <ns1:t>(</ns1:t>
              </ns1:r>
              <ns1:r>
                <ns1:t>x</ns1:t>
              </ns1:r>
              <ns1:r>
                <ns1:rPr>
                  <ns1:sty ns1:val="p"/>
                </ns1:rPr>
                <ns1:t>)</ns1:t>
              </ns1:r>
              <ns1:r>
                <ns1:rPr>
                  <ns1:sty ns1:val="p"/>
                </ns1:rPr>
                <ns1:t>−</ns1:t>
              </ns1:r>
              <ns1:r>
                <ns1:t>f</ns1:t>
              </ns1:r>
              <ns1:r>
                <ns1:rPr>
                  <ns1:sty ns1:val="p"/>
                </ns1:rPr>
                <ns1:t>(</ns1:t>
              </ns1:r>
              <ns1:sSub>
                <ns1:e>
                  <ns1:r>
                    <ns1:t>x</ns1:t>
                  </ns1:r>
                </ns1:e>
                <ns1:sub>
                  <ns1:r>
                    <ns1:rPr>
                      <ns1:sty ns1:val="p"/>
                    </ns1:rPr>
                    <ns1:t>−</ns1:t>
                  </ns1:r>
                  <ns1:r>
                    <ns1:t>i</ns1:t>
                  </ns1:r>
                </ns1:sub>
              </ns1:sSub>
              <ns1:r>
                <ns1:rPr>
                  <ns1:sty ns1:val="p"/>
                </ns1:rPr>
                <ns1:t>)</ns1:t>
              </ns1:r>
              <ns1:r>
                <ns1:rPr>
                  <ns1:sty ns1:val="p"/>
                </ns1:rPr>
                <ns1:t>|</ns1:t>
              </ns1:r>
            </ns1:e>
          </ns1:d>
        </ns1:oMath>
      </ns1:oMathPara>
    </w:p>
    <w:p>
      <w:pPr>
        <w:pStyle w:val="FirstParagraph"/>
        <w:spacing w:line="360" w:lineRule="auto"/>
        <w:jc w:val="both"/>
      </w:pPr>
      <w:r>
        <w:t xml:space="preserve">donde</w:t>
      </w:r>
      <w:r>
        <w:t xml:space="preserve"> </w:t>
      </w:r>
      <ns1:oMath>
        <ns1:sSub>
          <ns1:e>
            <ns1:r>
              <ns1:t>x</ns1:t>
            </ns1:r>
          </ns1:e>
          <ns1:sub>
            <ns1:r>
              <ns1:rPr>
                <ns1:sty ns1:val="p"/>
              </ns1:rPr>
              <ns1:t>−</ns1:t>
            </ns1:r>
            <ns1:r>
              <ns1:t>i</ns1:t>
            </ns1:r>
          </ns1:sub>
        </ns1:sSub>
      </ns1:oMath>
      <w:r>
        <w:t xml:space="preserve"> </w:t>
      </w:r>
      <w:r>
        <w:t xml:space="preserve">sustituye la característica</w:t>
      </w:r>
      <w:r>
        <w:t xml:space="preserve"> </w:t>
      </w:r>
      <ns1:oMath>
        <ns1:r>
          <ns1:t>i</ns1:t>
        </ns1:r>
      </ns1:oMath>
      <w:r>
        <w:t xml:space="preserve"> </w:t>
      </w:r>
      <w:r>
        <w:t xml:space="preserve">por su media de entrenamiento.</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src/metrics/fidelity.py</w:t>
      </w:r>
      <w:r>
        <w:t xml:space="preserve">.</w:t>
      </w:r>
    </w:p>
    <w:bookmarkEnd w:id="73"/>
    <w:bookmarkStart w:id="74" w:name="estabilidad"/>
    <w:p>
      <w:pPr>
        <w:pStyle w:val="Ttulo3"/>
        <w:spacing w:line="360" w:lineRule="auto"/>
        <w:jc w:val="both"/>
      </w:pPr>
      <w:r>
        <w:t xml:space="preserve">Estabilidad</w:t>
      </w:r>
    </w:p>
    <w:p>
      <w:pPr>
        <w:pStyle w:val="FirstParagraph"/>
        <w:spacing w:line="360" w:lineRule="auto"/>
        <w:jc w:val="both"/>
      </w:pPr>
      <w:r>
        <w:t xml:space="preserve">La estabilidad mide la consistencia de las explicaciones bajo</w:t>
      </w:r>
      <w:r>
        <w:t xml:space="preserve"> </w:t>
      </w:r>
      <ns1:oMath>
        <ns1:r>
          <ns1:t>T</ns1:t>
        </ns1:r>
        <ns1:r>
          <ns1:rPr>
            <ns1:sty ns1:val="p"/>
          </ns1:rPr>
          <ns1:t>=</ns1:t>
        </ns1:r>
        <ns1:r>
          <ns1:t>15</ns1:t>
        </ns1:r>
      </ns1:oMath>
      <w:r>
        <w:t xml:space="preserve"> </w:t>
      </w:r>
      <w:r>
        <w:t xml:space="preserve">perturbaciones gaussianas</w:t>
      </w:r>
      <w:r>
        <w:t xml:space="preserve"> </w:t>
      </w:r>
      <ns1:oMath>
        <ns1:sSup>
          <ns1:e>
            <ns1:r>
              <ns1:t>x</ns1:t>
            </ns1:r>
          </ns1:e>
          <ns1:sup>
            <ns1:r>
              <ns1:rPr>
                <ns1:sty ns1:val="p"/>
              </ns1:rPr>
              <ns1:t>(</ns1:t>
            </ns1:r>
            <ns1:r>
              <ns1:t>t</ns1:t>
            </ns1:r>
            <ns1:r>
              <ns1:rPr>
                <ns1:sty ns1:val="p"/>
              </ns1:rPr>
              <ns1:t>)</ns1:t>
            </ns1:r>
          </ns1:sup>
        </ns1:sSup>
        <ns1:r>
          <ns1:rPr>
            <ns1:sty ns1:val="p"/>
          </ns1:rPr>
          <ns1:t>=</ns1:t>
        </ns1:r>
        <ns1:r>
          <ns1:t>x</ns1:t>
        </ns1:r>
        <ns1:r>
          <ns1:rPr>
            <ns1:sty ns1:val="p"/>
          </ns1:rPr>
          <ns1:t>+</ns1:t>
        </ns1:r>
        <ns1:sSup>
          <ns1:e>
            <ns1:r>
              <ns1:t>ε</ns1:t>
            </ns1:r>
          </ns1:e>
          <ns1:sup>
            <ns1:r>
              <ns1:rPr>
                <ns1:sty ns1:val="p"/>
              </ns1:rPr>
              <ns1:t>(</ns1:t>
            </ns1:r>
            <ns1:r>
              <ns1:t>t</ns1:t>
            </ns1:r>
            <ns1:r>
              <ns1:rPr>
                <ns1:sty ns1:val="p"/>
              </ns1:rPr>
              <ns1:t>)</ns1:t>
            </ns1:r>
          </ns1:sup>
        </ns1:sSup>
      </ns1:oMath>
      <w:r>
        <w:t xml:space="preserve">,</w:t>
      </w:r>
      <w:r>
        <w:t xml:space="preserve"> </w:t>
      </w:r>
      <ns1:oMath>
        <ns1:sSup>
          <ns1:e>
            <ns1:r>
              <ns1:t>ε</ns1:t>
            </ns1:r>
          </ns1:e>
          <ns1:sup>
            <ns1:r>
              <ns1:rPr>
                <ns1:sty ns1:val="p"/>
              </ns1:rPr>
              <ns1:t>(</ns1:t>
            </ns1:r>
            <ns1:r>
              <ns1:t>t</ns1:t>
            </ns1:r>
            <ns1:r>
              <ns1:rPr>
                <ns1:sty ns1:val="p"/>
              </ns1:rPr>
              <ns1:t>)</ns1:t>
            </ns1:r>
          </ns1:sup>
        </ns1:sSup>
        <ns1:r>
          <ns1:rPr>
            <ns1:sty ns1:val="p"/>
          </ns1:rPr>
          <ns1:t>∼</ns1:t>
        </ns1:r>
        <ns1:r>
          <ns1:rPr>
            <ns1:scr ns1:val="script"/>
            <ns1:sty ns1:val="p"/>
          </ns1:rPr>
          <ns1:t>N</ns1:t>
        </ns1:r>
        <ns1:r>
          <ns1:rPr>
            <ns1:sty ns1:val="p"/>
          </ns1:rPr>
          <ns1:t>(</ns1:t>
        </ns1:r>
        <ns1:r>
          <ns1:t>0</ns1:t>
        </ns1:r>
        <ns1:r>
          <ns1:rPr>
            <ns1:sty ns1:val="p"/>
          </ns1:rPr>
          <ns1:t>,</ns1:t>
        </ns1:r>
        <ns1:sSup>
          <ns1:e>
            <ns1:r>
              <ns1:t>σ</ns1:t>
            </ns1:r>
          </ns1:e>
          <ns1:sup>
            <ns1:r>
              <ns1:t>2</ns1:t>
            </ns1:r>
          </ns1:sup>
        </ns1:sSup>
        <ns1:r>
          <ns1:rPr>
            <ns1:sty ns1:val="b"/>
          </ns1:rPr>
          <ns1:t>I</ns1:t>
        </ns1:r>
        <ns1:r>
          <ns1:rPr>
            <ns1:sty ns1:val="p"/>
          </ns1:rPr>
          <ns1:t>)</ns1:t>
        </ns1:r>
      </ns1:oMath>
      <w:r>
        <w:t xml:space="preserve">,</w:t>
      </w:r>
      <w:r>
        <w:t xml:space="preserve"> </w:t>
      </w:r>
      <ns1:oMath>
        <ns1:r>
          <ns1:t>σ</ns1:t>
        </ns1:r>
        <ns1:r>
          <ns1:rPr>
            <ns1:sty ns1:val="p"/>
          </ns1:rPr>
          <ns1:t>=</ns1:t>
        </ns1:r>
        <ns1:r>
          <ns1:t>0.1</ns1:t>
        </ns1:r>
      </ns1:oMath>
      <w:r>
        <w:t xml:space="preserve">:</w:t>
      </w:r>
    </w:p>
    <w:p>
      <w:pPr>
        <w:pStyle w:val="Textoindependiente"/>
        <w:spacing w:line="360" w:lineRule="auto"/>
        <w:jc w:val="both"/>
      </w:pPr>
      <ns1:oMathPara>
        <ns1:oMathParaPr>
          <ns1:jc ns1:val="center"/>
        </ns1:oMathParaPr>
        <ns1:oMath>
          <ns1:r>
            <ns1:t>S</ns1:t>
          </ns1:r>
          <ns1:r>
            <ns1:rPr>
              <ns1:sty ns1:val="p"/>
            </ns1:rPr>
            <ns1:t>=</ns1:t>
          </ns1:r>
          <ns1:f>
            <ns1:fPr>
              <ns1:type ns1:val="bar"/>
            </ns1:fPr>
            <ns1:num>
              <ns1:r>
                <ns1:t>2</ns1:t>
              </ns1:r>
            </ns1:num>
            <ns1:den>
              <ns1:r>
                <ns1:t>T</ns1:t>
              </ns1:r>
              <ns1:r>
                <ns1:rPr>
                  <ns1:sty ns1:val="p"/>
                </ns1:rPr>
                <ns1:t>(</ns1:t>
              </ns1:r>
              <ns1:r>
                <ns1:t>T</ns1:t>
              </ns1:r>
              <ns1:r>
                <ns1:rPr>
                  <ns1:sty ns1:val="p"/>
                </ns1:rPr>
                <ns1:t>−</ns1:t>
              </ns1:r>
              <ns1:r>
                <ns1:t>1</ns1:t>
              </ns1:r>
              <ns1:r>
                <ns1:rPr>
                  <ns1:sty ns1:val="p"/>
                </ns1:rPr>
                <ns1:t>)</ns1:t>
              </ns1:r>
            </ns1:den>
          </ns1:f>
          <ns1:nary>
            <ns1:naryPr>
              <ns1:chr ns1:val="∑"/>
              <ns1:limLoc ns1:val="undOvr"/>
              <ns1:subHide ns1:val="off"/>
              <ns1:supHide ns1:val="on"/>
            </ns1:naryPr>
            <ns1:sub>
              <ns1:r>
                <ns1:t>a</ns1:t>
              </ns1:r>
              <ns1:r>
                <ns1:rPr>
                  <ns1:sty ns1:val="p"/>
                </ns1:rPr>
                <ns1:t>&lt;</ns1:t>
              </ns1:r>
              <ns1:r>
                <ns1:t>b</ns1:t>
              </ns1:r>
            </ns1:sub>
            <ns1:sup>
              <ns1:r>
                <ns1:t>​</ns1:t>
              </ns1:r>
            </ns1:sup>
            <ns1:e>
              <ns1:r>
                <ns1:rPr>
                  <ns1:sty ns1:val="p"/>
                </ns1:rPr>
                <ns1:t>cos</ns1:t>
              </ns1:r>
            </ns1:e>
          </ns1:nary>
          <ns1:r>
            <ns1:t>​</ns1:t>
          </ns1:r>
          <ns1:d>
            <ns1:dPr>
              <ns1:begChr ns1:val="("/>
              <ns1:sepChr ns1:val=""/>
              <ns1:endChr ns1:val=")"/>
              <ns1:grow/>
            </ns1:dPr>
            <ns1:e>
              <ns1:sSup>
                <ns1:e>
                  <ns1:r>
                    <ns1:t>e</ns1:t>
                  </ns1:r>
                </ns1:e>
                <ns1:sup>
                  <ns1:r>
                    <ns1:rPr>
                      <ns1:sty ns1:val="p"/>
                    </ns1:rPr>
                    <ns1:t>(</ns1:t>
                  </ns1:r>
                  <ns1:r>
                    <ns1:t>a</ns1:t>
                  </ns1:r>
                  <ns1:r>
                    <ns1:rPr>
                      <ns1:sty ns1:val="p"/>
                    </ns1:rPr>
                    <ns1:t>)</ns1:t>
                  </ns1:r>
                </ns1:sup>
              </ns1:sSup>
              <ns1:r>
                <ns1:rPr>
                  <ns1:sty ns1:val="p"/>
                </ns1:rPr>
                <ns1:t>,</ns1:t>
              </ns1:r>
              <ns1:r>
                <ns1:t> </ns1:t>
              </ns1:r>
              <ns1:sSup>
                <ns1:e>
                  <ns1:r>
                    <ns1:t>e</ns1:t>
                  </ns1:r>
                </ns1:e>
                <ns1:sup>
                  <ns1:r>
                    <ns1:rPr>
                      <ns1:sty ns1:val="p"/>
                    </ns1:rPr>
                    <ns1:t>(</ns1:t>
                  </ns1:r>
                  <ns1:r>
                    <ns1:t>b</ns1:t>
                  </ns1:r>
                  <ns1:r>
                    <ns1:rPr>
                      <ns1:sty ns1:val="p"/>
                    </ns1:rPr>
                    <ns1:t>)</ns1:t>
                  </ns1:r>
                </ns1:sup>
              </ns1:sSup>
            </ns1:e>
          </ns1:d>
        </ns1:oMath>
      </ns1:oMathPara>
    </w:p>
    <w:p>
      <w:pPr>
        <w:pStyle w:val="FirstParagraph"/>
        <w:spacing w:line="360" w:lineRule="auto"/>
        <w:jc w:val="both"/>
      </w:pPr>
      <w:r>
        <w:t xml:space="preserve">Con</w:t>
      </w:r>
      <w:r>
        <w:t xml:space="preserve"> </w:t>
      </w:r>
      <ns1:oMath>
        <ns1:r>
          <ns1:t>T</ns1:t>
        </ns1:r>
        <ns1:r>
          <ns1:rPr>
            <ns1:sty ns1:val="p"/>
          </ns1:rPr>
          <ns1:t>=</ns1:t>
        </ns1:r>
        <ns1:r>
          <ns1:t>15</ns1:t>
        </ns1:r>
      </ns1:oMath>
      <w:r>
        <w:t xml:space="preserve"> </w:t>
      </w:r>
      <w:r>
        <w:t xml:space="preserve">se forman</w:t>
      </w:r>
      <w:r>
        <w:t xml:space="preserve"> </w:t>
      </w:r>
      <ns1:oMath>
        <ns1:d>
          <ns1:dPr>
            <ns1:begChr ns1:val="("/>
            <ns1:sepChr ns1:val=""/>
            <ns1:endChr ns1:val=")"/>
            <ns1:grow/>
          </ns1:dPr>
          <ns1:e>
            <ns1:f>
              <ns1:fPr>
                <ns1:type ns1:val="noBar"/>
              </ns1:fPr>
              <ns1:num>
                <ns1:r>
                  <ns1:t>15</ns1:t>
                </ns1:r>
              </ns1:num>
              <ns1:den>
                <ns1:r>
                  <ns1:t>2</ns1:t>
                </ns1:r>
              </ns1:den>
            </ns1:f>
          </ns1:e>
        </ns1:d>
        <ns1:r>
          <ns1:rPr>
            <ns1:sty ns1:val="p"/>
          </ns1:rPr>
          <ns1:t>=</ns1:t>
        </ns1:r>
        <ns1:r>
          <ns1:t>105</ns1:t>
        </ns1:r>
      </ns1:oMath>
      <w:r>
        <w:t xml:space="preserve"> </w:t>
      </w:r>
      <w:r>
        <w:t xml:space="preserve">pares por instancia.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src/metrics/stability.py</w:t>
      </w:r>
      <w:r>
        <w:t xml:space="preserve">.</w:t>
      </w:r>
    </w:p>
    <w:bookmarkEnd w:id="74"/>
    <w:bookmarkStart w:id="75" w:name="parsimonia"/>
    <w:p>
      <w:pPr>
        <w:pStyle w:val="Ttulo3"/>
        <w:spacing w:line="360" w:lineRule="auto"/>
        <w:jc w:val="both"/>
      </w:pPr>
      <w:r>
        <w:t xml:space="preserve">Parsimonia</w:t>
      </w:r>
    </w:p>
    <w:p>
      <w:pPr>
        <w:pStyle w:val="FirstParagraph"/>
        <w:spacing w:line="360" w:lineRule="auto"/>
        <w:jc w:val="both"/>
      </w:pPr>
      <w:r>
        <w:t xml:space="preserve">La parsimonia cuantifica la proporción de características activas</w:t>
      </w:r>
      <w:r>
        <w:t xml:space="preserve"> </w:t>
      </w:r>
      <w:r>
        <w:t xml:space="preserve">(</w:t>
      </w:r>
      <ns1:oMath>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sSup>
          <ns1:e>
            <ns1:r>
              <ns1:t>10</ns1:t>
            </ns1:r>
          </ns1:e>
          <ns1:sup>
            <ns1:r>
              <ns1:rPr>
                <ns1:sty ns1:val="p"/>
              </ns1:rPr>
              <ns1:t>−</ns1:t>
            </ns1:r>
            <ns1:r>
              <ns1:t>4</ns1:t>
            </ns1:r>
          </ns1:sup>
        </ns1:sSup>
      </ns1:oMath>
      <w:r>
        <w:t xml:space="preserve">) sobre el total de características transformadas:</w:t>
      </w:r>
    </w:p>
    <w:p>
      <w:pPr>
        <w:pStyle w:val="Textoindependiente"/>
        <w:spacing w:line="360" w:lineRule="auto"/>
        <w:jc w:val="both"/>
      </w:pPr>
      <ns1:oMathPara>
        <ns1:oMathParaPr>
          <ns1:jc ns1:val="center"/>
        </ns1:oMathParaPr>
        <ns1:oMath>
          <ns1:r>
            <ns1:t>P</ns1:t>
          </ns1:r>
          <ns1:r>
            <ns1:rPr>
              <ns1:sty ns1:val="p"/>
            </ns1:rPr>
            <ns1:t>=</ns1:t>
          </ns1:r>
          <ns1:f>
            <ns1:fPr>
              <ns1:type ns1:val="bar"/>
            </ns1:fPr>
            <ns1:num>
              <ns1:r>
                <ns1:rPr>
                  <ns1:sty ns1:val="p"/>
                </ns1:rPr>
                <ns1:t>#</ns1:t>
              </ns1:r>
              <ns1:r>
                <ns1:rPr>
                  <ns1:sty ns1:val="p"/>
                </ns1:rPr>
                <ns1:t>{</ns1:t>
              </ns1:r>
              <ns1:r>
                <ns1:t>i</ns1:t>
              </ns1:r>
              <ns1:r>
                <ns1:rPr>
                  <ns1:sty ns1:val="p"/>
                </ns1:rPr>
                <ns1:t>:</ns1:t>
              </ns1:r>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num>
            <ns1:den>
              <ns1:r>
                <ns1:rPr>
                  <ns1:sty ns1:val="p"/>
                </ns1:rPr>
                <ns1:t>|</ns1:t>
              </ns1:r>
              <ns1:r>
                <ns1:rPr>
                  <ns1:scr ns1:val="script"/>
                  <ns1:sty ns1:val="p"/>
                </ns1:rPr>
                <ns1:t>F</ns1:t>
              </ns1:r>
              <ns1:r>
                <ns1:rPr>
                  <ns1:sty ns1:val="p"/>
                </ns1:rPr>
                <ns1:t>|</ns1:t>
              </ns1:r>
            </ns1:den>
          </ns1:f>
        </ns1:oMath>
      </ns1:oMathPara>
    </w:p>
    <w:p>
      <w:pPr>
        <w:pStyle w:val="FirstParagraph"/>
        <w:spacing w:line="360" w:lineRule="auto"/>
        <w:jc w:val="both"/>
      </w:pPr>
      <w:r>
        <w:t xml:space="preserve">Un valor bajo indica mayor concisión. Dirección:</w:t>
      </w:r>
      <w:r>
        <w:t xml:space="preserve"> </w:t>
      </w:r>
      <ns1:oMath>
        <ns1:r>
          <ns1:rPr>
            <ns1:sty ns1:val="p"/>
          </ns1:rPr>
          <ns1:t>↓</ns1:t>
        </ns1:r>
      </ns1:oMath>
      <w:r>
        <w:t xml:space="preserve">.</w:t>
      </w:r>
      <w:r>
        <w:t xml:space="preserve"> </w:t>
      </w:r>
      <w:r>
        <w:t xml:space="preserve">Implementación:</w:t>
      </w:r>
      <w:r>
        <w:t xml:space="preserve"> </w:t>
      </w:r>
      <w:r>
        <w:rPr>
          <w:rStyle w:val="VerbatimChar"/>
        </w:rPr>
        <w:t xml:space="preserve">src/metrics/sparsity.py</w:t>
      </w:r>
      <w:r>
        <w:t xml:space="preserve">.</w:t>
      </w:r>
    </w:p>
    <w:bookmarkEnd w:id="75"/>
    <w:bookmarkStart w:id="76" w:name="brecha-de-fidelidad"/>
    <w:p>
      <w:pPr>
        <w:pStyle w:val="Ttulo3"/>
        <w:spacing w:line="360" w:lineRule="auto"/>
        <w:jc w:val="both"/>
      </w:pPr>
      <w:r>
        <w:t xml:space="preserve">Brecha de fidelidad</w:t>
      </w:r>
    </w:p>
    <w:p>
      <w:pPr>
        <w:pStyle w:val="FirstParagraph"/>
        <w:spacing w:line="360" w:lineRule="auto"/>
        <w:jc w:val="both"/>
      </w:pPr>
      <w:r>
        <w:t xml:space="preserve">La brecha de fidelidad cuantifica el cambio en la salida del modelo al</w:t>
      </w:r>
      <w:r>
        <w:t xml:space="preserve"> </w:t>
      </w:r>
      <w:r>
        <w:t xml:space="preserve">enmascarar las</w:t>
      </w:r>
      <w:r>
        <w:t xml:space="preserve"> </w:t>
      </w:r>
      <ns1:oMath>
        <ns1:r>
          <ns1:t>k</ns1:t>
        </ns1:r>
        <ns1:r>
          <ns1:rPr>
            <ns1:sty ns1:val="p"/>
          </ns1:rPr>
          <ns1:t>=</ns1:t>
        </ns1:r>
        <ns1:r>
          <ns1:t>5</ns1:t>
        </ns1:r>
      </ns1:oMath>
      <w:r>
        <w:t xml:space="preserve"> </w:t>
      </w:r>
      <w:r>
        <w:t xml:space="preserve">características de mayor importancia:</w:t>
      </w:r>
    </w:p>
    <w:p>
      <w:pPr>
        <w:pStyle w:val="Textoindependiente"/>
        <w:spacing w:line="360" w:lineRule="auto"/>
        <w:jc w:val="both"/>
      </w:pPr>
      <ns1:oMathPara>
        <ns1:oMathParaPr>
          <ns1:jc ns1:val="center"/>
        </ns1:oMathParaPr>
        <ns1:oMath>
          <ns1:sSub>
            <ns1:e>
              <ns1:r>
                <ns1:rPr>
                  <ns1:sty ns1:val="p"/>
                </ns1:rPr>
                <ns1:t>Δ</ns1:t>
              </ns1:r>
            </ns1:e>
            <ns1:sub>
              <ns1:r>
                <ns1:t>k</ns1:t>
              </ns1:r>
            </ns1:sub>
          </ns1:sSub>
          <ns1:r>
            <ns1:rPr>
              <ns1:sty ns1:val="p"/>
            </ns1:rPr>
            <ns1:t>=</ns1:t>
          </ns1:r>
          <ns1:d>
            <ns1:dPr>
              <ns1:begChr ns1:val="|"/>
              <ns1:sepChr ns1:val=""/>
              <ns1:endChr ns1:val="|"/>
              <ns1:grow/>
            </ns1:dPr>
            <ns1:e>
              <ns1:r>
                <ns1:t>f</ns1:t>
              </ns1:r>
              <ns1:r>
                <ns1:rPr>
                  <ns1:sty ns1:val="p"/>
                </ns1:rPr>
                <ns1:t>(</ns1:t>
              </ns1:r>
              <ns1:r>
                <ns1:t>x</ns1:t>
              </ns1:r>
              <ns1:r>
                <ns1:rPr>
                  <ns1:sty ns1:val="p"/>
                </ns1:rPr>
                <ns1:t>)</ns1:t>
              </ns1:r>
              <ns1:r>
                <ns1:rPr>
                  <ns1:sty ns1:val="p"/>
                </ns1:rPr>
                <ns1:t>−</ns1:t>
              </ns1:r>
              <ns1:r>
                <ns1:t>f</ns1:t>
              </ns1:r>
              <ns1:r>
                <ns1:t>​</ns1:t>
              </ns1:r>
              <ns1:d>
                <ns1:dPr>
                  <ns1:begChr ns1:val="("/>
                  <ns1:sepChr ns1:val=""/>
                  <ns1:endChr ns1:val=")"/>
                  <ns1:grow/>
                </ns1:dPr>
                <ns1:e>
                  <ns1:sSub>
                    <ns1:e>
                      <ns1:r>
                        <ns1:t>x</ns1:t>
                      </ns1:r>
                    </ns1:e>
                    <ns1:sub>
                      <ns1:r>
                        <ns1:rPr>
                          <ns1:nor/>
                          <ns1:sty ns1:val="p"/>
                        </ns1:rPr>
                        <ns1:t>mask-top-</ns1:t>
                      </ns1:r>
                      <ns1:r>
                        <ns1:t>k</ns1:t>
                      </ns1:r>
                    </ns1:sub>
                  </ns1:sSub>
                </ns1:e>
              </ns1:d>
            </ns1:e>
          </ns1:d>
        </ns1:oMath>
      </ns1:oMathPara>
    </w:p>
    <w:p>
      <w:pPr>
        <w:pStyle w:val="FirstParagraph"/>
        <w:spacing w:line="360" w:lineRule="auto"/>
        <w:jc w:val="both"/>
      </w:pPr>
      <w:r>
        <w:t xml:space="preserve">donde</w:t>
      </w:r>
      <w:r>
        <w:t xml:space="preserve"> </w:t>
      </w:r>
      <ns1:oMath>
        <ns1:r>
          <ns1:t>f</ns1:t>
        </ns1:r>
        <ns1:r>
          <ns1:rPr>
            <ns1:sty ns1:val="p"/>
          </ns1:rPr>
          <ns1:t>(</ns1:t>
        </ns1:r>
        <ns1:r>
          <ns1:rPr>
            <ns1:sty ns1:val="p"/>
          </ns1:rPr>
          <ns1:t>⋅</ns1:t>
        </ns1:r>
        <ns1:r>
          <ns1:rPr>
            <ns1:sty ns1:val="p"/>
          </ns1:rPr>
          <ns1:t>)</ns1:t>
        </ns1:r>
      </ns1:oMath>
      <w:r>
        <w:t xml:space="preserve"> </w:t>
      </w:r>
      <w:r>
        <w:t xml:space="preserve">devuelve la probabilidad de la clase positiva.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src/metrics/faithfulness.py</w:t>
      </w:r>
      <w:r>
        <w:t xml:space="preserve">.</w:t>
      </w:r>
    </w:p>
    <w:bookmarkEnd w:id="76"/>
    <w:bookmarkStart w:id="77" w:name="coste-computacional"/>
    <w:p>
      <w:pPr>
        <w:pStyle w:val="Ttulo3"/>
        <w:spacing w:line="360" w:lineRule="auto"/>
        <w:jc w:val="both"/>
      </w:pPr>
      <w:r>
        <w:t xml:space="preserve">Coste computacional</w:t>
      </w:r>
    </w:p>
    <w:p>
      <w:pPr>
        <w:pStyle w:val="FirstParagraph"/>
        <w:spacing w:line="360" w:lineRule="auto"/>
        <w:jc w:val="both"/>
      </w:pPr>
      <w:r>
        <w:t xml:space="preserve">El coste (</w:t>
      </w:r>
      <ns1:oMath>
        <ns1:r>
          <ns1:t>C</ns1:t>
        </ns1:r>
      </ns1: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ns1:oMath>
        <ns1:r>
          <ns1:rPr>
            <ns1:sty ns1:val="p"/>
          </ns1:rPr>
          <ns1:t>↓</ns1:t>
        </ns1:r>
      </ns1:oMath>
      <w:r>
        <w:t xml:space="preserve">.</w:t>
      </w:r>
    </w:p>
    <w:bookmarkEnd w:id="77"/>
    <w:bookmarkStart w:id="79" w:name="resumen-de-métricas-primarias"/>
    <w:p>
      <w:pPr>
        <w:pStyle w:val="Ttulo3"/>
        <w:spacing w:line="360" w:lineRule="auto"/>
        <w:jc w:val="both"/>
      </w:pPr>
      <w:r>
        <w:t xml:space="preserve">Resumen de métricas primarias</w:t>
      </w:r>
    </w:p>
    <w:tbl>
      <w:tblPr>
        <w:tblStyle w:val="Table"/>
        <w:tblW w:type="pct" w:w="5000"/>
        <w:tblLayout w:type="fixed"/>
        <w:tblLook w:firstRow="0" w:lastRow="0" w:firstColumn="0" w:lastColumn="0" w:noHBand="0" w:noVBand="0" w:val="0000"/>
      </w:tblPr>
      <w:tblGrid>
        <w:gridCol w:w="7920"/>
      </w:tblGrid>
      <w:tr>
        <w:tc>
          <w:tcPr/>
          <w:bookmarkStart w:id="78" w:name="tbl-metrics"/>
          <w:p>
            <w:pPr>
              <w:jc w:val="both"/>
              <w:spacing w:line="360" w:lineRule="auto"/>
            </w:pPr>
            <w:pPr>
              <w:jc w:val="left"/>
              <w:spacing w:before="200"/>
              <w:pStyle w:val="ImageCaption"/>
            </w:pPr>
            <w:r>
              <w:t xml:space="preserve">Table 4.2: Métricas primarias del benchmark con unidades y direcciones.</w:t>
            </w: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Símbolo</w:t>
                  </w:r>
                </w:p>
              </w:tc>
              <w:tc>
                <w:tcPr/>
                <w:p>
                  <w:pPr>
                    <w:pStyle w:val="Compact"/>
                    <w:jc w:val="both"/>
                    <w:jc w:val="center"/>
                    <w:spacing w:line="360" w:lineRule="auto"/>
                  </w:pPr>
                  <w:r>
                    <w:t xml:space="preserve">Unidad</w:t>
                  </w:r>
                </w:p>
              </w:tc>
              <w:tc>
                <w:tcPr/>
                <w:p>
                  <w:pPr>
                    <w:pStyle w:val="Compact"/>
                    <w:jc w:val="both"/>
                    <w:jc w:val="center"/>
                    <w:spacing w:line="360" w:lineRule="auto"/>
                  </w:pPr>
                  <w:r>
                    <w:t xml:space="preserve">Dirección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t>F</ns1:t>
                    </ns1:r>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t>S</ns1:t>
                    </ns1:r>
                  </ns1:oMath>
                </w:p>
              </w:tc>
              <w:tc>
                <w:tcPr/>
                <w:p>
                  <w:pPr>
                    <w:pStyle w:val="Compact"/>
                    <w:jc w:val="both"/>
                    <w:jc w:val="center"/>
                    <w:spacing w:line="360" w:lineRule="auto"/>
                  </w:pPr>
                  <w:r>
                    <w:t xml:space="preserve">similitud coseno</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t>P</ns1:t>
                    </ns1:r>
                  </ns1:oMath>
                </w:p>
              </w:tc>
              <w:tc>
                <w:tcPr/>
                <w:p>
                  <w:pPr>
                    <w:pStyle w:val="Compact"/>
                    <w:jc w:val="both"/>
                    <w:jc w:val="center"/>
                    <w:spacing w:line="360" w:lineRule="auto"/>
                  </w:pPr>
                  <w:r>
                    <w:t xml:space="preserve">proporción activa</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Brecha de fidelidad</w:t>
                  </w:r>
                </w:p>
              </w:tc>
              <w:tc>
                <w:tcPr/>
                <w:p>
                  <w:pPr>
                    <w:pStyle w:val="Compact"/>
                    <w:jc w:val="both"/>
                    <w:jc w:val="center"/>
                    <w:spacing w:line="360" w:lineRule="auto"/>
                  </w:pPr>
                  <ns1:oMath>
                    <ns1:sSub>
                      <ns1:e>
                        <ns1:r>
                          <ns1:rPr>
                            <ns1:sty ns1:val="p"/>
                          </ns1:rPr>
                          <ns1:t>Δ</ns1:t>
                        </ns1:r>
                      </ns1:e>
                      <ns1:sub>
                        <ns1:r>
                          <ns1:t>k</ns1:t>
                        </ns1:r>
                      </ns1:sub>
                    </ns1:sSub>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Coste computacional</w:t>
                  </w:r>
                </w:p>
              </w:tc>
              <w:tc>
                <w:tcPr/>
                <w:p>
                  <w:pPr>
                    <w:pStyle w:val="Compact"/>
                    <w:jc w:val="both"/>
                    <w:jc w:val="center"/>
                    <w:spacing w:line="360" w:lineRule="auto"/>
                  </w:pPr>
                  <ns1:oMath>
                    <ns1:r>
                      <ns1:t>C</ns1:t>
                    </ns1:r>
                  </ns1:oMath>
                </w:p>
              </w:tc>
              <w:tc>
                <w:tcPr/>
                <w:p>
                  <w:pPr>
                    <w:pStyle w:val="Compact"/>
                    <w:jc w:val="both"/>
                    <w:jc w:val="center"/>
                    <w:spacing w:line="360" w:lineRule="auto"/>
                  </w:pPr>
                  <w:r>
                    <w:t xml:space="preserve">ms/instancia</w:t>
                  </w:r>
                </w:p>
              </w:tc>
              <w:tc>
                <w:tcPr/>
                <w:p>
                  <w:pPr>
                    <w:pStyle w:val="Compact"/>
                    <w:jc w:val="both"/>
                    <w:jc w:val="center"/>
                    <w:spacing w:line="360" w:lineRule="auto"/>
                  </w:pPr>
                  <ns1:oMath>
                    <ns1:r>
                      <ns1:rPr>
                        <ns1:sty ns1:val="p"/>
                      </ns1:rPr>
                      <ns1:t>↓</ns1:t>
                    </ns1:r>
                  </ns1:oMath>
                </w:p>
              </w:tc>
            </w:tr>
          </w:tbl>
          <w:bookmarkEnd w:id="78"/>
          <w:p>
            <w:pPr>
              <w:spacing w:line="360" w:lineRule="auto"/>
              <w:jc w:val="both"/>
            </w:pPr>
          </w:p>
        </w:tc>
      </w:tr>
    </w:tbl>
    <w:bookmarkEnd w:id="79"/>
    <w:bookmarkEnd w:id="80"/>
    <w:bookmarkStart w:id="82" w:name="protocolo-de-operación-fom-7"/>
    <w:p>
      <w:pPr>
        <w:pStyle w:val="Ttulo2"/>
        <w:spacing w:line="360" w:lineRule="auto"/>
        <w:jc w:val="both"/>
      </w:pPr>
      <w:r>
        <w:t xml:space="preserve">Protocolo de operación FOM-7</w:t>
      </w:r>
    </w:p>
    <w:p>
      <w:pPr>
        <w:pStyle w:val="FirstParagraph"/>
        <w:spacing w:line="360" w:lineRule="auto"/>
        <w:jc w:val="bot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spacing w:line="360" w:lineRule="auto"/>
        <w:jc w:val="both"/>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spacing w:line="360" w:lineRule="auto"/>
        <w:jc w:val="both"/>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spacing w:line="360" w:lineRule="auto"/>
        <w:jc w:val="both"/>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 Esta decisión descarta</w:t>
      </w:r>
      <w:r>
        <w:t xml:space="preserve"> </w:t>
      </w:r>
      <w:r>
        <w:t xml:space="preserve">deliberadamente las estrategias de imputación habituales en presencia de datos</w:t>
      </w:r>
      <w:r>
        <w:t xml:space="preserve"> </w:t>
      </w:r>
      <w:r>
        <w:t xml:space="preserve">faltantes</w:t>
      </w:r>
      <w:r>
        <w:t xml:space="preserve"> </w:t>
      </w:r>
      <w:r>
        <w:t xml:space="preserve">(Adhikari 2022)</w:t>
      </w:r>
      <w:r>
        <w:t xml:space="preserve">: imputar una métrica de calidad equivaldría a fabricar</w:t>
      </w:r>
      <w:r>
        <w:t xml:space="preserve"> </w:t>
      </w:r>
      <w:r>
        <w:t xml:space="preserve">evidencia sobre el comportamiento de un explicador que no llegó a ejecutarse, de</w:t>
      </w:r>
      <w:r>
        <w:t xml:space="preserve"> </w:t>
      </w:r>
      <w:r>
        <w:t xml:space="preserve">modo que la cobertura reducida se declara y se cuantifica (Sección 3.7) en lugar</w:t>
      </w:r>
      <w:r>
        <w:t xml:space="preserve"> </w:t>
      </w:r>
      <w:r>
        <w:t xml:space="preserve">de completarse.</w:t>
      </w:r>
    </w:p>
    <w:p>
      <w:pPr>
        <w:pStyle w:val="Textoindependiente"/>
        <w:spacing w:line="360" w:lineRule="auto"/>
        <w:jc w:val="both"/>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spacing w:line="360" w:lineRule="auto"/>
        <w:jc w:val="both"/>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spacing w:line="360" w:lineRule="auto"/>
        <w:jc w:val="both"/>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spacing w:line="360" w:lineRule="auto"/>
        <w:jc w:val="both"/>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spacing w:line="360" w:lineRule="auto"/>
        <w:jc w:val="both"/>
      </w:pPr>
      <w:r>
        <w:t xml:space="preserve">El flujo compacto del protocolo es:</w:t>
      </w:r>
    </w:p>
    <w:p>
      <w:pPr>
        <w:pStyle w:val="Textoindependiente"/>
        <w:spacing w:line="360" w:lineRule="auto"/>
        <w:jc w:val="both"/>
      </w:pPr>
      <ns1:oMathPara>
        <ns1:oMathParaPr>
          <ns1:jc ns1:val="center"/>
        </ns1:oMathParaPr>
        <ns1:oMath>
          <ns1:r>
            <ns1:rPr>
              <ns1:nor/>
              <ns1:sty ns1:val="p"/>
            </ns1:rPr>
            <ns1:t>Congelación</ns1:t>
          </ns1:r>
          <ns1:r>
            <ns1:rPr>
              <ns1:sty ns1:val="p"/>
            </ns1:rPr>
            <ns1:t>→</ns1:t>
          </ns1:r>
          <ns1:r>
            <ns1:rPr>
              <ns1:nor/>
              <ns1:sty ns1:val="p"/>
            </ns1:rPr>
            <ns1:t>Ejecución</ns1:t>
          </ns1:r>
          <ns1:r>
            <ns1:rPr>
              <ns1:sty ns1:val="p"/>
            </ns1:rPr>
            <ns1:t>→</ns1:t>
          </ns1:r>
          <ns1:r>
            <ns1:rPr>
              <ns1:nor/>
              <ns1:sty ns1:val="p"/>
            </ns1:rPr>
            <ns1:t>Auditoría</ns1:t>
          </ns1:r>
          <ns1:r>
            <ns1:rPr>
              <ns1:sty ns1:val="p"/>
            </ns1:rPr>
            <ns1:t>→</ns1:t>
          </ns1:r>
          <ns1:r>
            <ns1:rPr>
              <ns1:nor/>
              <ns1:sty ns1:val="p"/>
            </ns1:rPr>
            <ns1:t>Armonización</ns1:t>
          </ns1:r>
          <ns1:r>
            <ns1:rPr>
              <ns1:sty ns1:val="p"/>
            </ns1:rPr>
            <ns1:t>→</ns1:t>
          </ns1:r>
          <ns1:r>
            <ns1:rPr>
              <ns1:nor/>
              <ns1:sty ns1:val="p"/>
            </ns1:rPr>
            <ns1:t>Exportación</ns1:t>
          </ns1:r>
          <ns1:r>
            <ns1:rPr>
              <ns1:sty ns1:val="p"/>
            </ns1:rPr>
            <ns1:t>→</ns1:t>
          </ns1:r>
          <ns1:r>
            <ns1:rPr>
              <ns1:nor/>
              <ns1:sty ns1:val="p"/>
            </ns1:rPr>
            <ns1:t>Perfilado</ns1:t>
          </ns1:r>
          <ns1:r>
            <ns1:rPr>
              <ns1:sty ns1:val="p"/>
            </ns1:rPr>
            <ns1:t>→</ns1:t>
          </ns1:r>
          <ns1:r>
            <ns1:rPr>
              <ns1:nor/>
              <ns1:sty ns1:val="p"/>
            </ns1:rPr>
            <ns1:t>Reporte</ns1:t>
          </ns1:r>
        </ns1:oMath>
      </ns1:oMathPara>
    </w:p>
    <w:p>
      <w:pPr>
        <w:pStyle w:val="FirstParagraph"/>
        <w:spacing w:line="360" w:lineRule="auto"/>
        <w:jc w:val="both"/>
      </w:pPr>
      <w:r>
        <w:t xml:space="preserve">La Tabla</w:t>
      </w:r>
      <w:r>
        <w:t xml:space="preserve"> </w:t>
      </w:r>
      <w:hyperlink w:anchor="tbl-fom7-gates">
        <w:r>
          <w:rPr>
            <w:rStyle w:val="Hipervnculo"/>
          </w:rPr>
          <w:t xml:space="preserve">Table 4.3</w:t>
        </w:r>
      </w:hyperlink>
      <w:r>
        <w:t xml:space="preserve"> </w:t>
      </w:r>
      <w:r>
        <w:t xml:space="preserve">resume la función de gobierno de cada puerta. La</w:t>
      </w:r>
      <w:r>
        <w:t xml:space="preserve"> </w:t>
      </w:r>
      <w:r>
        <w:t xml:space="preserve">tabla explicita qué entra, qué sale y qué modo de fallo queda controlado, de</w:t>
      </w:r>
      <w:r>
        <w:t xml:space="preserve"> </w:t>
      </w:r>
      <w:r>
        <w:t xml:space="preserve">modo que FOM-7 pueda auditarse como protocolo y no solo como narración</w:t>
      </w:r>
      <w:r>
        <w:t xml:space="preserve"> </w:t>
      </w:r>
      <w:r>
        <w:t xml:space="preserve">metodológica.</w:t>
      </w:r>
    </w:p>
    <w:tbl>
      <w:tblPr>
        <w:tblStyle w:val="Table"/>
        <w:tblW w:type="pct" w:w="5000"/>
        <w:tblLayout w:type="fixed"/>
        <w:tblLook w:firstRow="0" w:lastRow="0" w:firstColumn="0" w:lastColumn="0" w:noHBand="0" w:noVBand="0" w:val="0000"/>
      </w:tblPr>
      <w:tblGrid>
        <w:gridCol w:w="7920"/>
      </w:tblGrid>
      <w:tr>
        <w:tc>
          <w:tcPr/>
          <w:bookmarkStart w:id="81" w:name="tbl-fom7-gates"/>
          <w:p>
            <w:pPr>
              <w:jc w:val="both"/>
              <w:spacing w:line="360" w:lineRule="auto"/>
            </w:pPr>
            <w:pPr>
              <w:jc w:val="left"/>
              <w:spacing w:before="200"/>
              <w:pStyle w:val="ImageCaption"/>
            </w:pPr>
            <w:r>
              <w:t xml:space="preserve">Table 4.3: Puertas FOM-7, artefactos y modos de fallo controlados.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Puerta</w:t>
                  </w:r>
                </w:p>
              </w:tc>
              <w:tc>
                <w:tcPr/>
                <w:p>
                  <w:pPr>
                    <w:pStyle w:val="Compact"/>
                    <w:jc w:val="both"/>
                    <w:jc w:val="center"/>
                    <w:spacing w:line="360" w:lineRule="auto"/>
                  </w:pPr>
                  <w:r>
                    <w:t xml:space="preserve">Propósito</w:t>
                  </w:r>
                </w:p>
              </w:tc>
              <w:tc>
                <w:tcPr/>
                <w:p>
                  <w:pPr>
                    <w:pStyle w:val="Compact"/>
                    <w:jc w:val="both"/>
                    <w:jc w:val="center"/>
                    <w:spacing w:line="360" w:lineRule="auto"/>
                  </w:pPr>
                  <w:r>
                    <w:t xml:space="preserve">Artefacto de entrada</w:t>
                  </w:r>
                </w:p>
              </w:tc>
              <w:tc>
                <w:tcPr/>
                <w:p>
                  <w:pPr>
                    <w:pStyle w:val="Compact"/>
                    <w:jc w:val="both"/>
                    <w:jc w:val="center"/>
                    <w:spacing w:line="360" w:lineRule="auto"/>
                  </w:pPr>
                  <w:r>
                    <w:t xml:space="preserve">Artefacto de salida</w:t>
                  </w:r>
                </w:p>
              </w:tc>
              <w:tc>
                <w:tcPr/>
                <w:p>
                  <w:pPr>
                    <w:pStyle w:val="Compact"/>
                    <w:jc w:val="both"/>
                    <w:jc w:val="center"/>
                    <w:spacing w:line="360" w:lineRule="auto"/>
                  </w:pPr>
                  <w:r>
                    <w:t xml:space="preserve">Fallo controlado</w:t>
                  </w:r>
                </w:p>
              </w:tc>
              <w:tc>
                <w:tcPr/>
                <w:p>
                  <w:pPr>
                    <w:pStyle w:val="Compact"/>
                    <w:jc w:val="both"/>
                    <w:jc w:val="center"/>
                    <w:spacing w:line="360" w:lineRule="auto"/>
                  </w:pPr>
                  <w:r>
                    <w:t xml:space="preserve">Evidencia</w:t>
                  </w:r>
                </w:p>
              </w:tc>
            </w:tr>
            <w:tr>
              <w:tc>
                <w:tcPr/>
                <w:p>
                  <w:pPr>
                    <w:pStyle w:val="Compact"/>
                    <w:jc w:val="both"/>
                    <w:jc w:val="center"/>
                    <w:spacing w:line="360" w:lineRule="auto"/>
                  </w:pPr>
                  <w:r>
                    <w:t xml:space="preserve">1. Congelación</w:t>
                  </w:r>
                </w:p>
              </w:tc>
              <w:tc>
                <w:tcPr/>
                <w:p>
                  <w:pPr>
                    <w:pStyle w:val="Compact"/>
                    <w:jc w:val="both"/>
                    <w:jc w:val="center"/>
                    <w:spacing w:line="360" w:lineRule="auto"/>
                  </w:pPr>
                  <w:r>
                    <w:t xml:space="preserve">Fijar diseño, versiones y plan inferencial antes de EXP2</w:t>
                  </w:r>
                </w:p>
              </w:tc>
              <w:tc>
                <w:tcPr/>
                <w:p>
                  <w:pPr>
                    <w:pStyle w:val="Compact"/>
                    <w:jc w:val="both"/>
                    <w:jc w:val="center"/>
                    <w:spacing w:line="360" w:lineRule="auto"/>
                  </w:pPr>
                  <w:r>
                    <w:rPr>
                      <w:rStyle w:val="VerbatimChar"/>
                    </w:rPr>
                    <w:t xml:space="preserve">configs/experiments/exp2_scaled/manifest.yaml</w:t>
                  </w:r>
                  <w:r>
                    <w:t xml:space="preserve">, código versionado</w:t>
                  </w:r>
                </w:p>
              </w:tc>
              <w:tc>
                <w:tcPr/>
                <w:p>
                  <w:pPr>
                    <w:pStyle w:val="Compact"/>
                    <w:jc w:val="both"/>
                    <w:jc w:val="center"/>
                    <w:spacing w:line="360" w:lineRule="auto"/>
                  </w:pPr>
                  <w:r>
                    <w:t xml:space="preserve">Diseño factorial declarado</w:t>
                  </w:r>
                </w:p>
              </w:tc>
              <w:tc>
                <w:tcPr/>
                <w:p>
                  <w:pPr>
                    <w:pStyle w:val="Compact"/>
                    <w:jc w:val="both"/>
                    <w:jc w:val="center"/>
                    <w:spacing w:line="360" w:lineRule="auto"/>
                  </w:pPr>
                  <w:r>
                    <w:t xml:space="preserve">Deriva de protocolo, cambio post-hoc de hipótesis</w:t>
                  </w:r>
                </w:p>
              </w:tc>
              <w:tc>
                <w:tcPr/>
                <w:p>
                  <w:pPr>
                    <w:pStyle w:val="Compact"/>
                    <w:jc w:val="both"/>
                    <w:jc w:val="center"/>
                    <w:spacing w:line="360" w:lineRule="auto"/>
                  </w:pPr>
                  <w:r>
                    <w:rPr>
                      <w:rStyle w:val="VerbatimChar"/>
                    </w:rPr>
                    <w:t xml:space="preserve">manifest.yaml</w:t>
                  </w:r>
                  <w:r>
                    <w:t xml:space="preserve">, commit de tesis</w:t>
                  </w:r>
                </w:p>
              </w:tc>
            </w:tr>
            <w:tr>
              <w:tc>
                <w:tcPr/>
                <w:p>
                  <w:pPr>
                    <w:pStyle w:val="Compact"/>
                    <w:jc w:val="both"/>
                    <w:jc w:val="center"/>
                    <w:spacing w:line="360" w:lineRule="auto"/>
                  </w:pPr>
                  <w:r>
                    <w:t xml:space="preserve">2. Ejecución</w:t>
                  </w:r>
                </w:p>
              </w:tc>
              <w:tc>
                <w:tcPr/>
                <w:p>
                  <w:pPr>
                    <w:pStyle w:val="Compact"/>
                    <w:jc w:val="both"/>
                    <w:jc w:val="center"/>
                    <w:spacing w:line="360" w:lineRule="auto"/>
                  </w:pPr>
                  <w:r>
                    <w:t xml:space="preserve">Ejecutar celdas desde configuración declarativa</w:t>
                  </w:r>
                </w:p>
              </w:tc>
              <w:tc>
                <w:tcPr/>
                <w:p>
                  <w:pPr>
                    <w:pStyle w:val="Compact"/>
                    <w:jc w:val="both"/>
                    <w:jc w:val="center"/>
                    <w:spacing w:line="360" w:lineRule="auto"/>
                  </w:pPr>
                  <w:r>
                    <w:t xml:space="preserve">YAML por celda, modelos congelados</w:t>
                  </w:r>
                </w:p>
              </w:tc>
              <w:tc>
                <w:tcPr/>
                <w:p>
                  <w:pPr>
                    <w:pStyle w:val="Compact"/>
                    <w:jc w:val="both"/>
                    <w:jc w:val="center"/>
                    <w:spacing w:line="360" w:lineRule="auto"/>
                  </w:pPr>
                  <w:r>
                    <w:t xml:space="preserve">Árbol</w:t>
                  </w:r>
                  <w:r>
                    <w:t xml:space="preserve"> </w:t>
                  </w:r>
                  <w:r>
                    <w:rPr>
                      <w:rStyle w:val="VerbatimChar"/>
                    </w:rPr>
                    <w:t xml:space="preserve">experiments/exp2_scaled/results/</w:t>
                  </w:r>
                </w:p>
              </w:tc>
              <w:tc>
                <w:tcPr/>
                <w:p>
                  <w:pPr>
                    <w:pStyle w:val="Compact"/>
                    <w:jc w:val="both"/>
                    <w:jc w:val="center"/>
                    <w:spacing w:line="360" w:lineRule="auto"/>
                  </w:pPr>
                  <w:r>
                    <w:t xml:space="preserve">Ejecuciones ad-hoc, semillas no registradas</w:t>
                  </w:r>
                </w:p>
              </w:tc>
              <w:tc>
                <w:tcPr/>
                <w:p>
                  <w:pPr>
                    <w:pStyle w:val="Compact"/>
                    <w:jc w:val="both"/>
                    <w:jc w:val="center"/>
                    <w:spacing w:line="360" w:lineRule="auto"/>
                  </w:pPr>
                  <w:r>
                    <w:rPr>
                      <w:rStyle w:val="VerbatimChar"/>
                    </w:rPr>
                    <w:t xml:space="preserve">results.json</w:t>
                  </w:r>
                  <w:r>
                    <w:t xml:space="preserve"> </w:t>
                  </w:r>
                  <w:r>
                    <w:t xml:space="preserve">por celda</w:t>
                  </w:r>
                </w:p>
              </w:tc>
            </w:tr>
            <w:tr>
              <w:tc>
                <w:tcPr/>
                <w:p>
                  <w:pPr>
                    <w:pStyle w:val="Compact"/>
                    <w:jc w:val="both"/>
                    <w:jc w:val="center"/>
                    <w:spacing w:line="360" w:lineRule="auto"/>
                  </w:pPr>
                  <w:r>
                    <w:t xml:space="preserve">3. Auditoría</w:t>
                  </w:r>
                </w:p>
              </w:tc>
              <w:tc>
                <w:tcPr/>
                <w:p>
                  <w:pPr>
                    <w:pStyle w:val="Compact"/>
                    <w:jc w:val="both"/>
                    <w:jc w:val="center"/>
                    <w:spacing w:line="360" w:lineRule="auto"/>
                  </w:pPr>
                  <w:r>
                    <w:t xml:space="preserve">Calificar integridad de resultados</w:t>
                  </w:r>
                </w:p>
              </w:tc>
              <w:tc>
                <w:tcPr/>
                <w:p>
                  <w:pPr>
                    <w:pStyle w:val="Compact"/>
                    <w:jc w:val="both"/>
                    <w:jc w:val="center"/>
                    <w:spacing w:line="360" w:lineRule="auto"/>
                  </w:pPr>
                  <w:r>
                    <w:rPr>
                      <w:rStyle w:val="VerbatimChar"/>
                    </w:rPr>
                    <w:t xml:space="preserve">results.json</w:t>
                  </w:r>
                  <w:r>
                    <w:t xml:space="preserve"> </w:t>
                  </w:r>
                  <w:r>
                    <w:t xml:space="preserve">crudos</w:t>
                  </w:r>
                </w:p>
              </w:tc>
              <w:tc>
                <w:tcPr/>
                <w:p>
                  <w:pPr>
                    <w:pStyle w:val="Compact"/>
                    <w:jc w:val="both"/>
                    <w:jc w:val="center"/>
                    <w:spacing w:line="360" w:lineRule="auto"/>
                  </w:pPr>
                  <w:r>
                    <w:t xml:space="preserve">Inventario de celdas analizables</w:t>
                  </w:r>
                </w:p>
              </w:tc>
              <w:tc>
                <w:tcPr/>
                <w:p>
                  <w:pPr>
                    <w:pStyle w:val="Compact"/>
                    <w:jc w:val="both"/>
                    <w:jc w:val="center"/>
                    <w:spacing w:line="360" w:lineRule="auto"/>
                  </w:pPr>
                  <w:r>
                    <w:t xml:space="preserve">Archivos vacíos, esquemas incompatibles, valores inválidos</w:t>
                  </w:r>
                </w:p>
              </w:tc>
              <w:tc>
                <w:tcPr/>
                <w:p>
                  <w:pPr>
                    <w:pStyle w:val="Compact"/>
                    <w:jc w:val="both"/>
                    <w:jc w:val="center"/>
                    <w:spacing w:line="360" w:lineRule="auto"/>
                  </w:pPr>
                  <w:r>
                    <w:rPr>
                      <w:rStyle w:val="VerbatimChar"/>
                    </w:rPr>
                    <w:t xml:space="preserve">outputs/analysis/paper_a_exp2_stats/exp2_run_inventory.csv</w:t>
                  </w:r>
                </w:p>
              </w:tc>
            </w:tr>
            <w:tr>
              <w:tc>
                <w:tcPr/>
                <w:p>
                  <w:pPr>
                    <w:pStyle w:val="Compact"/>
                    <w:jc w:val="both"/>
                    <w:jc w:val="center"/>
                    <w:spacing w:line="360" w:lineRule="auto"/>
                  </w:pPr>
                  <w:r>
                    <w:t xml:space="preserve">4. Armonización</w:t>
                  </w:r>
                </w:p>
              </w:tc>
              <w:tc>
                <w:tcPr/>
                <w:p>
                  <w:pPr>
                    <w:pStyle w:val="Compact"/>
                    <w:jc w:val="both"/>
                    <w:jc w:val="center"/>
                    <w:spacing w:line="360" w:lineRule="auto"/>
                  </w:pPr>
                  <w:r>
                    <w:t xml:space="preserve">Convertir resultados heterogéneos en tablas de análisis</w:t>
                  </w:r>
                </w:p>
              </w:tc>
              <w:tc>
                <w:tcPr/>
                <w:p>
                  <w:pPr>
                    <w:pStyle w:val="Compact"/>
                    <w:jc w:val="both"/>
                    <w:jc w:val="center"/>
                    <w:spacing w:line="360" w:lineRule="auto"/>
                  </w:pPr>
                  <w:r>
                    <w:t xml:space="preserve">Artefactos calificados y</w:t>
                  </w:r>
                  <w:r>
                    <w:t xml:space="preserve"> </w:t>
                  </w:r>
                  <w:r>
                    <w:rPr>
                      <w:rStyle w:val="VerbatimChar"/>
                    </w:rPr>
                    <w:t xml:space="preserve">outputs/batch_results.csv</w:t>
                  </w:r>
                </w:p>
              </w:tc>
              <w:tc>
                <w:tcPr/>
                <w:p>
                  <w:pPr>
                    <w:pStyle w:val="Compact"/>
                    <w:jc w:val="both"/>
                    <w:jc w:val="center"/>
                    <w:spacing w:line="360" w:lineRule="auto"/>
                  </w:pPr>
                  <w:r>
                    <w:t xml:space="preserve">Métricas a nivel de ejecución y bloque</w:t>
                  </w:r>
                </w:p>
              </w:tc>
              <w:tc>
                <w:tcPr/>
                <w:p>
                  <w:pPr>
                    <w:pStyle w:val="Compact"/>
                    <w:jc w:val="both"/>
                    <w:jc w:val="center"/>
                    <w:spacing w:line="360" w:lineRule="auto"/>
                  </w:pPr>
                  <w:r>
                    <w:t xml:space="preserve">Campos no comparables, mezclas de esquema</w:t>
                  </w:r>
                </w:p>
              </w:tc>
              <w:tc>
                <w:tcPr/>
                <w:p>
                  <w:pPr>
                    <w:pStyle w:val="Compact"/>
                    <w:jc w:val="both"/>
                    <w:jc w:val="center"/>
                    <w:spacing w:line="360" w:lineRule="auto"/>
                  </w:pPr>
                  <w:r>
                    <w:rPr>
                      <w:rStyle w:val="VerbatimChar"/>
                    </w:rPr>
                    <w:t xml:space="preserve">exp2_run_level_metrics.csv</w:t>
                  </w:r>
                  <w:r>
                    <w:t xml:space="preserve">,</w:t>
                  </w:r>
                  <w:r>
                    <w:t xml:space="preserve"> </w:t>
                  </w:r>
                  <w:r>
                    <w:rPr>
                      <w:rStyle w:val="VerbatimChar"/>
                    </w:rPr>
                    <w:t xml:space="preserve">exp2_block_method_summary.csv</w:t>
                  </w:r>
                </w:p>
              </w:tc>
            </w:tr>
            <w:tr>
              <w:tc>
                <w:tcPr/>
                <w:p>
                  <w:pPr>
                    <w:pStyle w:val="Compact"/>
                    <w:jc w:val="both"/>
                    <w:jc w:val="center"/>
                    <w:spacing w:line="360" w:lineRule="auto"/>
                  </w:pPr>
                  <w:r>
                    <w:t xml:space="preserve">5. Exportación</w:t>
                  </w:r>
                </w:p>
              </w:tc>
              <w:tc>
                <w:tcPr/>
                <w:p>
                  <w:pPr>
                    <w:pStyle w:val="Compact"/>
                    <w:jc w:val="both"/>
                    <w:jc w:val="center"/>
                    <w:spacing w:line="360" w:lineRule="auto"/>
                  </w:pPr>
                  <w:r>
                    <w:t xml:space="preserve">Generar tablas inferenciales deterministas</w:t>
                  </w:r>
                </w:p>
              </w:tc>
              <w:tc>
                <w:tcPr/>
                <w:p>
                  <w:pPr>
                    <w:pStyle w:val="Compact"/>
                    <w:jc w:val="both"/>
                    <w:jc w:val="center"/>
                    <w:spacing w:line="360" w:lineRule="auto"/>
                  </w:pPr>
                  <w:r>
                    <w:t xml:space="preserve">Tablas armonizadas</w:t>
                  </w:r>
                </w:p>
              </w:tc>
              <w:tc>
                <w:tcPr/>
                <w:p>
                  <w:pPr>
                    <w:pStyle w:val="Compact"/>
                    <w:jc w:val="both"/>
                    <w:jc w:val="center"/>
                    <w:spacing w:line="360" w:lineRule="auto"/>
                  </w:pPr>
                  <w:r>
                    <w:t xml:space="preserve">Friedman, Nemenyi y Wilcoxon exportados</w:t>
                  </w:r>
                </w:p>
              </w:tc>
              <w:tc>
                <w:tcPr/>
                <w:p>
                  <w:pPr>
                    <w:pStyle w:val="Compact"/>
                    <w:jc w:val="both"/>
                    <w:jc w:val="center"/>
                    <w:spacing w:line="360" w:lineRule="auto"/>
                  </w:pPr>
                  <w:r>
                    <w:t xml:space="preserve">Cálculos manuales, doble conteo, pseudorreplicación</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nemenyi_*.csv</w:t>
                  </w:r>
                  <w:r>
                    <w:t xml:space="preserve">,</w:t>
                  </w:r>
                  <w:r>
                    <w:t xml:space="preserve"> </w:t>
                  </w:r>
                  <w:r>
                    <w:rPr>
                      <w:rStyle w:val="VerbatimChar"/>
                    </w:rPr>
                    <w:t xml:space="preserve">wilcoxon_*.csv</w:t>
                  </w:r>
                </w:p>
              </w:tc>
            </w:tr>
            <w:tr>
              <w:tc>
                <w:tcPr/>
                <w:p>
                  <w:pPr>
                    <w:pStyle w:val="Compact"/>
                    <w:jc w:val="both"/>
                    <w:jc w:val="center"/>
                    <w:spacing w:line="360" w:lineRule="auto"/>
                  </w:pPr>
                  <w:r>
                    <w:t xml:space="preserve">6. Perfilado</w:t>
                  </w:r>
                </w:p>
              </w:tc>
              <w:tc>
                <w:tcPr/>
                <w:p>
                  <w:pPr>
                    <w:pStyle w:val="Compact"/>
                    <w:jc w:val="both"/>
                    <w:jc w:val="center"/>
                    <w:spacing w:line="360" w:lineRule="auto"/>
                  </w:pPr>
                  <w:r>
                    <w:t xml:space="preserve">Cuantificar reproducibilidad bajo semillas</w:t>
                  </w:r>
                </w:p>
              </w:tc>
              <w:tc>
                <w:tcPr/>
                <w:p>
                  <w:pPr>
                    <w:pStyle w:val="Compact"/>
                    <w:jc w:val="both"/>
                    <w:jc w:val="center"/>
                    <w:spacing w:line="360" w:lineRule="auto"/>
                  </w:pPr>
                  <w:r>
                    <w:t xml:space="preserve">Réplicas EXP1 y métricas primarias</w:t>
                  </w:r>
                </w:p>
              </w:tc>
              <w:tc>
                <w:tcPr/>
                <w:p>
                  <w:pPr>
                    <w:pStyle w:val="Compact"/>
                    <w:jc w:val="both"/>
                    <w:jc w:val="center"/>
                    <w:spacing w:line="360" w:lineRule="auto"/>
                  </w:pPr>
                  <w:r>
                    <w:t xml:space="preserve">CV por método/métrica</w:t>
                  </w:r>
                </w:p>
              </w:tc>
              <w:tc>
                <w:tcPr/>
                <w:p>
                  <w:pPr>
                    <w:pStyle w:val="Compact"/>
                    <w:jc w:val="both"/>
                    <w:jc w:val="center"/>
                    <w:spacing w:line="360" w:lineRule="auto"/>
                  </w:pPr>
                  <w:r>
                    <w:t xml:space="preserve">Confundir variación de semilla con efecto de método</w:t>
                  </w:r>
                </w:p>
              </w:tc>
              <w:tc>
                <w:tcPr/>
                <w:p>
                  <w:pPr>
                    <w:pStyle w:val="Compact"/>
                    <w:jc w:val="both"/>
                    <w:jc w:val="center"/>
                    <w:spacing w:line="360" w:lineRule="auto"/>
                  </w:pPr>
                  <w:r>
                    <w:rPr>
                      <w:rStyle w:val="VerbatimChar"/>
                    </w:rPr>
                    <w:t xml:space="preserve">experiments/exp1_adult/reproducibility/reproducibility_report.csv</w:t>
                  </w:r>
                </w:p>
              </w:tc>
            </w:tr>
            <w:tr>
              <w:tc>
                <w:tcPr/>
                <w:p>
                  <w:pPr>
                    <w:pStyle w:val="Compact"/>
                    <w:jc w:val="both"/>
                    <w:jc w:val="center"/>
                    <w:spacing w:line="360" w:lineRule="auto"/>
                  </w:pPr>
                  <w:r>
                    <w:t xml:space="preserve">7. Reporte</w:t>
                  </w:r>
                </w:p>
              </w:tc>
              <w:tc>
                <w:tcPr/>
                <w:p>
                  <w:pPr>
                    <w:pStyle w:val="Compact"/>
                    <w:jc w:val="both"/>
                    <w:jc w:val="center"/>
                    <w:spacing w:line="360" w:lineRule="auto"/>
                  </w:pPr>
                  <w:r>
                    <w:t xml:space="preserve">Vincular cada claim con evidencia identificable</w:t>
                  </w:r>
                </w:p>
              </w:tc>
              <w:tc>
                <w:tcPr/>
                <w:p>
                  <w:pPr>
                    <w:pStyle w:val="Compact"/>
                    <w:jc w:val="both"/>
                    <w:jc w:val="center"/>
                    <w:spacing w:line="360" w:lineRule="auto"/>
                  </w:pPr>
                  <w:r>
                    <w:t xml:space="preserve">Resultados, tablas, scripts, limitaciones</w:t>
                  </w:r>
                </w:p>
              </w:tc>
              <w:tc>
                <w:tcPr/>
                <w:p>
                  <w:pPr>
                    <w:pStyle w:val="Compact"/>
                    <w:jc w:val="both"/>
                    <w:jc w:val="center"/>
                    <w:spacing w:line="360" w:lineRule="auto"/>
                  </w:pPr>
                  <w:r>
                    <w:t xml:space="preserve">Claims trazables en Capítulo 4</w:t>
                  </w:r>
                </w:p>
              </w:tc>
              <w:tc>
                <w:tcPr/>
                <w:p>
                  <w:pPr>
                    <w:pStyle w:val="Compact"/>
                    <w:jc w:val="both"/>
                    <w:jc w:val="center"/>
                    <w:spacing w:line="360" w:lineRule="auto"/>
                  </w:pPr>
                  <w:r>
                    <w:t xml:space="preserve">Sobreclaiming, afirmaciones no auditables</w:t>
                  </w:r>
                </w:p>
              </w:tc>
              <w:tc>
                <w:tcPr/>
                <w:p>
                  <w:pPr>
                    <w:pStyle w:val="Compact"/>
                    <w:jc w:val="both"/>
                    <w:jc w:val="center"/>
                    <w:spacing w:line="360" w:lineRule="auto"/>
                  </w:pPr>
                  <w:r>
                    <w:t xml:space="preserve">Tablas</w:t>
                  </w:r>
                  <w:r>
                    <w:t xml:space="preserve"> </w:t>
                  </w:r>
                  <w:hyperlink w:anchor="tbl-results-overview">
                    <w:r>
                      <w:rPr>
                        <w:rStyle w:val="Hipervnculo"/>
                      </w:rPr>
                      <w:t xml:space="preserve">Table 5.1</w:t>
                    </w:r>
                  </w:hyperlink>
                  <w:r>
                    <w:t xml:space="preserve"> </w:t>
                  </w:r>
                  <w:r>
                    <w:t xml:space="preserve">y</w:t>
                  </w:r>
                  <w:r>
                    <w:t xml:space="preserve"> </w:t>
                  </w:r>
                  <w:hyperlink w:anchor="tbl-claim-traceability">
                    <w:r>
                      <w:rPr>
                        <w:rStyle w:val="Hipervnculo"/>
                      </w:rPr>
                      <w:t xml:space="preserve">Table 5.7</w:t>
                    </w:r>
                  </w:hyperlink>
                </w:p>
              </w:tc>
            </w:tr>
          </w:tbl>
          <w:bookmarkEnd w:id="81"/>
          <w:p>
            <w:pPr>
              <w:spacing w:line="360" w:lineRule="auto"/>
              <w:jc w:val="both"/>
            </w:pPr>
          </w:p>
        </w:tc>
      </w:tr>
    </w:tbl>
    <w:bookmarkEnd w:id="82"/>
    <w:bookmarkStart w:id="87" w:name="X70736bc07e73377e919d2c60f119994d057bf14"/>
    <w:p>
      <w:pPr>
        <w:pStyle w:val="Ttulo2"/>
        <w:spacing w:line="360" w:lineRule="auto"/>
        <w:jc w:val="both"/>
      </w:pPr>
      <w:r>
        <w:t xml:space="preserve">Cobertura de artefactos y análisis del impacto de datos faltantes</w:t>
      </w:r>
    </w:p>
    <w:bookmarkStart w:id="85" w:name="inventario-de-cobertura"/>
    <w:p>
      <w:pPr>
        <w:pStyle w:val="Ttulo3"/>
        <w:spacing w:line="360" w:lineRule="auto"/>
        <w:jc w:val="both"/>
      </w:pPr>
      <w:r>
        <w:t xml:space="preserve">Inventario de cobertura</w:t>
      </w:r>
    </w:p>
    <w:p>
      <w:pPr>
        <w:pStyle w:val="FirstParagraph"/>
        <w:spacing w:line="360" w:lineRule="auto"/>
        <w:jc w:val="bot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tblLayout w:type="fixed"/>
        <w:tblLook w:firstRow="0" w:lastRow="0" w:firstColumn="0" w:lastColumn="0" w:noHBand="0" w:noVBand="0" w:val="0000"/>
      </w:tblPr>
      <w:tblGrid>
        <w:gridCol w:w="7920"/>
      </w:tblGrid>
      <w:tr>
        <w:tc>
          <w:tcPr/>
          <w:bookmarkStart w:id="83" w:name="tbl-coverage"/>
          <w:p>
            <w:pPr>
              <w:jc w:val="both"/>
              <w:spacing w:line="360" w:lineRule="auto"/>
            </w:pPr>
            <w:pPr>
              <w:jc w:val="left"/>
              <w:spacing w:before="200"/>
              <w:pStyle w:val="ImageCaption"/>
            </w:pPr>
            <w:r>
              <w:t xml:space="preserve">Table 4.4: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Cohorte</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Presentes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EXP1 (calibración)</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66</w:t>
                  </w:r>
                </w:p>
              </w:tc>
              <w:tc>
                <w:tcPr/>
                <w:p>
                  <w:pPr>
                    <w:pStyle w:val="Compact"/>
                    <w:jc w:val="both"/>
                    <w:jc w:val="center"/>
                    <w:spacing w:line="360" w:lineRule="auto"/>
                  </w:pPr>
                  <w:r>
                    <w:t xml:space="preserve">88.0%</w:t>
                  </w:r>
                </w:p>
              </w:tc>
            </w:tr>
            <w:tr>
              <w:tc>
                <w:tcPr/>
                <w:p>
                  <w:pPr>
                    <w:pStyle w:val="Compact"/>
                    <w:jc w:val="both"/>
                    <w:jc w:val="center"/>
                    <w:spacing w:line="360" w:lineRule="auto"/>
                  </w:pPr>
                  <w:r>
                    <w:t xml:space="preserve">EXP2 (benchmark primario)</w:t>
                  </w:r>
                </w:p>
              </w:tc>
              <w:tc>
                <w:tcPr/>
                <w:p>
                  <w:pPr>
                    <w:pStyle w:val="Compact"/>
                    <w:jc w:val="both"/>
                    <w:jc w:val="center"/>
                    <w:spacing w:line="360" w:lineRule="auto"/>
                  </w:pPr>
                  <w:r>
                    <w:t xml:space="preserve">300</w:t>
                  </w:r>
                </w:p>
              </w:tc>
              <w:tc>
                <w:tcPr/>
                <w:p>
                  <w:pPr>
                    <w:pStyle w:val="Compact"/>
                    <w:jc w:val="both"/>
                    <w:jc w:val="center"/>
                    <w:spacing w:line="360" w:lineRule="auto"/>
                  </w:pPr>
                  <w:r>
                    <w:t xml:space="preserve">299</w:t>
                  </w:r>
                </w:p>
              </w:tc>
              <w:tc>
                <w:tcPr/>
                <w:p>
                  <w:pPr>
                    <w:pStyle w:val="Compact"/>
                    <w:jc w:val="both"/>
                    <w:jc w:val="center"/>
                    <w:spacing w:line="360" w:lineRule="auto"/>
                  </w:pPr>
                  <w:r>
                    <w:t xml:space="preserve">275</w:t>
                  </w:r>
                </w:p>
              </w:tc>
              <w:tc>
                <w:tcPr/>
                <w:p>
                  <w:pPr>
                    <w:pStyle w:val="Compact"/>
                    <w:jc w:val="both"/>
                    <w:jc w:val="center"/>
                    <w:spacing w:line="360" w:lineRule="auto"/>
                  </w:pPr>
                  <w:r>
                    <w:t xml:space="preserve">91.7%</w:t>
                  </w:r>
                </w:p>
              </w:tc>
            </w:tr>
          </w:tbl>
          <w:bookmarkEnd w:id="83"/>
          <w:p>
            <w:pPr>
              <w:spacing w:line="360" w:lineRule="auto"/>
              <w:jc w:val="both"/>
            </w:pPr>
          </w:p>
        </w:tc>
      </w:tr>
    </w:tbl>
    <w:p>
      <w:pPr>
        <w:pStyle w:val="Textoindependiente"/>
        <w:spacing w:line="360" w:lineRule="auto"/>
        <w:jc w:val="both"/>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tblLayout w:type="fixed"/>
        <w:tblLook w:firstRow="0" w:lastRow="0" w:firstColumn="0" w:lastColumn="0" w:noHBand="0" w:noVBand="0" w:val="0000"/>
      </w:tblPr>
      <w:tblGrid>
        <w:gridCol w:w="7920"/>
      </w:tblGrid>
      <w:tr>
        <w:tc>
          <w:tcPr/>
          <w:bookmarkStart w:id="84" w:name="tbl-coverage-method"/>
          <w:p>
            <w:pPr>
              <w:jc w:val="both"/>
              <w:spacing w:line="360" w:lineRule="auto"/>
            </w:pPr>
            <w:pPr>
              <w:jc w:val="left"/>
              <w:spacing w:before="200"/>
              <w:pStyle w:val="ImageCaption"/>
            </w:pPr>
            <w:r>
              <w:t xml:space="preserve">Table 4.5: Cobertura analítica por método. SHAP incluye la superposición de</w:t>
            </w:r>
            <w:r>
              <w:t xml:space="preserve"> </w:t>
            </w:r>
            <w:r>
              <w:t xml:space="preserve">recuperación.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Método</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75</w:t>
                  </w:r>
                </w:p>
              </w:tc>
              <w:tc>
                <w:tcPr/>
                <w:p>
                  <w:pPr>
                    <w:pStyle w:val="Compact"/>
                    <w:jc w:val="both"/>
                    <w:jc w:val="center"/>
                    <w:spacing w:line="360" w:lineRule="auto"/>
                  </w:pPr>
                  <w:r>
                    <w:t xml:space="preserve">57</w:t>
                  </w:r>
                </w:p>
              </w:tc>
              <w:tc>
                <w:tcPr/>
                <w:p>
                  <w:pPr>
                    <w:pStyle w:val="Compact"/>
                    <w:jc w:val="both"/>
                    <w:jc w:val="center"/>
                    <w:spacing w:line="360" w:lineRule="auto"/>
                  </w:pPr>
                  <w:r>
                    <w:t xml:space="preserve">76.0%</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75</w:t>
                  </w:r>
                </w:p>
              </w:tc>
              <w:tc>
                <w:tcPr/>
                <w:p>
                  <w:pPr>
                    <w:pStyle w:val="Compact"/>
                    <w:jc w:val="both"/>
                    <w:jc w:val="center"/>
                    <w:spacing w:line="360" w:lineRule="auto"/>
                  </w:pPr>
                  <w:r>
                    <w:t xml:space="preserve">68</w:t>
                  </w:r>
                </w:p>
              </w:tc>
              <w:tc>
                <w:tcPr/>
                <w:p>
                  <w:pPr>
                    <w:pStyle w:val="Compact"/>
                    <w:jc w:val="both"/>
                    <w:jc w:val="center"/>
                    <w:spacing w:line="360" w:lineRule="auto"/>
                  </w:pPr>
                  <w:r>
                    <w:t xml:space="preserve">90.7%</w:t>
                  </w:r>
                </w:p>
              </w:tc>
            </w:tr>
          </w:tbl>
          <w:bookmarkEnd w:id="84"/>
          <w:p>
            <w:pPr>
              <w:spacing w:line="360" w:lineRule="auto"/>
              <w:jc w:val="both"/>
            </w:pPr>
          </w:p>
        </w:tc>
      </w:tr>
    </w:tbl>
    <w:bookmarkEnd w:id="85"/>
    <w:bookmarkStart w:id="86" w:name="Xcb4396ffd8bf23e7b418105a9e8d3fef7075c0b"/>
    <w:p>
      <w:pPr>
        <w:pStyle w:val="Ttulo3"/>
        <w:spacing w:line="360" w:lineRule="auto"/>
        <w:jc w:val="both"/>
      </w:pPr>
      <w:r>
        <w:t xml:space="preserve">Evaluación cuantitativa del impacto estadístico</w:t>
      </w:r>
    </w:p>
    <w:p>
      <w:pPr>
        <w:pStyle w:val="FirstParagraph"/>
        <w:spacing w:line="360" w:lineRule="auto"/>
        <w:jc w:val="bot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análisis pareado del Estudio B.</w:t>
      </w:r>
    </w:p>
    <w:p>
      <w:pPr>
        <w:pStyle w:val="Textoindependiente"/>
        <w:spacing w:line="360" w:lineRule="auto"/>
        <w:jc w:val="both"/>
      </w:pPr>
      <w:r>
        <w:rPr>
          <w:b/>
          <w:bCs/>
        </w:rPr>
        <w:t xml:space="preserve">Completitud de bloques de Friedman.</w:t>
      </w:r>
      <w:r>
        <w:t xml:space="preserve"> </w:t>
      </w:r>
      <w:r>
        <w:t xml:space="preserve">El test de Friedman opera sobre</w:t>
      </w:r>
      <w:r>
        <w:t xml:space="preserve"> </w:t>
      </w:r>
      <ns1:oMath>
        <ns1:r>
          <ns1:t>B</ns1:t>
        </ns1:r>
        <ns1:r>
          <ns1:rPr>
            <ns1:sty ns1:val="p"/>
          </ns1:rPr>
          <ns1:t>=</ns1:t>
        </ns1:r>
        <ns1:r>
          <ns1:t>15</ns1:t>
        </ns1:r>
      </ns1:oMath>
      <w:r>
        <w:t xml:space="preserve"> </w:t>
      </w:r>
      <w:r>
        <w:t xml:space="preserve">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spacing w:line="360" w:lineRule="auto"/>
        <w:jc w:val="both"/>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ns1:oMath>
        <ns1:r>
          <ns1:t>r</ns1:t>
        </ns1:r>
        <ns1:r>
          <ns1:rPr>
            <ns1:sty ns1:val="p"/>
          </ns1:rPr>
          <ns1:t>&lt;</ns1:t>
        </ns1:r>
        <ns1:r>
          <ns1:t>5</ns1:t>
        </ns1:r>
      </ns1: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ns1:oMath>
        <ns1:r>
          <ns1:t>r</ns1:t>
        </ns1:r>
        <ns1:r>
          <ns1:rPr>
            <ns1:sty ns1:val="p"/>
          </ns1:rPr>
          <ns1:t>≈</ns1:t>
        </ns1:r>
        <ns1:r>
          <ns1:t>2.3</ns1:t>
        </ns1:r>
      </ns1:oMath>
      <w:r>
        <w:t xml:space="preserve"> </w:t>
      </w:r>
      <w:r>
        <w:t xml:space="preserve">semillas por</w:t>
      </w:r>
      <w:r>
        <w:t xml:space="preserve"> </w:t>
      </w:r>
      <ns1:oMath>
        <ns1:r>
          <ns1:rPr>
            <ns1:sty ns1:val="p"/>
          </ns1:rPr>
          <ns1:t>(</ns1:t>
        </ns1:r>
        <ns1:r>
          <ns1:t>g</ns1:t>
        </ns1:r>
        <ns1:r>
          <ns1:rPr>
            <ns1:sty ns1:val="p"/>
          </ns1:rPr>
          <ns1:t>,</ns1:t>
        </ns1:r>
        <ns1:r>
          <ns1:t>n</ns1:t>
        </ns1:r>
        <ns1:r>
          <ns1:rPr>
            <ns1:sty ns1:val="p"/>
          </ns1:rPr>
          <ns1:t>)</ns1:t>
        </ns1:r>
      </ns1:oMath>
      <w:r>
        <w:t xml:space="preserve">), la varianza del estimador de bloque</w:t>
      </w:r>
      <w:r>
        <w:t xml:space="preserve"> </w:t>
      </w:r>
      <w:r>
        <w:t xml:space="preserve">se infla según:</w:t>
      </w:r>
    </w:p>
    <w:p>
      <w:pPr>
        <w:pStyle w:val="Textoindependiente"/>
        <w:spacing w:line="360" w:lineRule="auto"/>
        <w:jc w:val="both"/>
      </w:pPr>
      <ns1:oMathPara>
        <ns1:oMathParaPr>
          <ns1:jc ns1:val="center"/>
        </ns1:oMathParaPr>
        <ns1:oMath>
          <ns1:r>
            <ns1:rPr>
              <ns1:nor/>
              <ns1:sty ns1:val="p"/>
            </ns1:rPr>
            <ns1:t>Var</ns1:t>
          </ns1:r>
          <ns1:r>
            <ns1:t>​</ns1:t>
          </ns1:r>
          <ns1:d>
            <ns1:dPr>
              <ns1:begChr ns1:val="("/>
              <ns1:sepChr ns1:val=""/>
              <ns1:endChr ns1:val=")"/>
              <ns1:grow/>
            </ns1:dPr>
            <ns1:e>
              <ns1:sSub>
                <ns1:e>
                  <ns1:acc>
                    <ns1:accPr>
                      <ns1:chr ns1:val="̂"/>
                    </ns1:accPr>
                    <ns1:e>
                      <ns1:r>
                        <ns1:t>μ</ns1:t>
                      </ns1:r>
                    </ns1:e>
                  </ns1:acc>
                </ns1:e>
                <ns1:sub>
                  <ns1:r>
                    <ns1:t>g</ns1:t>
                  </ns1:r>
                  <ns1:r>
                    <ns1:rPr>
                      <ns1:sty ns1:val="p"/>
                    </ns1:rPr>
                    <ns1:t>,</ns1:t>
                  </ns1:r>
                  <ns1:r>
                    <ns1:t>k</ns1:t>
                  </ns1:r>
                  <ns1:r>
                    <ns1:rPr>
                      <ns1:sty ns1:val="p"/>
                    </ns1:rPr>
                    <ns1:t>,</ns1:t>
                  </ns1:r>
                  <ns1:r>
                    <ns1:t>n</ns1:t>
                  </ns1:r>
                </ns1:sub>
              </ns1:sSub>
            </ns1:e>
          </ns1:d>
          <ns1:r>
            <ns1:rPr>
              <ns1:sty ns1:val="p"/>
            </ns1:rPr>
            <ns1:t>=</ns1:t>
          </ns1:r>
          <ns1:f>
            <ns1:fPr>
              <ns1:type ns1:val="bar"/>
            </ns1:fPr>
            <ns1:num>
              <ns1:sSubSup>
                <ns1:e>
                  <ns1:r>
                    <ns1:t>σ</ns1:t>
                  </ns1:r>
                </ns1:e>
                <ns1:sub>
                  <ns1:r>
                    <ns1:t>g</ns1:t>
                  </ns1:r>
                  <ns1:r>
                    <ns1:rPr>
                      <ns1:sty ns1:val="p"/>
                    </ns1:rPr>
                    <ns1:t>,</ns1:t>
                  </ns1:r>
                  <ns1:r>
                    <ns1:t>k</ns1:t>
                  </ns1:r>
                  <ns1:r>
                    <ns1:rPr>
                      <ns1:sty ns1:val="p"/>
                    </ns1:rPr>
                    <ns1:t>,</ns1:t>
                  </ns1:r>
                  <ns1:r>
                    <ns1:t>n</ns1:t>
                  </ns1:r>
                </ns1:sub>
                <ns1:sup>
                  <ns1:r>
                    <ns1:t>2</ns1:t>
                  </ns1:r>
                </ns1:sup>
              </ns1:sSubSup>
            </ns1:num>
            <ns1:den>
              <ns1:r>
                <ns1:t>r</ns1:t>
              </ns1:r>
            </ns1:den>
          </ns1:f>
        </ns1:oMath>
      </ns1:oMathPara>
    </w:p>
    <w:p>
      <w:pPr>
        <w:pStyle w:val="FirstParagraph"/>
        <w:spacing w:line="360" w:lineRule="auto"/>
        <w:jc w:val="both"/>
      </w:pPr>
      <w:r>
        <w:t xml:space="preserve">Con</w:t>
      </w:r>
      <w:r>
        <w:t xml:space="preserve"> </w:t>
      </w:r>
      <ns1:oMath>
        <ns1:r>
          <ns1:t>r</ns1:t>
        </ns1:r>
        <ns1:r>
          <ns1:rPr>
            <ns1:sty ns1:val="p"/>
          </ns1:rPr>
          <ns1:t>=</ns1:t>
        </ns1:r>
        <ns1:r>
          <ns1:t>5</ns1:t>
        </ns1:r>
      </ns1:oMath>
      <w:r>
        <w:t xml:space="preserve"> </w:t>
      </w:r>
      <w:r>
        <w:t xml:space="preserve">planificados versus</w:t>
      </w:r>
      <w:r>
        <w:t xml:space="preserve"> </w:t>
      </w:r>
      <ns1:oMath>
        <ns1:r>
          <ns1:t>r</ns1:t>
        </ns1:r>
        <ns1:r>
          <ns1:rPr>
            <ns1:sty ns1:val="p"/>
          </ns1:rPr>
          <ns1:t>≈</ns1:t>
        </ns1:r>
        <ns1:r>
          <ns1:t>2.3</ns1:t>
        </ns1:r>
      </ns1:oMath>
      <w:r>
        <w:t xml:space="preserve"> </w:t>
      </w:r>
      <w:r>
        <w:t xml:space="preserve">observados, el error estándar</w:t>
      </w:r>
      <w:r>
        <w:t xml:space="preserve"> </w:t>
      </w:r>
      <w:r>
        <w:t xml:space="preserve">se infla por un factor de</w:t>
      </w:r>
      <w:r>
        <w:t xml:space="preserve"> </w:t>
      </w:r>
      <ns1:oMath>
        <ns1:rad>
          <ns1:radPr>
            <ns1:degHide ns1:val="on"/>
          </ns1:radPr>
          <ns1:deg/>
          <ns1:e>
            <ns1:r>
              <ns1:t>5</ns1:t>
            </ns1:r>
            <ns1:r>
              <ns1:rPr>
                <ns1:sty ns1:val="p"/>
              </ns1:rPr>
              <ns1:t>/</ns1:t>
            </ns1:r>
            <ns1:r>
              <ns1:t>2.3</ns1:t>
            </ns1:r>
          </ns1:e>
        </ns1:rad>
        <ns1:r>
          <ns1:rPr>
            <ns1:sty ns1:val="p"/>
          </ns1:rPr>
          <ns1:t>≈</ns1:t>
        </ns1:r>
        <ns1:r>
          <ns1:t>1.47</ns1:t>
        </ns1:r>
      </ns1: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A superan</w:t>
      </w:r>
      <w:r>
        <w:t xml:space="preserve"> </w:t>
      </w:r>
      <ns1:oMath>
        <ns1:sSup>
          <ns1:e>
            <ns1:r>
              <ns1:t>χ</ns1:t>
            </ns1:r>
          </ns1:e>
          <ns1:sup>
            <ns1:r>
              <ns1:t>2</ns1:t>
            </ns1:r>
          </ns1:sup>
        </ns1:sSup>
        <ns1:r>
          <ns1:rPr>
            <ns1:sty ns1:val="p"/>
          </ns1:rPr>
          <ns1:t>=</ns1:t>
        </ns1:r>
        <ns1:r>
          <ns1:t>30.44</ns1:t>
        </ns1:r>
      </ns1:oMath>
      <w:r>
        <w:t xml:space="preserve"> </w:t>
      </w:r>
      <w:r>
        <w:t xml:space="preserve">en todas las métricas, muy por encima del</w:t>
      </w:r>
      <w:r>
        <w:t xml:space="preserve"> </w:t>
      </w:r>
      <w:r>
        <w:t xml:space="preserve">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ns1:t>
        </ns1:r>
      </ns1:oMath>
      <w:r>
        <w:t xml:space="preserve">; (iii) el margen de seguridad para</w:t>
      </w:r>
      <w:r>
        <w:t xml:space="preserve"> </w:t>
      </w:r>
      <w:r>
        <w:t xml:space="preserve">la métrica con menor estadístico (Coste)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30.44</ns1:t>
              </ns1:r>
              <ns1:r>
                <ns1:rPr>
                  <ns1:sty ns1:val="p"/>
                </ns1:rPr>
                <ns1:t>−</ns1:t>
              </ns1:r>
              <ns1:r>
                <ns1:t>7.81</ns1:t>
              </ns1:r>
            </ns1:num>
            <ns1:den>
              <ns1:r>
                <ns1:t>7.81</ns1:t>
              </ns1:r>
            </ns1:den>
          </ns1:f>
          <ns1:r>
            <ns1:rPr>
              <ns1:sty ns1:val="p"/>
            </ns1:rPr>
            <ns1:t>×</ns1:t>
          </ns1:r>
          <ns1:r>
            <ns1:t>100</ns1:t>
          </ns1:r>
          <ns1:r>
            <ns1:rPr>
              <ns1:sty ns1:val="p"/>
            </ns1:rPr>
            <ns1:t>%</ns1:t>
          </ns1:r>
          <ns1:r>
            <ns1:rPr>
              <ns1:sty ns1:val="p"/>
            </ns1:rPr>
            <ns1:t>=</ns1:t>
          </ns1:r>
          <ns1:r>
            <ns1:t>290</ns1:t>
          </ns1:r>
          <ns1:r>
            <ns1:rPr>
              <ns1:sty ns1:val="p"/>
            </ns1:rPr>
            <ns1:t>%</ns1:t>
          </ns1:r>
        </ns1:oMath>
      </ns1:oMathPara>
    </w:p>
    <w:p>
      <w:pPr>
        <w:pStyle w:val="FirstParagraph"/>
        <w:spacing w:line="360" w:lineRule="auto"/>
        <w:jc w:val="both"/>
      </w:pPr>
      <w:r>
        <w:t xml:space="preserve">Para acotar el margen de forma explícita se aplica una prueba de esfuerzo</w:t>
      </w:r>
      <w:r>
        <w:t xml:space="preserve"> </w:t>
      </w:r>
      <w:r>
        <w:t xml:space="preserve">deliberadamente severa sobre la métrica menos favorable: se divide por dos el</w:t>
      </w:r>
      <w:r>
        <w:t xml:space="preserve"> </w:t>
      </w:r>
      <w:r>
        <w:t xml:space="preserve">estadístico observado de Coste, una degradación que excede con holgura la</w:t>
      </w:r>
      <w:r>
        <w:t xml:space="preserve"> </w:t>
      </w:r>
      <w:r>
        <w:t xml:space="preserve">inflación de varianza calculada de 1.47. El resultado sigue siendo significativo:</w:t>
      </w:r>
    </w:p>
    <w:p>
      <w:pPr>
        <w:pStyle w:val="Textoindependiente"/>
        <w:spacing w:line="360" w:lineRule="auto"/>
        <w:jc w:val="both"/>
      </w:pPr>
      <ns1:oMathPara>
        <ns1:oMathParaPr>
          <ns1:jc ns1:val="center"/>
        </ns1:oMathParaPr>
        <ns1:oMath>
          <ns1:sSubSup>
            <ns1:e>
              <ns1:r>
                <ns1:t>χ</ns1:t>
              </ns1:r>
            </ns1:e>
            <ns1:sub>
              <ns1:r>
                <ns1:rPr>
                  <ns1:nor/>
                  <ns1:sty ns1:val="p"/>
                </ns1:rPr>
                <ns1:t>estrés</ns1:t>
              </ns1:r>
            </ns1:sub>
            <ns1:sup>
              <ns1:r>
                <ns1:t>2</ns1:t>
              </ns1:r>
            </ns1:sup>
          </ns1:sSubSup>
          <ns1:r>
            <ns1:rPr>
              <ns1:sty ns1:val="p"/>
            </ns1:rPr>
            <ns1:t>=</ns1:t>
          </ns1:r>
          <ns1:f>
            <ns1:fPr>
              <ns1:type ns1:val="bar"/>
            </ns1:fPr>
            <ns1:num>
              <ns1:r>
                <ns1:t>30.44</ns1:t>
              </ns1:r>
            </ns1:num>
            <ns1:den>
              <ns1:r>
                <ns1:t>2</ns1:t>
              </ns1:r>
            </ns1:den>
          </ns1:f>
          <ns1:r>
            <ns1:rPr>
              <ns1:sty ns1:val="p"/>
            </ns1:rPr>
            <ns1:t>=</ns1:t>
          </ns1:r>
          <ns1:r>
            <ns1:t>15.22</ns1:t>
          </ns1:r>
          <ns1:r>
            <ns1:t> </ns1:t>
          </ns1:r>
          <ns1:r>
            <ns1:rPr>
              <ns1:sty ns1:val="p"/>
            </ns1:rPr>
            <ns1:t>⇒</ns1:t>
          </ns1:r>
          <ns1:r>
            <ns1:t> </ns1:t>
          </ns1:r>
          <ns1:r>
            <ns1:t>p</ns1:t>
          </ns1:r>
          <ns1:r>
            <ns1:rPr>
              <ns1:sty ns1:val="p"/>
            </ns1:rPr>
            <ns1:t>=</ns1:t>
          </ns1:r>
          <ns1:r>
            <ns1:t>P</ns1:t>
          </ns1:r>
          <ns1:r>
            <ns1:t>​</ns1:t>
          </ns1:r>
          <ns1:d>
            <ns1:dPr>
              <ns1:begChr ns1:val="("/>
              <ns1:sepChr ns1:val=""/>
              <ns1:endChr ns1:val=")"/>
              <ns1:grow/>
            </ns1:dPr>
            <ns1:e>
              <ns1:sSubSup>
                <ns1:e>
                  <ns1:r>
                    <ns1:t>χ</ns1:t>
                  </ns1:r>
                </ns1:e>
                <ns1:sub>
                  <ns1:r>
                    <ns1:t>3</ns1:t>
                  </ns1:r>
                </ns1:sub>
                <ns1:sup>
                  <ns1:r>
                    <ns1:t>2</ns1:t>
                  </ns1:r>
                </ns1:sup>
              </ns1:sSubSup>
              <ns1:r>
                <ns1:rPr>
                  <ns1:sty ns1:val="p"/>
                </ns1:rPr>
                <ns1:t>&gt;</ns1:t>
              </ns1:r>
              <ns1:r>
                <ns1:t>15.22</ns1:t>
              </ns1:r>
            </ns1:e>
          </ns1:d>
          <ns1:r>
            <ns1:rPr>
              <ns1:sty ns1:val="p"/>
            </ns1:rPr>
            <ns1:t>=</ns1:t>
          </ns1:r>
          <ns1:r>
            <ns1:t>0.0016</ns1:t>
          </ns1:r>
          <ns1:r>
            <ns1:rPr>
              <ns1:sty ns1:val="p"/>
            </ns1:rPr>
            <ns1:t>&lt;</ns1:t>
          </ns1:r>
          <ns1:r>
            <ns1:t>0.05</ns1:t>
          </ns1:r>
        </ns1:oMath>
      </ns1:oMathPara>
    </w:p>
    <w:p>
      <w:pPr>
        <w:pStyle w:val="FirstParagraph"/>
        <w:spacing w:line="360" w:lineRule="auto"/>
        <w:jc w:val="both"/>
      </w:pPr>
      <w:r>
        <w:t xml:space="preserve">Conviene precisar qué operación es esta y qué no es. Dividir el estadístico por</w:t>
      </w:r>
      <w:r>
        <w:t xml:space="preserve"> </w:t>
      </w:r>
      <w:r>
        <w:t xml:space="preserve">dos no equivale a una reducción del poder del 50%: es una degradación directa de</w:t>
      </w:r>
      <w:r>
        <w:t xml:space="preserve"> </w:t>
      </w:r>
      <w:r>
        <w:t xml:space="preserve">la evidencia observada, aplicada como cota inferior conservadora. Bajo la</w:t>
      </w:r>
      <w:r>
        <w:t xml:space="preserve"> </w:t>
      </w:r>
      <w:r>
        <w:t xml:space="preserve">interpretación alternativa —reducir a la mitad el parámetro de no centralidad</w:t>
      </w:r>
      <w:r>
        <w:t xml:space="preserve"> </w:t>
      </w:r>
      <ns1:oMath>
        <ns1:r>
          <ns1:t>λ</ns1:t>
        </ns1:r>
        <ns1:r>
          <ns1:rPr>
            <ns1:sty ns1:val="p"/>
          </ns1:rPr>
          <ns1:t>=</ns1:t>
        </ns1:r>
        <ns1:sSubSup>
          <ns1:e>
            <ns1:r>
              <ns1:t>χ</ns1:t>
            </ns1:r>
          </ns1:e>
          <ns1:sub>
            <ns1:r>
              <ns1:t>F</ns1:t>
            </ns1:r>
          </ns1:sub>
          <ns1:sup>
            <ns1:r>
              <ns1:t>2</ns1:t>
            </ns1:r>
          </ns1:sup>
        </ns1:sSubSup>
        <ns1:r>
          <ns1:rPr>
            <ns1:sty ns1:val="p"/>
          </ns1:rPr>
          <ns1:t>−</ns1:t>
        </ns1:r>
        <ns1:r>
          <ns1:t>g</ns1:t>
        </ns1:r>
        <ns1:r>
          <ns1:t>l</ns1:t>
        </ns1:r>
        <ns1:r>
          <ns1:rPr>
            <ns1:sty ns1:val="p"/>
          </ns1:rPr>
          <ns1:t>=</ns1:t>
        </ns1:r>
        <ns1:r>
          <ns1:t>27.44</ns1:t>
        </ns1:r>
      </ns1:oMath>
      <w:r>
        <w:t xml:space="preserve">, de modo que</w:t>
      </w:r>
      <w:r>
        <w:t xml:space="preserve"> </w:t>
      </w:r>
      <ns1:oMath>
        <ns1:r>
          <ns1:rPr>
            <ns1:scr ns1:val="double-struck"/>
            <ns1:sty ns1:val="p"/>
          </ns1:rPr>
          <ns1:t>E</ns1:t>
        </ns1:r>
        <ns1:r>
          <ns1:rPr>
            <ns1:sty ns1:val="p"/>
          </ns1:rPr>
          <ns1:t>[</ns1:t>
        </ns1:r>
        <ns1:sSup>
          <ns1:e>
            <ns1:r>
              <ns1:t>χ</ns1:t>
            </ns1:r>
          </ns1:e>
          <ns1:sup>
            <ns1:r>
              <ns1:t>2</ns1:t>
            </ns1:r>
          </ns1:sup>
        </ns1:sSup>
        <ns1:r>
          <ns1:rPr>
            <ns1:sty ns1:val="p"/>
          </ns1:rPr>
          <ns1:t>]</ns1:t>
        </ns1:r>
        <ns1:r>
          <ns1:rPr>
            <ns1:sty ns1:val="p"/>
          </ns1:rPr>
          <ns1:t>=</ns1:t>
        </ns1:r>
        <ns1:r>
          <ns1:t>g</ns1:t>
        </ns1:r>
        <ns1:r>
          <ns1:t>l</ns1:t>
        </ns1:r>
        <ns1:r>
          <ns1:rPr>
            <ns1:sty ns1:val="p"/>
          </ns1:rPr>
          <ns1:t>+</ns1:t>
        </ns1:r>
        <ns1:r>
          <ns1:t>λ</ns1:t>
        </ns1:r>
        <ns1:r>
          <ns1:rPr>
            <ns1:sty ns1:val="p"/>
          </ns1:rPr>
          <ns1:t>/</ns1:t>
        </ns1:r>
        <ns1:r>
          <ns1:t>2</ns1:t>
        </ns1:r>
        <ns1:r>
          <ns1:rPr>
            <ns1:sty ns1:val="p"/>
          </ns1:rPr>
          <ns1:t>=</ns1:t>
        </ns1:r>
        <ns1:r>
          <ns1:t>16.72</ns1:t>
        </ns1:r>
      </ns1:oMath>
      <w:r>
        <w:t xml:space="preserve">— la conclusión es todavía más holgada (</w:t>
      </w:r>
      <ns1:oMath>
        <ns1:r>
          <ns1:t>p</ns1:t>
        </ns1:r>
        <ns1:r>
          <ns1:rPr>
            <ns1:sty ns1:val="p"/>
          </ns1:rPr>
          <ns1:t>=</ns1:t>
        </ns1:r>
        <ns1:r>
          <ns1:t>0.0008</ns1:t>
        </ns1:r>
      </ns1:oMath>
      <w:r>
        <w:t xml:space="preserve">). Ambas</w:t>
      </w:r>
      <w:r>
        <w:t xml:space="preserve"> </w:t>
      </w:r>
      <w:r>
        <w:t xml:space="preserve">lecturas dejan el estadístico por 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7.815</ns1:t>
        </ns1:r>
      </ns1:oMath>
      <w:r>
        <w:t xml:space="preserve">, de modo que la significación de Coste no depende de</w:t>
      </w:r>
      <w:r>
        <w:t xml:space="preserve"> </w:t>
      </w:r>
      <w:r>
        <w:t xml:space="preserve">cuál de las dos se adopte.</w:t>
      </w:r>
    </w:p>
    <w:p>
      <w:pPr>
        <w:pStyle w:val="Textoindependiente"/>
        <w:spacing w:line="360" w:lineRule="auto"/>
        <w:jc w:val="both"/>
      </w:pPr>
      <w:r>
        <w:rPr>
          <w:b/>
          <w:bCs/>
        </w:rPr>
        <w:t xml:space="preserve">Integridad del análisis pareado del Estudio B.</w:t>
      </w:r>
      <w:r>
        <w:t xml:space="preserve"> </w:t>
      </w:r>
      <w:r>
        <w:t xml:space="preserve">Con cobertura completa de</w:t>
      </w:r>
      <w:r>
        <w:t xml:space="preserve"> </w:t>
      </w:r>
      <w:r>
        <w:t xml:space="preserve">SHAP (75/75) y LIME (75/75), la cobertura pareada del Estudio B es del 100%.</w:t>
      </w:r>
      <w:r>
        <w:t xml:space="preserve"> </w:t>
      </w:r>
      <w:r>
        <w:t xml:space="preserve">Los datos faltantes de Anchors y DiCE</w:t>
      </w:r>
      <w:r>
        <w:t xml:space="preserve"> </w:t>
      </w:r>
      <w:r>
        <w:rPr>
          <w:b/>
          <w:bCs/>
        </w:rPr>
        <w:t xml:space="preserve">no afectan</w:t>
      </w:r>
      <w:r>
        <w:t xml:space="preserve"> </w:t>
      </w:r>
      <w:r>
        <w:t xml:space="preserve">al Estudio B.</w:t>
      </w:r>
    </w:p>
    <w:p>
      <w:pPr>
        <w:pStyle w:val="Textoindependiente"/>
        <w:spacing w:line="360" w:lineRule="auto"/>
        <w:jc w:val="both"/>
      </w:pPr>
      <w:r>
        <w:rPr>
          <w:b/>
          <w:bCs/>
        </w:rPr>
        <w:t xml:space="preserve">Dirección del sesgo de selección en Anchors.</w:t>
      </w:r>
      <w:r>
        <w:t xml:space="preserve"> </w:t>
      </w:r>
      <w:r>
        <w:t xml:space="preserve">El análisis anterior cuantifica</w:t>
      </w:r>
      <w:r>
        <w:t xml:space="preserve"> </w:t>
      </w:r>
      <w:r>
        <w:t xml:space="preserve">el efecto de la cobertura reducida sobre la</w:t>
      </w:r>
      <w:r>
        <w:t xml:space="preserve"> </w:t>
      </w:r>
      <w:r>
        <w:rPr>
          <w:i/>
          <w:iCs/>
        </w:rPr>
        <w:t xml:space="preserve">varianza</w:t>
      </w:r>
      <w:r>
        <w:t xml:space="preserve"> </w:t>
      </w:r>
      <w:r>
        <w:t xml:space="preserve">de los estimadores, pero</w:t>
      </w:r>
      <w:r>
        <w:t xml:space="preserve"> </w:t>
      </w:r>
      <w:r>
        <w:t xml:space="preserve">la ausencia de datos en Anchors no es aleatoria y exige además una consideración</w:t>
      </w:r>
      <w:r>
        <w:t xml:space="preserve"> </w:t>
      </w:r>
      <w:r>
        <w:t xml:space="preserve">sobre el</w:t>
      </w:r>
      <w:r>
        <w:t xml:space="preserve"> </w:t>
      </w:r>
      <w:r>
        <w:rPr>
          <w:i/>
          <w:iCs/>
        </w:rPr>
        <w:t xml:space="preserve">sesgo</w:t>
      </w:r>
      <w:r>
        <w:t xml:space="preserve">. Las 18 celdas ausentes lo están porque el algoritmo no</w:t>
      </w:r>
      <w:r>
        <w:t xml:space="preserve"> </w:t>
      </w:r>
      <w:r>
        <w:t xml:space="preserve">convergió a una regla con precisión</w:t>
      </w:r>
      <w:r>
        <w:t xml:space="preserve"> </w:t>
      </w:r>
      <ns1:oMath>
        <ns1:r>
          <ns1:rPr>
            <ns1:sty ns1:val="p"/>
          </ns1:rPr>
          <ns1:t>≥</ns1:t>
        </ns1:r>
        <ns1:r>
          <ns1:t>τ</ns1:t>
        </ns1:r>
      </ns1:oMath>
      <w:r>
        <w:t xml:space="preserve"> </w:t>
      </w:r>
      <w:r>
        <w:t xml:space="preserve">dentro del límite de búsqueda:</w:t>
      </w:r>
      <w:r>
        <w:t xml:space="preserve"> </w:t>
      </w:r>
      <w:r>
        <w:t xml:space="preserve">la ausencia depende del resultado que se habría observado, es decir, es</w:t>
      </w:r>
      <w:r>
        <w:t xml:space="preserve"> </w:t>
      </w:r>
      <w:r>
        <w:rPr>
          <w:i/>
          <w:iCs/>
        </w:rPr>
        <w:t xml:space="preserve">missing not at random</w:t>
      </w:r>
      <w:r>
        <w:t xml:space="preserve"> </w:t>
      </w:r>
      <w:r>
        <w:t xml:space="preserve">(MNAR) y se concentra en los estratos de mayor</w:t>
      </w:r>
      <w:r>
        <w:t xml:space="preserve"> </w:t>
      </w:r>
      <w:r>
        <w:t xml:space="preserve">incertidumbre local, precisamente aquellos en los que Anchors habría obtenido</w:t>
      </w:r>
      <w:r>
        <w:t xml:space="preserve"> </w:t>
      </w:r>
      <w:r>
        <w:t xml:space="preserve">previsiblemente sus peores métricas. La consecuencia es direccional: las medias</w:t>
      </w:r>
      <w:r>
        <w:t xml:space="preserve"> </w:t>
      </w:r>
      <w:r>
        <w:t xml:space="preserve">de calidad reportadas para Anchors son, con toda probabilidad,</w:t>
      </w:r>
      <w:r>
        <w:t xml:space="preserve"> </w:t>
      </w:r>
      <w:r>
        <w:rPr>
          <w:b/>
          <w:bCs/>
        </w:rPr>
        <w:t xml:space="preserve">optimistas</w:t>
      </w:r>
      <w:r>
        <w:t xml:space="preserve"> </w:t>
      </w:r>
      <w:r>
        <w:t xml:space="preserve">respecto a su rendimiento sobre el conjunto completo de celdas intentadas.</w:t>
      </w:r>
    </w:p>
    <w:p>
      <w:pPr>
        <w:pStyle w:val="Textoindependiente"/>
        <w:spacing w:line="360" w:lineRule="auto"/>
        <w:jc w:val="both"/>
      </w:pPr>
      <w:r>
        <w:t xml:space="preserve">El análisis de sensibilidad al umbral (</w:t>
      </w:r>
      <w:hyperlink w:anchor="tbl-appendix-anchors-sensitivity">
        <w:r>
          <w:rPr>
            <w:rStyle w:val="Hipervnculo"/>
          </w:rPr>
          <w:t xml:space="preserve">Table 7.10</w:t>
        </w:r>
      </w:hyperlink>
      <w:r>
        <w:t xml:space="preserve">) ofrece</w:t>
      </w:r>
      <w:r>
        <w:t xml:space="preserve"> </w:t>
      </w:r>
      <w:r>
        <w:t xml:space="preserve">una estimación empírica de la magnitud de este efecto. Al relajar</w:t>
      </w:r>
      <w:r>
        <w:t xml:space="preserve"> </w:t>
      </w:r>
      <ns1:oMath>
        <ns1:r>
          <ns1:t>τ</ns1:t>
        </ns1:r>
      </ns1:oMath>
      <w:r>
        <w:t xml:space="preserve"> </w:t>
      </w:r>
      <w:r>
        <w:t xml:space="preserve">de 0.95</w:t>
      </w:r>
      <w:r>
        <w:t xml:space="preserve"> </w:t>
      </w:r>
      <w:r>
        <w:t xml:space="preserve">a 0.90, la cobertura asciende de 57/75 (76%) a 72/75 (96%) y la fidelidad media</w:t>
      </w:r>
      <w:r>
        <w:t xml:space="preserve"> </w:t>
      </w:r>
      <w:r>
        <w:rPr>
          <w:i/>
          <w:iCs/>
        </w:rPr>
        <w:t xml:space="preserve">aumenta</w:t>
      </w:r>
      <w:r>
        <w:t xml:space="preserve"> </w:t>
      </w:r>
      <w:r>
        <w:t xml:space="preserve">de 0.386 a 0.421 —no disminuye—, lo que confirma que las celdas</w:t>
      </w:r>
      <w:r>
        <w:t xml:space="preserve"> </w:t>
      </w:r>
      <w:r>
        <w:t xml:space="preserve">recuperadas al relajar el criterio no son las de peor calidad bajo la métrica de</w:t>
      </w:r>
      <w:r>
        <w:t xml:space="preserve"> </w:t>
      </w:r>
      <w:r>
        <w:t xml:space="preserve">correlación de importancias, sino que el umbral y la métrica de fidelidad no</w:t>
      </w:r>
      <w:r>
        <w:t xml:space="preserve"> </w:t>
      </w:r>
      <w:r>
        <w:t xml:space="preserve">están alineados. El sesgo existe, por tanto, pero su magnitud es moderada y su</w:t>
      </w:r>
      <w:r>
        <w:t xml:space="preserve"> </w:t>
      </w:r>
      <w:r>
        <w:t xml:space="preserve">dirección no invalida la posición de Anchors en el ordenamiento: el método ya</w:t>
      </w:r>
      <w:r>
        <w:t xml:space="preserve"> </w:t>
      </w:r>
      <w:r>
        <w:t xml:space="preserve">ocupa la tercera o cuarta posición incluso bajo esta estimación potencialmente</w:t>
      </w:r>
      <w:r>
        <w:t xml:space="preserve"> </w:t>
      </w:r>
      <w:r>
        <w:t xml:space="preserve">favorable. Esta consideración refuerza —no debilita— la cautela con la que el</w:t>
      </w:r>
      <w:r>
        <w:t xml:space="preserve"> </w:t>
      </w:r>
      <w:r>
        <w:t xml:space="preserve">Capítulo 6 recomienda el uso de Anchors.</w:t>
      </w:r>
    </w:p>
    <w:p>
      <w:pPr>
        <w:pStyle w:val="Textoindependiente"/>
        <w:spacing w:line="360" w:lineRule="auto"/>
        <w:jc w:val="both"/>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ns1:oMath>
        <ns1:r>
          <ns1:rPr>
            <ns1:sty ns1:val="p"/>
          </ns1:rPr>
          <ns1:t>≥</ns1:t>
        </ns1:r>
        <ns1:r>
          <ns1:t>290</ns1:t>
        </ns1:r>
        <ns1:r>
          <ns1:rPr>
            <ns1:sty ns1:val="p"/>
          </ns1:rPr>
          <ns1:t>%</ns1:t>
        </ns1:r>
      </ns1:oMath>
      <w:r>
        <w:t xml:space="preserve">, el análisis pareado del Estudio B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6"/>
    <w:bookmarkEnd w:id="87"/>
    <w:bookmarkStart w:id="95" w:name="plan-de-inferencia-estadística"/>
    <w:p>
      <w:pPr>
        <w:pStyle w:val="Ttulo2"/>
        <w:spacing w:line="360" w:lineRule="auto"/>
        <w:jc w:val="both"/>
      </w:pPr>
      <w:r>
        <w:t xml:space="preserve">Plan de inferencia estadística</w:t>
      </w:r>
    </w:p>
    <w:bookmarkStart w:id="88" w:name="estudio-a-test-omnibus-de-friedman"/>
    <w:p>
      <w:pPr>
        <w:pStyle w:val="Ttulo3"/>
        <w:spacing w:line="360" w:lineRule="auto"/>
        <w:jc w:val="both"/>
      </w:pPr>
      <w:r>
        <w:t xml:space="preserve">Estudio A: test omnibus de Friedman</w:t>
      </w:r>
    </w:p>
    <w:p>
      <w:pPr>
        <w:pStyle w:val="FirstParagraph"/>
        <w:spacing w:line="360" w:lineRule="auto"/>
        <w:jc w:val="both"/>
      </w:pPr>
      <w:r>
        <w:t xml:space="preserve">Para contrastar H1 y H2, se aplica el test de Friedman</w:t>
      </w:r>
      <w:r>
        <w:t xml:space="preserve"> </w:t>
      </w:r>
      <w:r>
        <w:t xml:space="preserve">(Friedman 1937)</w:t>
      </w:r>
      <w:r>
        <w:t xml:space="preserve"> </w:t>
      </w:r>
      <w:r>
        <w:t xml:space="preserve">sobre los</w:t>
      </w:r>
      <w:r>
        <w:t xml:space="preserve"> </w:t>
      </w:r>
      <ns1:oMath>
        <ns1:r>
          <ns1:t>B</ns1:t>
        </ns1:r>
        <ns1:r>
          <ns1:rPr>
            <ns1:sty ns1:val="p"/>
          </ns1:rPr>
          <ns1:t>=</ns1:t>
        </ns1:r>
        <ns1:r>
          <ns1:t>15</ns1:t>
        </ns1:r>
      </ns1:oMath>
      <w:r>
        <w:t xml:space="preserve"> </w:t>
      </w:r>
      <w:r>
        <w:t xml:space="preserve">bloques completos con</w:t>
      </w:r>
      <w:r>
        <w:t xml:space="preserve"> </w:t>
      </w:r>
      <ns1:oMath>
        <ns1:r>
          <ns1:t>k</ns1:t>
        </ns1:r>
        <ns1:r>
          <ns1:rPr>
            <ns1:sty ns1:val="p"/>
          </ns1:rPr>
          <ns1:t>=</ns1:t>
        </ns1:r>
        <ns1:r>
          <ns1:t>4</ns1:t>
        </ns1:r>
      </ns1:oMath>
      <w:r>
        <w:t xml:space="preserve"> </w:t>
      </w:r>
      <w:r>
        <w:t xml:space="preserve">tratamientos. El estadístico</w:t>
      </w:r>
      <w:r>
        <w:t xml:space="preserve"> </w:t>
      </w:r>
      <w:r>
        <w:t xml:space="preserve">se calcula sobre los rangos</w:t>
      </w:r>
      <w:r>
        <w:t xml:space="preserve"> </w:t>
      </w:r>
      <ns1:oMath>
        <ns1:sSub>
          <ns1:e>
            <ns1:r>
              <ns1:t>r</ns1:t>
            </ns1:r>
          </ns1:e>
          <ns1:sub>
            <ns1:r>
              <ns1:t>b</ns1:t>
            </ns1:r>
            <ns1:r>
              <ns1:t>j</ns1:t>
            </ns1:r>
          </ns1:sub>
        </ns1:sSub>
      </ns1:oMath>
      <w:r>
        <w:t xml:space="preserve"> </w:t>
      </w:r>
      <w:r>
        <w:t xml:space="preserve">de cada tratamiento</w:t>
      </w:r>
      <w:r>
        <w:t xml:space="preserve"> </w:t>
      </w:r>
      <ns1:oMath>
        <ns1:r>
          <ns1:t>j</ns1:t>
        </ns1:r>
      </ns1:oMath>
      <w:r>
        <w:t xml:space="preserve"> </w:t>
      </w:r>
      <w:r>
        <w:t xml:space="preserve">dentro de</w:t>
      </w:r>
      <w:r>
        <w:t xml:space="preserve"> </w:t>
      </w:r>
      <w:r>
        <w:t xml:space="preserve">cada bloque</w:t>
      </w:r>
      <w:r>
        <w:t xml:space="preserve"> </w:t>
      </w:r>
      <ns1:oMath>
        <ns1:r>
          <ns1:t>b</ns1:t>
        </ns1:r>
      </ns1:oMath>
      <w:r>
        <w:t xml:space="preserve">:</w:t>
      </w:r>
    </w:p>
    <w:p>
      <w:pPr>
        <w:pStyle w:val="Textoindependiente"/>
        <w:spacing w:line="360" w:lineRule="auto"/>
        <w:jc w:val="both"/>
      </w:pPr>
      <ns1:oMathPara>
        <ns1:oMathParaPr>
          <ns1:jc ns1:val="center"/>
        </ns1:oMathParaPr>
        <ns1:oMath>
          <ns1:sSubSup>
            <ns1:e>
              <ns1:r>
                <ns1:t>χ</ns1:t>
              </ns1:r>
            </ns1:e>
            <ns1:sub>
              <ns1:r>
                <ns1:t>F</ns1:t>
              </ns1:r>
            </ns1:sub>
            <ns1:sup>
              <ns1:r>
                <ns1:t>2</ns1:t>
              </ns1:r>
            </ns1:sup>
          </ns1:sSubSup>
          <ns1:r>
            <ns1:rPr>
              <ns1:sty ns1:val="p"/>
            </ns1:rPr>
            <ns1:t>=</ns1:t>
          </ns1:r>
          <ns1:f>
            <ns1:fPr>
              <ns1:type ns1:val="bar"/>
            </ns1:fPr>
            <ns1:num>
              <ns1:r>
                <ns1:t>12</ns1:t>
              </ns1:r>
              <ns1:r>
                <ns1:t>B</ns1:t>
              </ns1:r>
            </ns1:num>
            <ns1:den>
              <ns1:r>
                <ns1:t>k</ns1:t>
              </ns1:r>
              <ns1:r>
                <ns1:rPr>
                  <ns1:sty ns1:val="p"/>
                </ns1:rPr>
                <ns1:t>(</ns1:t>
              </ns1:r>
              <ns1:r>
                <ns1:t>k</ns1:t>
              </ns1:r>
              <ns1:r>
                <ns1:rPr>
                  <ns1:sty ns1:val="p"/>
                </ns1:rPr>
                <ns1:t>+</ns1:t>
              </ns1:r>
              <ns1:r>
                <ns1:t>1</ns1:t>
              </ns1:r>
              <ns1:r>
                <ns1:rPr>
                  <ns1:sty ns1:val="p"/>
                </ns1:rPr>
                <ns1:t>)</ns1:t>
              </ns1:r>
            </ns1:den>
          </ns1:f>
          <ns1:nary>
            <ns1:naryPr>
              <ns1:chr ns1:val="∑"/>
              <ns1:limLoc ns1:val="undOvr"/>
              <ns1:subHide ns1:val="off"/>
              <ns1:supHide ns1:val="off"/>
            </ns1:naryPr>
            <ns1:sub>
              <ns1:r>
                <ns1:t>j</ns1:t>
              </ns1:r>
              <ns1:r>
                <ns1:rPr>
                  <ns1:sty ns1:val="p"/>
                </ns1:rPr>
                <ns1:t>=</ns1:t>
              </ns1:r>
              <ns1:r>
                <ns1:t>1</ns1:t>
              </ns1:r>
            </ns1:sub>
            <ns1:sup>
              <ns1:r>
                <ns1:t>k</ns1:t>
              </ns1:r>
            </ns1:sup>
            <ns1:e>
              <ns1:sSup>
                <ns1:e>
                  <ns1:d>
                    <ns1:dPr>
                      <ns1:begChr ns1:val="("/>
                      <ns1:sepChr ns1:val=""/>
                      <ns1:endChr ns1:val=")"/>
                      <ns1:grow/>
                    </ns1:dPr>
                    <ns1:e>
                      <ns1:sSub>
                        <ns1:e>
                          <ns1:acc>
                            <ns1:accPr>
                              <ns1:chr ns1:val="‾"/>
                            </ns1:accPr>
                            <ns1:e>
                              <ns1:r>
                                <ns1:t>r</ns1:t>
                              </ns1:r>
                            </ns1:e>
                          </ns1:acc>
                        </ns1:e>
                        <ns1:sub>
                          <ns1:r>
                            <ns1:t>j</ns1:t>
                          </ns1:r>
                        </ns1:sub>
                      </ns1:sSub>
                      <ns1:r>
                        <ns1:rPr>
                          <ns1:sty ns1:val="p"/>
                        </ns1:rPr>
                        <ns1:t>−</ns1:t>
                      </ns1:r>
                      <ns1:f>
                        <ns1:fPr>
                          <ns1:type ns1:val="bar"/>
                        </ns1:fPr>
                        <ns1:num>
                          <ns1:r>
                            <ns1:t>k</ns1:t>
                          </ns1:r>
                          <ns1:r>
                            <ns1:rPr>
                              <ns1:sty ns1:val="p"/>
                            </ns1:rPr>
                            <ns1:t>+</ns1:t>
                          </ns1:r>
                          <ns1:r>
                            <ns1:t>1</ns1:t>
                          </ns1:r>
                        </ns1:num>
                        <ns1:den>
                          <ns1:r>
                            <ns1:t>2</ns1:t>
                          </ns1:r>
                        </ns1:den>
                      </ns1:f>
                    </ns1:e>
                  </ns1:d>
                </ns1:e>
                <ns1:sup>
                  <ns1:r>
                    <ns1:t>2</ns1:t>
                  </ns1:r>
                </ns1:sup>
              </ns1:sSup>
            </ns1:e>
          </ns1:nary>
        </ns1:oMath>
      </ns1:oMathPara>
    </w:p>
    <w:p>
      <w:pPr>
        <w:pStyle w:val="FirstParagraph"/>
        <w:spacing w:line="360" w:lineRule="auto"/>
        <w:jc w:val="both"/>
      </w:pPr>
      <w:r>
        <w:t xml:space="preserve">donde</w:t>
      </w:r>
      <w:r>
        <w:t xml:space="preserve"> </w:t>
      </w:r>
      <ns1:oMath>
        <ns1:sSub>
          <ns1:e>
            <ns1:acc>
              <ns1:accPr>
                <ns1:chr ns1:val="‾"/>
              </ns1:accPr>
              <ns1:e>
                <ns1:r>
                  <ns1:t>r</ns1:t>
                </ns1:r>
              </ns1:e>
            </ns1:acc>
          </ns1:e>
          <ns1:sub>
            <ns1:r>
              <ns1:t>j</ns1:t>
            </ns1:r>
          </ns1:sub>
        </ns1:sSub>
        <ns1:r>
          <ns1:rPr>
            <ns1:sty ns1:val="p"/>
          </ns1:rPr>
          <ns1:t>=</ns1:t>
        </ns1:r>
        <ns1:f>
          <ns1:fPr>
            <ns1:type ns1:val="bar"/>
          </ns1:fPr>
          <ns1:num>
            <ns1:r>
              <ns1:t>1</ns1:t>
            </ns1:r>
          </ns1:num>
          <ns1:den>
            <ns1:r>
              <ns1:t>B</ns1:t>
            </ns1:r>
          </ns1:den>
        </ns1:f>
        <ns1:nary>
          <ns1:naryPr>
            <ns1:chr ns1:val="∑"/>
            <ns1:limLoc ns1:val="undOvr"/>
            <ns1:subHide ns1:val="off"/>
            <ns1:supHide ns1:val="off"/>
          </ns1:naryPr>
          <ns1:sub>
            <ns1:r>
              <ns1:t>b</ns1:t>
            </ns1:r>
            <ns1:r>
              <ns1:rPr>
                <ns1:sty ns1:val="p"/>
              </ns1:rPr>
              <ns1:t>=</ns1:t>
            </ns1:r>
            <ns1:r>
              <ns1:t>1</ns1:t>
            </ns1:r>
          </ns1:sub>
          <ns1:sup>
            <ns1:r>
              <ns1:t>B</ns1:t>
            </ns1:r>
          </ns1:sup>
          <ns1:e>
            <ns1:sSub>
              <ns1:e>
                <ns1:r>
                  <ns1:t>r</ns1:t>
                </ns1:r>
              </ns1:e>
              <ns1:sub>
                <ns1:r>
                  <ns1:t>b</ns1:t>
                </ns1:r>
                <ns1:r>
                  <ns1:t>j</ns1:t>
                </ns1:r>
              </ns1:sub>
            </ns1:sSub>
          </ns1:e>
        </ns1:nary>
      </ns1:oMath>
      <w:r>
        <w:t xml:space="preserve">. Bajo</w:t>
      </w:r>
      <w:r>
        <w:t xml:space="preserve"> </w:t>
      </w:r>
      <ns1:oMath>
        <ns1:sSub>
          <ns1:e>
            <ns1:r>
              <ns1:t>H</ns1:t>
            </ns1:r>
          </ns1:e>
          <ns1:sub>
            <ns1:r>
              <ns1:t>0</ns1:t>
            </ns1:r>
          </ns1:sub>
        </ns1:sSub>
      </ns1:oMath>
      <w:r>
        <w:t xml:space="preserve">,</w:t>
      </w:r>
      <w:r>
        <w:t xml:space="preserve"> </w:t>
      </w:r>
      <ns1:oMath>
        <ns1:sSubSup>
          <ns1:e>
            <ns1:r>
              <ns1:t>χ</ns1:t>
            </ns1:r>
          </ns1:e>
          <ns1:sub>
            <ns1:r>
              <ns1:t>F</ns1:t>
            </ns1:r>
          </ns1:sub>
          <ns1:sup>
            <ns1:r>
              <ns1:t>2</ns1:t>
            </ns1:r>
          </ns1:sup>
        </ns1:sSubSup>
        <ns1:r>
          <ns1:rPr>
            <ns1:sty ns1:val="p"/>
          </ns1:rPr>
          <ns1:t>∼</ns1:t>
        </ns1:r>
        <ns1:sSubSup>
          <ns1:e>
            <ns1:r>
              <ns1:t>χ</ns1:t>
            </ns1:r>
          </ns1:e>
          <ns1:sub>
            <ns1:r>
              <ns1:t>k</ns1:t>
            </ns1:r>
            <ns1:r>
              <ns1:rPr>
                <ns1:sty ns1:val="p"/>
              </ns1:rPr>
              <ns1:t>−</ns1:t>
            </ns1:r>
            <ns1:r>
              <ns1:t>1</ns1:t>
            </ns1:r>
          </ns1:sub>
          <ns1:sup>
            <ns1:r>
              <ns1:t>2</ns1:t>
            </ns1:r>
          </ns1:sup>
        </ns1:sSubSup>
      </ns1:oMath>
      <w:r>
        <w:t xml:space="preserve"> </w:t>
      </w:r>
      <w:r>
        <w:t xml:space="preserve">asintóticamente para</w:t>
      </w:r>
      <w:r>
        <w:t xml:space="preserve"> </w:t>
      </w:r>
      <ns1:oMath>
        <ns1:r>
          <ns1:t>B</ns1:t>
        </ns1:r>
        <ns1:r>
          <ns1:rPr>
            <ns1:sty ns1:val="p"/>
          </ns1:rPr>
          <ns1:t>≥</ns1:t>
        </ns1:r>
        <ns1:r>
          <ns1:t>10</ns1:t>
        </ns1:r>
      </ns1:oMath>
      <w:r>
        <w:t xml:space="preserve"> </w:t>
      </w:r>
      <w:r>
        <w:t xml:space="preserve">(Demšar 2006)</w:t>
      </w:r>
      <w:r>
        <w:t xml:space="preserve">. El tamaño del efecto se reporta mediante la</w:t>
      </w:r>
      <w:r>
        <w:t xml:space="preserve"> </w:t>
      </w:r>
      <ns1:oMath>
        <ns1:r>
          <ns1:t>W</ns1:t>
        </ns1:r>
      </ns1:oMath>
      <w:r>
        <w:t xml:space="preserve"> </w:t>
      </w:r>
      <w:r>
        <w:t xml:space="preserve">de Kendall:</w:t>
      </w:r>
    </w:p>
    <w:p>
      <w:pPr>
        <w:pStyle w:val="Textoindependiente"/>
        <w:spacing w:line="360" w:lineRule="auto"/>
        <w:jc w:val="both"/>
      </w:pPr>
      <ns1:oMathPara>
        <ns1:oMathParaPr>
          <ns1:jc ns1:val="center"/>
        </ns1:oMathParaPr>
        <ns1:oMath>
          <ns1:r>
            <ns1:t>W</ns1:t>
          </ns1:r>
          <ns1:r>
            <ns1:rPr>
              <ns1:sty ns1:val="p"/>
            </ns1:rPr>
            <ns1:t>=</ns1:t>
          </ns1:r>
          <ns1:f>
            <ns1:fPr>
              <ns1:type ns1:val="bar"/>
            </ns1:fPr>
            <ns1:num>
              <ns1:sSubSup>
                <ns1:e>
                  <ns1:r>
                    <ns1:t>χ</ns1:t>
                  </ns1:r>
                </ns1:e>
                <ns1:sub>
                  <ns1:r>
                    <ns1:t>F</ns1:t>
                  </ns1:r>
                </ns1:sub>
                <ns1:sup>
                  <ns1:r>
                    <ns1:t>2</ns1:t>
                  </ns1:r>
                </ns1:sup>
              </ns1:sSubSup>
            </ns1:num>
            <ns1:den>
              <ns1:r>
                <ns1:t>B</ns1:t>
              </ns1:r>
              <ns1:r>
                <ns1:rPr>
                  <ns1:sty ns1:val="p"/>
                </ns1:rPr>
                <ns1:t>(</ns1:t>
              </ns1:r>
              <ns1:r>
                <ns1:t>k</ns1:t>
              </ns1:r>
              <ns1:r>
                <ns1:rPr>
                  <ns1:sty ns1:val="p"/>
                </ns1:rPr>
                <ns1:t>−</ns1:t>
              </ns1:r>
              <ns1:r>
                <ns1:t>1</ns1:t>
              </ns1:r>
              <ns1:r>
                <ns1:rPr>
                  <ns1:sty ns1:val="p"/>
                </ns1:rPr>
                <ns1:t>)</ns1:t>
              </ns1:r>
            </ns1:den>
          </ns1:f>
        </ns1:oMath>
      </ns1:oMathPara>
    </w:p>
    <w:p>
      <w:pPr>
        <w:pStyle w:val="FirstParagraph"/>
        <w:spacing w:line="360" w:lineRule="auto"/>
        <w:jc w:val="both"/>
      </w:pPr>
      <w:r>
        <w:t xml:space="preserve">donde</w:t>
      </w:r>
      <w:r>
        <w:t xml:space="preserve"> </w:t>
      </w:r>
      <ns1:oMath>
        <ns1:r>
          <ns1:t>W</ns1:t>
        </ns1:r>
        <ns1:r>
          <ns1:rPr>
            <ns1:sty ns1:val="p"/>
          </ns1:rPr>
          <ns1:t>=</ns1:t>
        </ns1:r>
        <ns1:r>
          <ns1:t>1</ns1:t>
        </ns1:r>
      </ns1:oMath>
      <w:r>
        <w:t xml:space="preserve"> </w:t>
      </w:r>
      <w:r>
        <w:t xml:space="preserve">indica concordancia perfecta entre bloques.</w:t>
      </w:r>
    </w:p>
    <w:bookmarkEnd w:id="88"/>
    <w:bookmarkStart w:id="89" w:name="localización-post-hoc-nemenyi"/>
    <w:p>
      <w:pPr>
        <w:pStyle w:val="Ttulo3"/>
        <w:spacing w:line="360" w:lineRule="auto"/>
        <w:jc w:val="both"/>
      </w:pPr>
      <w:r>
        <w:t xml:space="preserve">Localización post-hoc: Nemenyi</w:t>
      </w:r>
    </w:p>
    <w:p>
      <w:pPr>
        <w:pStyle w:val="FirstParagraph"/>
        <w:spacing w:line="360" w:lineRule="auto"/>
        <w:jc w:val="both"/>
      </w:pPr>
      <w:r>
        <w:t xml:space="preserve">Cuando Friedman rechaza</w:t>
      </w:r>
      <w:r>
        <w:t xml:space="preserve"> </w:t>
      </w:r>
      <ns1:oMath>
        <ns1:sSub>
          <ns1:e>
            <ns1:r>
              <ns1:t>H</ns1:t>
            </ns1:r>
          </ns1:e>
          <ns1:sub>
            <ns1:r>
              <ns1:t>0</ns1:t>
            </ns1:r>
          </ns1:sub>
        </ns1:sSub>
      </ns1:oMath>
      <w:r>
        <w:t xml:space="preserve">, se aplica la prueba post-hoc de Nemenyi</w:t>
      </w:r>
      <w:r>
        <w:t xml:space="preserve"> </w:t>
      </w:r>
      <w:r>
        <w:t xml:space="preserve">(Nemenyi 1963)</w:t>
      </w:r>
      <w:r>
        <w:t xml:space="preserve">. La diferencia crítica al nivel</w:t>
      </w:r>
      <w:r>
        <w:t xml:space="preserve"> </w:t>
      </w:r>
      <ns1:oMath>
        <ns1:r>
          <ns1:t>α</ns1:t>
        </ns1:r>
        <ns1:r>
          <ns1:rPr>
            <ns1:sty ns1:val="p"/>
          </ns1:rPr>
          <ns1:t>=</ns1:t>
        </ns1:r>
        <ns1:r>
          <ns1:t>0.05</ns1:t>
        </ns1:r>
      </ns1:oMath>
      <w:r>
        <w:t xml:space="preserve"> </w:t>
      </w:r>
      <w:r>
        <w:t xml:space="preserve">con</w:t>
      </w:r>
      <w:r>
        <w:t xml:space="preserve"> </w:t>
      </w:r>
      <ns1:oMath>
        <ns1:r>
          <ns1:t>k</ns1:t>
        </ns1:r>
        <ns1:r>
          <ns1:rPr>
            <ns1:sty ns1:val="p"/>
          </ns1:rPr>
          <ns1:t>=</ns1:t>
        </ns1:r>
        <ns1:r>
          <ns1:t>4</ns1:t>
        </ns1:r>
      </ns1:oMath>
      <w:r>
        <w:t xml:space="preserve"> </w:t>
      </w:r>
      <w:r>
        <w:t xml:space="preserve">y</w:t>
      </w:r>
      <w:r>
        <w:t xml:space="preserve"> </w:t>
      </w:r>
      <ns1:oMath>
        <ns1:r>
          <ns1:t>B</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rPr>
              <ns1:nor/>
              <ns1:sty ns1:val="p"/>
            </ns1:rPr>
            <ns1:t>CD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B</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1.211</ns1:t>
          </ns1:r>
          <ns1:r>
            <ns1:rPr>
              <ns1:nor/>
              <ns1:sty ns1:val="p"/>
            </ns1:rPr>
            <ns1:t> rangos</ns1:t>
          </ns1:r>
        </ns1:oMath>
      </ns1:oMathPara>
    </w:p>
    <w:p>
      <w:pPr>
        <w:pStyle w:val="FirstParagraph"/>
        <w:spacing w:line="360" w:lineRule="auto"/>
        <w:jc w:val="both"/>
      </w:pPr>
      <w:r>
        <w:t xml:space="preserve">Dos métodos se consideran significativamente distintos si</w:t>
      </w:r>
      <w:r>
        <w:t xml:space="preserve"> </w:t>
      </w:r>
      <ns1:oMath>
        <ns1:r>
          <ns1:rPr>
            <ns1:sty ns1:val="p"/>
          </ns1:rPr>
          <ns1:t>|</ns1:t>
        </ns1:r>
        <ns1:sSub>
          <ns1:e>
            <ns1:acc>
              <ns1:accPr>
                <ns1:chr ns1:val="‾"/>
              </ns1:accPr>
              <ns1:e>
                <ns1:r>
                  <ns1:t>r</ns1:t>
                </ns1:r>
              </ns1:e>
            </ns1:acc>
          </ns1:e>
          <ns1:sub>
            <ns1:r>
              <ns1:t>i</ns1:t>
            </ns1:r>
          </ns1:sub>
        </ns1:sSub>
        <ns1:r>
          <ns1:rPr>
            <ns1:sty ns1:val="p"/>
          </ns1:rPr>
          <ns1:t>−</ns1:t>
        </ns1:r>
        <ns1:sSub>
          <ns1:e>
            <ns1:acc>
              <ns1:accPr>
                <ns1:chr ns1:val="‾"/>
              </ns1:accPr>
              <ns1:e>
                <ns1:r>
                  <ns1:t>r</ns1:t>
                </ns1:r>
              </ns1:e>
            </ns1:acc>
          </ns1:e>
          <ns1:sub>
            <ns1:r>
              <ns1:t>j</ns1:t>
            </ns1:r>
          </ns1:sub>
        </ns1:sSub>
        <ns1:r>
          <ns1:rPr>
            <ns1:sty ns1:val="p"/>
          </ns1:rPr>
          <ns1:t>|</ns1:t>
        </ns1:r>
        <ns1:r>
          <ns1:rPr>
            <ns1:sty ns1:val="p"/>
          </ns1:rPr>
          <ns1:t>&gt;</ns1:t>
        </ns1:r>
        <ns1:r>
          <ns1:rPr>
            <ns1:nor/>
            <ns1:sty ns1:val="p"/>
          </ns1:rPr>
          <ns1:t>CD</ns1:t>
        </ns1:r>
      </ns1:oMath>
      <w:r>
        <w:t xml:space="preserve">.</w:t>
      </w:r>
    </w:p>
    <w:bookmarkEnd w:id="89"/>
    <w:bookmarkStart w:id="90" w:name="X82a710d830240cc18776e0ef609d9e71b3f53e7"/>
    <w:p>
      <w:pPr>
        <w:pStyle w:val="Ttulo3"/>
        <w:spacing w:line="360" w:lineRule="auto"/>
        <w:jc w:val="both"/>
      </w:pPr>
      <w:r>
        <w:t xml:space="preserve">Wilcoxon pareado: conjuntos de 45 y 75 celdas</w:t>
      </w:r>
    </w:p>
    <w:p>
      <w:pPr>
        <w:pStyle w:val="FirstParagraph"/>
        <w:spacing w:line="360" w:lineRule="auto"/>
        <w:jc w:val="bot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ns1:oMath>
        <ns1:sSub>
          <ns1:e>
            <ns1:r>
              <ns1:t>d</ns1:t>
            </ns1:r>
          </ns1:e>
          <ns1:sub>
            <ns1:r>
              <ns1:t>i</ns1:t>
            </ns1:r>
          </ns1:sub>
        </ns1:sSub>
        <ns1:r>
          <ns1:rPr>
            <ns1:sty ns1:val="p"/>
          </ns1:rPr>
          <ns1:t>=</ns1:t>
        </ns1:r>
        <ns1:sSub>
          <ns1:e>
            <ns1:r>
              <ns1:t>y</ns1:t>
            </ns1:r>
          </ns1:e>
          <ns1:sub>
            <ns1:r>
              <ns1:rPr>
                <ns1:nor/>
                <ns1:sty ns1:val="p"/>
              </ns1:rPr>
              <ns1:t>SHAP</ns1:t>
            </ns1:r>
            <ns1:r>
              <ns1:rPr>
                <ns1:sty ns1:val="p"/>
              </ns1:rPr>
              <ns1:t>,</ns1:t>
            </ns1:r>
            <ns1:r>
              <ns1:t>i</ns1:t>
            </ns1:r>
          </ns1:sub>
        </ns1:sSub>
        <ns1:r>
          <ns1:rPr>
            <ns1:sty ns1:val="p"/>
          </ns1:rPr>
          <ns1:t>−</ns1:t>
        </ns1:r>
        <ns1:sSub>
          <ns1:e>
            <ns1:r>
              <ns1:t>y</ns1:t>
            </ns1:r>
          </ns1:e>
          <ns1:sub>
            <ns1:r>
              <ns1:rPr>
                <ns1:nor/>
                <ns1:sty ns1:val="p"/>
              </ns1:rPr>
              <ns1:t>LIME</ns1:t>
            </ns1:r>
            <ns1:r>
              <ns1:rPr>
                <ns1:sty ns1:val="p"/>
              </ns1:rPr>
              <ns1:t>,</ns1:t>
            </ns1:r>
            <ns1:r>
              <ns1:t>i</ns1:t>
            </ns1:r>
          </ns1:sub>
        </ns1:sSub>
      </ns1:oMath>
      <w:r>
        <w:t xml:space="preserve"> </w:t>
      </w:r>
      <w:r>
        <w:t xml:space="preserve">en dos conjuntos:</w:t>
      </w:r>
    </w:p>
    <w:p>
      <w:pPr>
        <w:pStyle w:val="Compact"/>
        <w:numPr>
          <w:ilvl w:val="0"/>
          <w:numId w:val="1009"/>
        </w:numPr>
        <w:spacing w:line="360" w:lineRule="auto"/>
        <w:jc w:val="both"/>
      </w:pPr>
      <w:r>
        <w:rPr>
          <w:b/>
          <w:bCs/>
        </w:rPr>
        <w:t xml:space="preserve">Wilcoxon-45</w:t>
      </w:r>
      <w:r>
        <w:t xml:space="preserve">: 45 celdas con</w:t>
      </w:r>
      <w:r>
        <w:t xml:space="preserve"> </w:t>
      </w:r>
      <ns1:oMath>
        <ns1:r>
          <ns1:t>g</ns1:t>
        </ns1:r>
        <ns1:r>
          <ns1:rPr>
            <ns1:sty ns1:val="p"/>
          </ns1:rPr>
          <ns1:t>∈</ns1:t>
        </ns1:r>
        <ns1:r>
          <ns1:rPr>
            <ns1:sty ns1:val="p"/>
          </ns1:rPr>
          <ns1:t>{</ns1:t>
        </ns1:r>
      </ns1:oMath>
      <w:r>
        <w:t xml:space="preserve">logreg, rf, xgb</w:t>
      </w:r>
      <ns1:oMath>
        <ns1:r>
          <ns1:rPr>
            <ns1:sty ns1:val="p"/>
          </ns1:rPr>
          <ns1:t>}</ns1:t>
        </ns1:r>
      </ns1:oMath>
      <w:r>
        <w:t xml:space="preserve"> </w:t>
      </w:r>
      <w:r>
        <w:t xml:space="preserve">(conjunto</w:t>
      </w:r>
      <w:r>
        <w:t xml:space="preserve"> </w:t>
      </w:r>
      <w:r>
        <w:t xml:space="preserve">primario con TreeSHAP exacto).</w:t>
      </w:r>
    </w:p>
    <w:p>
      <w:pPr>
        <w:pStyle w:val="Compact"/>
        <w:numPr>
          <w:ilvl w:val="0"/>
          <w:numId w:val="1009"/>
        </w:numPr>
        <w:spacing w:line="360" w:lineRule="auto"/>
        <w:jc w:val="both"/>
      </w:pPr>
      <w:r>
        <w:rPr>
          <w:b/>
          <w:bCs/>
        </w:rPr>
        <w:t xml:space="preserve">Wilcoxon-75</w:t>
      </w:r>
      <w:r>
        <w:t xml:space="preserve">: 75 celdas completas (análisis de sensibilidad que incluye</w:t>
      </w:r>
      <w:r>
        <w:t xml:space="preserve"> </w:t>
      </w:r>
      <w:r>
        <w:t xml:space="preserve">SVM y MLP con KernelSHAP).</w:t>
      </w:r>
    </w:p>
    <w:p>
      <w:pPr>
        <w:pStyle w:val="FirstParagraph"/>
        <w:spacing w:line="360" w:lineRule="auto"/>
        <w:jc w:val="both"/>
      </w:pPr>
      <w:r>
        <w:t xml:space="preserve">El tamaño del efecto se reporta como</w:t>
      </w:r>
      <w:r>
        <w:t xml:space="preserve"> </w:t>
      </w:r>
      <ns1:oMath>
        <ns1:sSub>
          <ns1:e>
            <ns1:r>
              <ns1:t>d</ns1:t>
            </ns1:r>
          </ns1:e>
          <ns1:sub>
            <ns1:r>
              <ns1:t>z</ns1:t>
            </ns1:r>
          </ns1:sub>
        </ns1:sSub>
      </ns1:oMath>
      <w:r>
        <w:t xml:space="preserve"> </w:t>
      </w:r>
      <w:r>
        <w:t xml:space="preserve">de Cohen</w:t>
      </w:r>
      <w:r>
        <w:t xml:space="preserve"> </w:t>
      </w:r>
      <w:r>
        <w:t xml:space="preserve">(Lakens 2013)</w:t>
      </w:r>
      <w:r>
        <w:t xml:space="preserve">:</w:t>
      </w:r>
    </w:p>
    <w:p>
      <w:pPr>
        <w:pStyle w:val="Textoindependiente"/>
        <w:spacing w:line="360" w:lineRule="auto"/>
        <w:jc w:val="both"/>
      </w:pPr>
      <ns1:oMathPara>
        <ns1:oMathParaPr>
          <ns1:jc ns1:val="center"/>
        </ns1:oMathParaPr>
        <ns1:oMath>
          <ns1:sSub>
            <ns1:e>
              <ns1:r>
                <ns1:t>d</ns1:t>
              </ns1:r>
            </ns1:e>
            <ns1:sub>
              <ns1:r>
                <ns1:t>z</ns1:t>
              </ns1:r>
            </ns1:sub>
          </ns1:sSub>
          <ns1:r>
            <ns1:rPr>
              <ns1:sty ns1:val="p"/>
            </ns1:rPr>
            <ns1:t>=</ns1:t>
          </ns1:r>
          <ns1:f>
            <ns1:fPr>
              <ns1:type ns1:val="bar"/>
            </ns1:fPr>
            <ns1:num>
              <ns1:acc>
                <ns1:accPr>
                  <ns1:chr ns1:val="‾"/>
                </ns1:accPr>
                <ns1:e>
                  <ns1:r>
                    <ns1:t>d</ns1:t>
                  </ns1:r>
                </ns1:e>
              </ns1:acc>
            </ns1:num>
            <ns1:den>
              <ns1:sSub>
                <ns1:e>
                  <ns1:r>
                    <ns1:t>s</ns1:t>
                  </ns1:r>
                </ns1:e>
                <ns1:sub>
                  <ns1:r>
                    <ns1:t>d</ns1:t>
                  </ns1:r>
                </ns1:sub>
              </ns1:sSub>
            </ns1:den>
          </ns1:f>
        </ns1:oMath>
      </ns1:oMathPara>
    </w:p>
    <w:p>
      <w:pPr>
        <w:pStyle w:val="FirstParagraph"/>
        <w:spacing w:line="360" w:lineRule="auto"/>
        <w:jc w:val="both"/>
      </w:pPr>
      <w:r>
        <w:t xml:space="preserve">con interpretación convencional: pequeño (</w:t>
      </w:r>
      <ns1:oMath>
        <ns1:r>
          <ns1:t>0.2</ns1:t>
        </ns1:r>
        <ns1:r>
          <ns1:rPr>
            <ns1:sty ns1:val="p"/>
          </ns1:rPr>
          <ns1:t>≤</ns1:t>
        </ns1:r>
        <ns1:sSub>
          <ns1:e>
            <ns1:r>
              <ns1:t>d</ns1:t>
            </ns1:r>
          </ns1:e>
          <ns1:sub>
            <ns1:r>
              <ns1:t>z</ns1:t>
            </ns1:r>
          </ns1:sub>
        </ns1:sSub>
        <ns1:r>
          <ns1:rPr>
            <ns1:sty ns1:val="p"/>
          </ns1:rPr>
          <ns1:t>&lt;</ns1:t>
        </ns1:r>
        <ns1:r>
          <ns1:t>0.5</ns1:t>
        </ns1:r>
      </ns1:oMath>
      <w:r>
        <w:t xml:space="preserve">), mediano</w:t>
      </w:r>
      <w:r>
        <w:t xml:space="preserve"> </w:t>
      </w:r>
      <w:r>
        <w:t xml:space="preserve">(</w:t>
      </w:r>
      <ns1:oMath>
        <ns1:r>
          <ns1:t>0.5</ns1:t>
        </ns1:r>
        <ns1:r>
          <ns1:rPr>
            <ns1:sty ns1:val="p"/>
          </ns1:rPr>
          <ns1:t>≤</ns1:t>
        </ns1:r>
        <ns1:sSub>
          <ns1:e>
            <ns1:r>
              <ns1:t>d</ns1:t>
            </ns1:r>
          </ns1:e>
          <ns1:sub>
            <ns1:r>
              <ns1:t>z</ns1:t>
            </ns1:r>
          </ns1:sub>
        </ns1:sSub>
        <ns1:r>
          <ns1:rPr>
            <ns1:sty ns1:val="p"/>
          </ns1:rPr>
          <ns1:t>&lt;</ns1:t>
        </ns1:r>
        <ns1:r>
          <ns1:t>0.8</ns1:t>
        </ns1:r>
      </ns1:oMath>
      <w:r>
        <w:t xml:space="preserve">), grande (</w:t>
      </w:r>
      <ns1:oMath>
        <ns1:sSub>
          <ns1:e>
            <ns1:r>
              <ns1:t>d</ns1:t>
            </ns1:r>
          </ns1:e>
          <ns1:sub>
            <ns1:r>
              <ns1:t>z</ns1:t>
            </ns1:r>
          </ns1:sub>
        </ns1:sSub>
        <ns1:r>
          <ns1:rPr>
            <ns1:sty ns1:val="p"/>
          </ns1:rPr>
          <ns1:t>≥</ns1:t>
        </ns1:r>
        <ns1:r>
          <ns1:t>0.8</ns1:t>
        </ns1:r>
      </ns1:oMath>
      <w:r>
        <w:t xml:space="preserve">).</w:t>
      </w:r>
    </w:p>
    <w:bookmarkEnd w:id="90"/>
    <w:bookmarkStart w:id="92" w:name="control-de-multiplicidad"/>
    <w:p>
      <w:pPr>
        <w:pStyle w:val="Ttulo3"/>
        <w:spacing w:line="360" w:lineRule="auto"/>
        <w:jc w:val="both"/>
      </w:pPr>
      <w:r>
        <w:t xml:space="preserve">Control de multiplicidad</w:t>
      </w:r>
    </w:p>
    <w:p>
      <w:pPr>
        <w:pStyle w:val="FirstParagraph"/>
        <w:spacing w:line="360" w:lineRule="auto"/>
        <w:jc w:val="both"/>
      </w:pPr>
      <w:r>
        <w:t xml:space="preserve">Las pruebas se organizan en tres familias inferenciales independientes, con</w:t>
      </w:r>
      <w:r>
        <w:t xml:space="preserve"> </w:t>
      </w:r>
      <w:r>
        <w:t xml:space="preserve">corrección de Holm-Bonferroni dentro de cada familia:</w:t>
      </w:r>
    </w:p>
    <w:tbl>
      <w:tblPr>
        <w:tblStyle w:val="Table"/>
        <w:tblW w:type="pct" w:w="5000"/>
        <w:tblLayout w:type="fixed"/>
        <w:tblLook w:firstRow="0" w:lastRow="0" w:firstColumn="0" w:lastColumn="0" w:noHBand="0" w:noVBand="0" w:val="0000"/>
      </w:tblPr>
      <w:tblGrid>
        <w:gridCol w:w="7920"/>
      </w:tblGrid>
      <w:tr>
        <w:tc>
          <w:tcPr/>
          <w:bookmarkStart w:id="91" w:name="tbl-stat-plan"/>
          <w:p>
            <w:pPr>
              <w:jc w:val="both"/>
              <w:spacing w:line="360" w:lineRule="auto"/>
            </w:pPr>
            <w:pPr>
              <w:jc w:val="left"/>
              <w:spacing w:before="200"/>
              <w:pStyle w:val="ImageCaption"/>
            </w:pPr>
            <w:r>
              <w:t xml:space="preserve">Table 4.6: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tblLayout w:type="fixed"/>
              <w:tblLook w:firstRow="1" w:lastRow="0" w:firstColumn="0" w:lastColumn="0" w:noHBand="0" w:noVBand="0" w:val="0020"/>
            </w:tblPr>
            <w:tblGrid>
              <w:gridCol w:w="2160"/>
              <w:gridCol w:w="1680"/>
              <w:gridCol w:w="1200"/>
              <w:gridCol w:w="28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Tests</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Corrección</w:t>
                  </w:r>
                </w:p>
              </w:tc>
            </w:tr>
            <w:tr>
              <w:tc>
                <w:tcPr/>
                <w:p>
                  <w:pPr>
                    <w:pStyle w:val="Compact"/>
                    <w:jc w:val="both"/>
                    <w:jc w:val="center"/>
                    <w:spacing w:line="360" w:lineRule="auto"/>
                  </w:pPr>
                  <w:r>
                    <w:t xml:space="preserve">Friedman (Estudio A)</w:t>
                  </w:r>
                </w:p>
              </w:tc>
              <w:tc>
                <w:tcPr/>
                <w:p>
                  <w:pPr>
                    <w:pStyle w:val="Compact"/>
                    <w:jc w:val="both"/>
                    <w:jc w:val="center"/>
                    <w:spacing w:line="360" w:lineRule="auto"/>
                  </w:pPr>
                  <w:r>
                    <w:t xml:space="preserve">5 (uno por métrica)</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Wilcoxon-45 (Estudio A)</w:t>
                  </w:r>
                </w:p>
              </w:tc>
              <w:tc>
                <w:tcPr/>
                <w:p>
                  <w:pPr>
                    <w:pStyle w:val="Compact"/>
                    <w:jc w:val="both"/>
                    <w:jc w:val="center"/>
                    <w:spacing w:line="360" w:lineRule="auto"/>
                  </w:pPr>
                  <w:r>
                    <w:t xml:space="preserve">5</w:t>
                  </w:r>
                </w:p>
              </w:tc>
              <w:tc>
                <w:tcPr/>
                <w:p>
                  <w:pPr>
                    <w:pStyle w:val="Compact"/>
                    <w:jc w:val="both"/>
                    <w:jc w:val="center"/>
                    <w:spacing w:line="360" w:lineRule="auto"/>
                  </w:pPr>
                  <w:r>
                    <w:t xml:space="preserve">45 celdas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Wilcoxon-75 (Estudios A y B)</w:t>
                  </w:r>
                </w:p>
              </w:tc>
              <w:tc>
                <w:tcPr/>
                <w:p>
                  <w:pPr>
                    <w:pStyle w:val="Compact"/>
                    <w:jc w:val="both"/>
                    <w:jc w:val="center"/>
                    <w:spacing w:line="360" w:lineRule="auto"/>
                  </w:pPr>
                  <w:r>
                    <w:t xml:space="preserve">5</w:t>
                  </w:r>
                </w:p>
              </w:tc>
              <w:tc>
                <w:tcPr/>
                <w:p>
                  <w:pPr>
                    <w:pStyle w:val="Compact"/>
                    <w:jc w:val="both"/>
                    <w:jc w:val="center"/>
                    <w:spacing w:line="360" w:lineRule="auto"/>
                  </w:pPr>
                  <w:r>
                    <w:t xml:space="preserve">75 celdas</w:t>
                  </w:r>
                </w:p>
              </w:tc>
              <w:tc>
                <w:tcPr/>
                <w:p>
                  <w:pPr>
                    <w:pStyle w:val="Compact"/>
                    <w:jc w:val="both"/>
                    <w:jc w:val="center"/>
                    <w:spacing w:line="360" w:lineRule="auto"/>
                  </w:pPr>
                  <w:r>
                    <w:t xml:space="preserve">Holm-Bonferroni</w:t>
                  </w:r>
                </w:p>
              </w:tc>
            </w:tr>
          </w:tbl>
          <w:bookmarkEnd w:id="91"/>
          <w:p>
            <w:pPr>
              <w:spacing w:line="360" w:lineRule="auto"/>
              <w:jc w:val="both"/>
            </w:pPr>
          </w:p>
        </w:tc>
      </w:tr>
    </w:tbl>
    <w:bookmarkEnd w:id="92"/>
    <w:bookmarkStart w:id="94" w:name="X8d8a6fe44143f1c1b581a8bcb7389a6bd938df3"/>
    <w:p>
      <w:pPr>
        <w:pStyle w:val="Ttulo3"/>
        <w:spacing w:line="360" w:lineRule="auto"/>
        <w:jc w:val="both"/>
      </w:pPr>
      <w:r>
        <w:t xml:space="preserve">Resumen del plan estadístico por hipótesis</w:t>
      </w:r>
    </w:p>
    <w:tbl>
      <w:tblPr>
        <w:tblStyle w:val="Table"/>
        <w:tblW w:type="pct" w:w="5000"/>
        <w:tblLayout w:type="fixed"/>
        <w:tblLook w:firstRow="0" w:lastRow="0" w:firstColumn="0" w:lastColumn="0" w:noHBand="0" w:noVBand="0" w:val="0000"/>
      </w:tblPr>
      <w:tblGrid>
        <w:gridCol w:w="7920"/>
      </w:tblGrid>
      <w:tr>
        <w:tc>
          <w:tcPr/>
          <w:bookmarkStart w:id="93" w:name="tbl-hypo-plan"/>
          <w:p>
            <w:pPr>
              <w:jc w:val="both"/>
              <w:spacing w:line="360" w:lineRule="auto"/>
            </w:pPr>
            <w:pPr>
              <w:jc w:val="left"/>
              <w:spacing w:before="200"/>
              <w:pStyle w:val="ImageCaption"/>
            </w:pPr>
            <w:r>
              <w:t xml:space="preserve">Table 4.7: Plan de decisiones estadísticas por hipótesis.</w:t>
            </w:r>
          </w:p>
          <w:tbl>
            <w:tblPr>
              <w:tblStyle w:val="Table"/>
              <w:tblW w:type="pct" w:w="5000"/>
              <w:tblLayout w:type="fixed"/>
              <w:tblLook w:firstRow="1" w:lastRow="0" w:firstColumn="0" w:lastColumn="0" w:noHBand="0" w:noVBand="0" w:val="0020"/>
            </w:tblPr>
            <w:tblGrid>
              <w:gridCol w:w="2904"/>
              <w:gridCol w:w="1584"/>
              <w:gridCol w:w="1320"/>
              <w:gridCol w:w="2112"/>
            </w:tblGrid>
            <w:tr>
              <w:trPr>
                <w:tblHeader w:val="on"/>
              </w:trPr>
              <w:tc>
                <w:tcPr/>
                <w:p>
                  <w:pPr>
                    <w:pStyle w:val="Compact"/>
                    <w:jc w:val="both"/>
                    <w:jc w:val="center"/>
                    <w:spacing w:line="360" w:lineRule="auto"/>
                  </w:pPr>
                  <w:r>
                    <w:t xml:space="preserve">Hipótesis</w:t>
                  </w:r>
                </w:p>
              </w:tc>
              <w:tc>
                <w:tcPr/>
                <w:p>
                  <w:pPr>
                    <w:pStyle w:val="Compact"/>
                    <w:jc w:val="both"/>
                    <w:jc w:val="center"/>
                    <w:spacing w:line="360" w:lineRule="auto"/>
                  </w:pPr>
                  <w:r>
                    <w:t xml:space="preserve">Test</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Diseño</w:t>
                  </w:r>
                </w:p>
              </w:tc>
            </w:tr>
            <w:tr>
              <w:tc>
                <w:tcPr/>
                <w:p>
                  <w:pPr>
                    <w:pStyle w:val="Compact"/>
                    <w:jc w:val="both"/>
                    <w:jc w:val="center"/>
                    <w:spacing w:line="360" w:lineRule="auto"/>
                  </w:pPr>
                  <w:r>
                    <w:t xml:space="preserve">H1 (fidelidad)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H2 (estabilidad)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H3 (relación SHAP-LIME)</w:t>
                  </w:r>
                </w:p>
              </w:tc>
              <w:tc>
                <w:tcPr/>
                <w:p>
                  <w:pPr>
                    <w:pStyle w:val="Compact"/>
                    <w:jc w:val="both"/>
                    <w:jc w:val="center"/>
                    <w:spacing w:line="360" w:lineRule="auto"/>
                  </w:pPr>
                  <w:r>
                    <w:t xml:space="preserve">Wilcoxon bilateral</w:t>
                  </w:r>
                </w:p>
              </w:tc>
              <w:tc>
                <w:tcPr/>
                <w:p>
                  <w:pPr>
                    <w:pStyle w:val="Compact"/>
                    <w:jc w:val="both"/>
                    <w:jc w:val="center"/>
                    <w:spacing w:line="360" w:lineRule="auto"/>
                  </w:pPr>
                  <w:r>
                    <w:t xml:space="preserve">75 pares</w:t>
                  </w:r>
                </w:p>
              </w:tc>
              <w:tc>
                <w:tcPr/>
                <w:p>
                  <w:pPr>
                    <w:pStyle w:val="Compact"/>
                    <w:jc w:val="both"/>
                    <w:jc w:val="center"/>
                    <w:spacing w:line="360" w:lineRule="auto"/>
                  </w:pP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idénticos</w:t>
                  </w:r>
                </w:p>
              </w:tc>
            </w:tr>
            <w:tr>
              <w:tc>
                <w:tcPr/>
                <w:p>
                  <w:pPr>
                    <w:pStyle w:val="Compact"/>
                    <w:jc w:val="both"/>
                    <w:jc w:val="center"/>
                    <w:spacing w:line="360" w:lineRule="auto"/>
                  </w:pPr>
                  <w:r>
                    <w:t xml:space="preserve">P1 (reproducibilidad)</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w:t>
                  </w:r>
                </w:p>
              </w:tc>
              <w:tc>
                <w:tcPr/>
                <w:p>
                  <w:pPr>
                    <w:pStyle w:val="Compact"/>
                    <w:jc w:val="both"/>
                    <w:jc w:val="center"/>
                    <w:spacing w:line="360" w:lineRule="auto"/>
                  </w:pPr>
                  <w:r>
                    <w:t xml:space="preserve">Por método</w:t>
                  </w:r>
                </w:p>
              </w:tc>
            </w:tr>
          </w:tbl>
          <w:bookmarkEnd w:id="93"/>
          <w:p>
            <w:pPr>
              <w:spacing w:line="360" w:lineRule="auto"/>
              <w:jc w:val="both"/>
            </w:pPr>
          </w:p>
        </w:tc>
      </w:tr>
    </w:tbl>
    <w:bookmarkEnd w:id="94"/>
    <w:bookmarkEnd w:id="95"/>
    <w:bookmarkStart w:id="97" w:name="amenazas-a-la-validez"/>
    <w:p>
      <w:pPr>
        <w:pStyle w:val="Ttulo2"/>
        <w:spacing w:line="360" w:lineRule="auto"/>
        <w:jc w:val="both"/>
      </w:pPr>
      <w:r>
        <w:t xml:space="preserve">Amenazas a la validez</w:t>
      </w:r>
    </w:p>
    <w:p>
      <w:pPr>
        <w:pStyle w:val="FirstParagraph"/>
        <w:spacing w:line="360" w:lineRule="auto"/>
        <w:jc w:val="both"/>
      </w:pPr>
      <w:r>
        <w:t xml:space="preserve">La interpretación de los resultados se acota mediante cinco familias de amenazas.</w:t>
      </w:r>
      <w:r>
        <w:t xml:space="preserve"> </w:t>
      </w:r>
      <w:r>
        <w:t xml:space="preserve">Estas amenazas no invalidan el diseño, pero delimitan qué tipo de afirmación</w:t>
      </w:r>
      <w:r>
        <w:t xml:space="preserve"> </w:t>
      </w:r>
      <w:r>
        <w:t xml:space="preserve">puede sostenerse a partir del benchmark.</w:t>
      </w:r>
    </w:p>
    <w:tbl>
      <w:tblPr>
        <w:tblStyle w:val="Table"/>
        <w:tblW w:type="pct" w:w="5000"/>
        <w:tblLayout w:type="fixed"/>
        <w:tblLook w:firstRow="0" w:lastRow="0" w:firstColumn="0" w:lastColumn="0" w:noHBand="0" w:noVBand="0" w:val="0000"/>
      </w:tblPr>
      <w:tblGrid>
        <w:gridCol w:w="7920"/>
      </w:tblGrid>
      <w:tr>
        <w:tc>
          <w:tcPr/>
          <w:bookmarkStart w:id="96" w:name="tbl-validity-threats"/>
          <w:p>
            <w:pPr>
              <w:jc w:val="both"/>
              <w:spacing w:line="360" w:lineRule="auto"/>
            </w:pPr>
            <w:pPr>
              <w:jc w:val="left"/>
              <w:spacing w:before="200"/>
              <w:pStyle w:val="ImageCaption"/>
            </w:pPr>
            <w:r>
              <w:t xml:space="preserve">Table 4.8: Amenazas a la validez, controles y riesgo residual.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Amenaza principal</w:t>
                  </w:r>
                </w:p>
              </w:tc>
              <w:tc>
                <w:tcPr/>
                <w:p>
                  <w:pPr>
                    <w:pStyle w:val="Compact"/>
                    <w:jc w:val="both"/>
                    <w:jc w:val="center"/>
                    <w:spacing w:line="360" w:lineRule="auto"/>
                  </w:pPr>
                  <w:r>
                    <w:t xml:space="preserve">Control aplicado</w:t>
                  </w:r>
                </w:p>
              </w:tc>
              <w:tc>
                <w:tcPr/>
                <w:p>
                  <w:pPr>
                    <w:pStyle w:val="Compact"/>
                    <w:jc w:val="both"/>
                    <w:jc w:val="center"/>
                    <w:spacing w:line="360" w:lineRule="auto"/>
                  </w:pPr>
                  <w:r>
                    <w:t xml:space="preserve">Riesgo residual</w:t>
                  </w:r>
                </w:p>
              </w:tc>
            </w:tr>
            <w:tr>
              <w:tc>
                <w:tcPr/>
                <w:p>
                  <w:pPr>
                    <w:pStyle w:val="Compact"/>
                    <w:jc w:val="both"/>
                    <w:jc w:val="center"/>
                    <w:spacing w:line="360" w:lineRule="auto"/>
                  </w:pPr>
                  <w:r>
                    <w:t xml:space="preserve">Validez interna</w:t>
                  </w:r>
                </w:p>
              </w:tc>
              <w:tc>
                <w:tcPr/>
                <w:p>
                  <w:pPr>
                    <w:pStyle w:val="Compact"/>
                    <w:jc w:val="both"/>
                    <w:jc w:val="center"/>
                    <w:spacing w:line="360" w:lineRule="auto"/>
                  </w:pPr>
                  <w:r>
                    <w:t xml:space="preserve">Diferencias atribuibles al modelo o preprocesamiento, no al explicador</w:t>
                  </w:r>
                </w:p>
              </w:tc>
              <w:tc>
                <w:tcPr/>
                <w:p>
                  <w:pPr>
                    <w:pStyle w:val="Compact"/>
                    <w:jc w:val="both"/>
                    <w:jc w:val="center"/>
                    <w:spacing w:line="360" w:lineRule="auto"/>
                  </w:pPr>
                  <w:r>
                    <w:t xml:space="preserve">Modelos y preprocesador congelados; misma partición y mismas semillas por celda</w:t>
                  </w:r>
                </w:p>
              </w:tc>
              <w:tc>
                <w:tcPr/>
                <w:p>
                  <w:pPr>
                    <w:pStyle w:val="Compact"/>
                    <w:jc w:val="both"/>
                    <w:jc w:val="center"/>
                    <w:spacing w:line="360" w:lineRule="auto"/>
                  </w:pPr>
                  <w:r>
                    <w:t xml:space="preserve">Variación no observada por implementación interna de cada librería</w:t>
                  </w:r>
                </w:p>
              </w:tc>
            </w:tr>
            <w:tr>
              <w:tc>
                <w:tcPr/>
                <w:p>
                  <w:pPr>
                    <w:pStyle w:val="Compact"/>
                    <w:jc w:val="both"/>
                    <w:jc w:val="center"/>
                    <w:spacing w:line="360" w:lineRule="auto"/>
                  </w:pPr>
                  <w:r>
                    <w:t xml:space="preserve">Validez de constructo</w:t>
                  </w:r>
                </w:p>
              </w:tc>
              <w:tc>
                <w:tcPr/>
                <w:p>
                  <w:pPr>
                    <w:pStyle w:val="Compact"/>
                    <w:jc w:val="both"/>
                    <w:jc w:val="center"/>
                    <w:spacing w:line="360" w:lineRule="auto"/>
                  </w:pPr>
                  <w:r>
                    <w:t xml:space="preserve">Métricas automáticas que no capturan utilidad humana, plausibilidad o causalidad</w:t>
                  </w:r>
                </w:p>
              </w:tc>
              <w:tc>
                <w:tcPr/>
                <w:p>
                  <w:pPr>
                    <w:pStyle w:val="Compact"/>
                    <w:jc w:val="both"/>
                    <w:jc w:val="center"/>
                    <w:spacing w:line="360" w:lineRule="auto"/>
                  </w:pPr>
                  <w:r>
                    <w:t xml:space="preserve">Definición previa de fidelidad, estabilidad, parsimonia, brecha y coste como proxies functionally-grounded</w:t>
                  </w:r>
                </w:p>
              </w:tc>
              <w:tc>
                <w:tcPr/>
                <w:p>
                  <w:pPr>
                    <w:pStyle w:val="Compact"/>
                    <w:jc w:val="both"/>
                    <w:jc w:val="center"/>
                    <w:spacing w:line="360" w:lineRule="auto"/>
                  </w:pPr>
                  <w:r>
                    <w:t xml:space="preserve">No se infiere utilidad humana directa ni verdad causal</w:t>
                  </w:r>
                </w:p>
              </w:tc>
            </w:tr>
            <w:tr>
              <w:tc>
                <w:tcPr/>
                <w:p>
                  <w:pPr>
                    <w:pStyle w:val="Compact"/>
                    <w:jc w:val="both"/>
                    <w:jc w:val="center"/>
                    <w:spacing w:line="360" w:lineRule="auto"/>
                  </w:pPr>
                  <w:r>
                    <w:t xml:space="preserve">Validez externa</w:t>
                  </w:r>
                </w:p>
              </w:tc>
              <w:tc>
                <w:tcPr/>
                <w:p>
                  <w:pPr>
                    <w:pStyle w:val="Compact"/>
                    <w:jc w:val="both"/>
                    <w:jc w:val="center"/>
                    <w:spacing w:line="360" w:lineRule="auto"/>
                  </w:pPr>
                  <w:r>
                    <w:t xml:space="preserve">Generalización fuera de Adult Income y clasificación tabular binaria</w:t>
                  </w:r>
                </w:p>
              </w:tc>
              <w:tc>
                <w:tcPr/>
                <w:p>
                  <w:pPr>
                    <w:pStyle w:val="Compact"/>
                    <w:jc w:val="both"/>
                    <w:jc w:val="center"/>
                    <w:spacing w:line="360" w:lineRule="auto"/>
                  </w:pPr>
                  <w:r>
                    <w:t xml:space="preserve">Framing explícito como benchmark tabular Adult; comparación con literatura XAI tabular</w:t>
                  </w:r>
                </w:p>
              </w:tc>
              <w:tc>
                <w:tcPr/>
                <w:p>
                  <w:pPr>
                    <w:pStyle w:val="Compact"/>
                    <w:jc w:val="both"/>
                    <w:jc w:val="center"/>
                    <w:spacing w:line="360" w:lineRule="auto"/>
                  </w:pPr>
                  <w:r>
                    <w:t xml:space="preserve">No cubre imágenes, texto, series temporales ni dominios causales</w:t>
                  </w:r>
                </w:p>
              </w:tc>
            </w:tr>
            <w:tr>
              <w:tc>
                <w:tcPr/>
                <w:p>
                  <w:pPr>
                    <w:pStyle w:val="Compact"/>
                    <w:jc w:val="both"/>
                    <w:jc w:val="center"/>
                    <w:spacing w:line="360" w:lineRule="auto"/>
                  </w:pPr>
                  <w:r>
                    <w:t xml:space="preserve">Conclusión estadística</w:t>
                  </w:r>
                </w:p>
              </w:tc>
              <w:tc>
                <w:tcPr/>
                <w:p>
                  <w:pPr>
                    <w:pStyle w:val="Compact"/>
                    <w:jc w:val="both"/>
                    <w:jc w:val="center"/>
                    <w:spacing w:line="360" w:lineRule="auto"/>
                  </w:pPr>
                  <w:r>
                    <w:t xml:space="preserve">Pseudorreplicación, multiplicidad y datos faltantes</w:t>
                  </w:r>
                </w:p>
              </w:tc>
              <w:tc>
                <w:tcPr/>
                <w:p>
                  <w:pPr>
                    <w:pStyle w:val="Compact"/>
                    <w:jc w:val="both"/>
                    <w:jc w:val="center"/>
                    <w:spacing w:line="360" w:lineRule="auto"/>
                  </w:pPr>
                  <w:r>
                    <w:t xml:space="preserve">Unidad inferencial por bloque/celda; Friedman, Nemenyi, Wilcoxon y Holm-Bonferroni; análisis de cobertura</w:t>
                  </w:r>
                </w:p>
              </w:tc>
              <w:tc>
                <w:tcPr/>
                <w:p>
                  <w:pPr>
                    <w:pStyle w:val="Compact"/>
                    <w:jc w:val="both"/>
                    <w:jc w:val="center"/>
                    <w:spacing w:line="360" w:lineRule="auto"/>
                  </w:pPr>
                  <w:r>
                    <w:t xml:space="preserve">Menor precisión en Anchors para bloques con baja cobertura</w:t>
                  </w:r>
                </w:p>
              </w:tc>
            </w:tr>
            <w:tr>
              <w:tc>
                <w:tcPr/>
                <w:p>
                  <w:pPr>
                    <w:pStyle w:val="Compact"/>
                    <w:jc w:val="both"/>
                    <w:jc w:val="center"/>
                    <w:spacing w:line="360" w:lineRule="auto"/>
                  </w:pPr>
                  <w:r>
                    <w:t xml:space="preserve">Reproducibilidad</w:t>
                  </w:r>
                </w:p>
              </w:tc>
              <w:tc>
                <w:tcPr/>
                <w:p>
                  <w:pPr>
                    <w:pStyle w:val="Compact"/>
                    <w:jc w:val="both"/>
                    <w:jc w:val="center"/>
                    <w:spacing w:line="360" w:lineRule="auto"/>
                  </w:pPr>
                  <w:r>
                    <w:t xml:space="preserve">Dependencia de versiones, semillas, recursos y artefactos locales</w:t>
                  </w:r>
                </w:p>
              </w:tc>
              <w:tc>
                <w:tcPr/>
                <w:p>
                  <w:pPr>
                    <w:pStyle w:val="Compact"/>
                    <w:jc w:val="both"/>
                    <w:jc w:val="center"/>
                    <w:spacing w:line="360" w:lineRule="auto"/>
                  </w:pPr>
                  <w:r>
                    <w:t xml:space="preserve">Manifiestos YAML, artefactos versionados, scripts de análisis y DOI Zenodo</w:t>
                  </w:r>
                </w:p>
              </w:tc>
              <w:tc>
                <w:tcPr/>
                <w:p>
                  <w:pPr>
                    <w:pStyle w:val="Compact"/>
                    <w:jc w:val="both"/>
                    <w:jc w:val="center"/>
                    <w:spacing w:line="360" w:lineRule="auto"/>
                  </w:pPr>
                  <w:r>
                    <w:t xml:space="preserve">Reproducción completa requiere entorno compatible con Python 3.11 y dependencias fijadas</w:t>
                  </w:r>
                </w:p>
              </w:tc>
            </w:tr>
          </w:tbl>
          <w:bookmarkEnd w:id="96"/>
          <w:p>
            <w:pPr>
              <w:spacing w:line="360" w:lineRule="auto"/>
              <w:jc w:val="both"/>
            </w:pPr>
          </w:p>
        </w:tc>
      </w:tr>
    </w:tbl>
    <w:p>
      <w:pPr>
        <w:pStyle w:val="Textoindependiente"/>
        <w:spacing w:line="360" w:lineRule="auto"/>
        <w:jc w:val="both"/>
      </w:pPr>
      <w:r>
        <w:t xml:space="preserve">El límite más importante es de constructo: el estudio produce evidencia</w:t>
      </w:r>
      <w:r>
        <w:t xml:space="preserve"> </w:t>
      </w:r>
      <w:r>
        <w:t xml:space="preserve">computacional reproducible sobre artefactos explicativos, no una validación</w:t>
      </w:r>
      <w:r>
        <w:t xml:space="preserve"> </w:t>
      </w:r>
      <w:r>
        <w:t xml:space="preserve">psicológica o causal de la explicación. Esta delimitación es consistente con el</w:t>
      </w:r>
      <w:r>
        <w:t xml:space="preserve"> </w:t>
      </w:r>
      <w:r>
        <w:t xml:space="preserve">Capítulo 2 y protege la interpretación de los resultados del Capítulo 4.</w:t>
      </w:r>
    </w:p>
    <w:bookmarkEnd w:id="97"/>
    <w:bookmarkStart w:id="98" w:name="trazabilidad-y-reproducibilidad"/>
    <w:p>
      <w:pPr>
        <w:pStyle w:val="Ttulo2"/>
        <w:spacing w:line="360" w:lineRule="auto"/>
        <w:jc w:val="both"/>
      </w:pPr>
      <w:r>
        <w:t xml:space="preserve">Trazabilidad y reproducibilidad</w:t>
      </w:r>
    </w:p>
    <w:p>
      <w:pPr>
        <w:pStyle w:val="FirstParagraph"/>
        <w:spacing w:line="360" w:lineRule="auto"/>
        <w:jc w:val="bot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10.5281/zenodo.21538180</w:t>
      </w:r>
      <w:r>
        <w:t xml:space="preserve"> </w:t>
      </w:r>
      <w:r>
        <w:t xml:space="preserve">(commit</w:t>
      </w:r>
      <w:r>
        <w:t xml:space="preserve"> </w:t>
      </w:r>
      <w:r>
        <w:rPr>
          <w:rStyle w:val="VerbatimChar"/>
        </w:rPr>
        <w:t xml:space="preserve">553f65d71b077ec181ad36da7bb6e7c9942fe116</w:t>
      </w:r>
      <w:r>
        <w:t xml:space="preserve">,</w:t>
      </w:r>
      <w:r>
        <w:t xml:space="preserve"> </w:t>
      </w:r>
      <w:r>
        <w:t xml:space="preserve">2026-07-24), que es el corte de evidencia efectivamente reportado en el</w:t>
      </w:r>
      <w:r>
        <w:t xml:space="preserve"> </w:t>
      </w:r>
      <w:r>
        <w:t xml:space="preserve">Capítulo 4: 299 artefactos comprometidos y 275 ejecuciones analizables tras la</w:t>
      </w:r>
      <w:r>
        <w:t xml:space="preserve"> </w:t>
      </w:r>
      <w:r>
        <w:t xml:space="preserve">superposición de recuperación. El DOI de concepto</w:t>
      </w:r>
      <w:r>
        <w:t xml:space="preserve"> </w:t>
      </w:r>
      <w:r>
        <w:rPr>
          <w:rStyle w:val="VerbatimChar"/>
        </w:rPr>
        <w:t xml:space="preserve">10.5281/zenodo.19297723</w:t>
      </w:r>
      <w:r>
        <w:t xml:space="preserve"> </w:t>
      </w:r>
      <w:r>
        <w:t xml:space="preserve">resuelve siempre a la versión más reciente. La</w:t>
      </w:r>
      <w:r>
        <w:t xml:space="preserve"> </w:t>
      </w:r>
      <w:r>
        <w:t xml:space="preserve">instantánea previa</w:t>
      </w:r>
      <w:r>
        <w:t xml:space="preserve"> </w:t>
      </w:r>
      <w:r>
        <w:rPr>
          <w:rStyle w:val="VerbatimChar"/>
        </w:rPr>
        <w:t xml:space="preserve">10.5281/zenodo.19297724</w:t>
      </w:r>
      <w:r>
        <w:t xml:space="preserve"> </w:t>
      </w:r>
      <w:r>
        <w:t xml:space="preserve">(abril de 2026) permanece</w:t>
      </w:r>
      <w:r>
        <w:t xml:space="preserve"> </w:t>
      </w:r>
      <w:r>
        <w:t xml:space="preserve">archivada por procedencia, pero es anterior a la superposición de recuperación</w:t>
      </w:r>
      <w:r>
        <w:t xml:space="preserve"> </w:t>
      </w:r>
      <w:r>
        <w:t xml:space="preserve">y no corresponde a las cifras reportadas aquí.</w:t>
      </w:r>
      <w:r>
        <w:t xml:space="preserve"> </w:t>
      </w:r>
      <w:r>
        <w:t xml:space="preserve">Los anclajes de reproducibilidad principales son:</w:t>
      </w:r>
    </w:p>
    <w:p>
      <w:pPr>
        <w:pStyle w:val="Compact"/>
        <w:numPr>
          <w:ilvl w:val="0"/>
          <w:numId w:val="1010"/>
        </w:numPr>
        <w:spacing w:line="360" w:lineRule="auto"/>
        <w:jc w:val="both"/>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spacing w:line="360" w:lineRule="auto"/>
        <w:jc w:val="both"/>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spacing w:line="360" w:lineRule="auto"/>
        <w:jc w:val="both"/>
      </w:pPr>
      <w:r>
        <w:rPr>
          <w:rStyle w:val="VerbatimChar"/>
        </w:rPr>
        <w:t xml:space="preserve">outputs/batch_results.csv</w:t>
      </w:r>
      <w:r>
        <w:t xml:space="preserve"> </w:t>
      </w:r>
      <w:r>
        <w:t xml:space="preserve">— superposición de recuperación (30 filas).</w:t>
      </w:r>
    </w:p>
    <w:p>
      <w:pPr>
        <w:pStyle w:val="Compact"/>
        <w:numPr>
          <w:ilvl w:val="0"/>
          <w:numId w:val="1010"/>
        </w:numPr>
        <w:spacing w:line="360" w:lineRule="auto"/>
        <w:jc w:val="both"/>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spacing w:line="360" w:lineRule="auto"/>
        <w:jc w:val="both"/>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spacing w:line="360" w:lineRule="auto"/>
        <w:jc w:val="bot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E.</w:t>
      </w:r>
    </w:p>
    <w:bookmarkEnd w:id="98"/>
    <w:bookmarkStart w:id="101" w:name="sec-estudios-complementarios"/>
    <w:p>
      <w:pPr>
        <w:pStyle w:val="Ttulo2"/>
        <w:spacing w:line="360" w:lineRule="auto"/>
        <w:jc w:val="both"/>
      </w:pPr>
      <w:r>
        <w:t xml:space="preserve">Estudios complementarios: EXP3 y EXP4</w:t>
      </w:r>
    </w:p>
    <w:p>
      <w:pPr>
        <w:pStyle w:val="FirstParagraph"/>
        <w:spacing w:line="360" w:lineRule="auto"/>
        <w:jc w:val="both"/>
      </w:pPr>
      <w:r>
        <w:t xml:space="preserve">El diseño experimental principal comprende las fases EXP1 y EXP2 descritas en</w:t>
      </w:r>
      <w:r>
        <w:t xml:space="preserve"> </w:t>
      </w:r>
      <w:r>
        <w:t xml:space="preserve">las secciones anteriores. Dos estudios complementarios amplían el alcance de la</w:t>
      </w:r>
      <w:r>
        <w:t xml:space="preserve"> </w:t>
      </w:r>
      <w:r>
        <w:t xml:space="preserve">evidencia sin alterar el protocolo confirmativo: EXP3 extiende la validación</w:t>
      </w:r>
      <w:r>
        <w:t xml:space="preserve"> </w:t>
      </w:r>
      <w:r>
        <w:t xml:space="preserve">de fidelidad a datasets adicionales y EXP4 cuantifica la fiabilidad de los</w:t>
      </w:r>
      <w:r>
        <w:t xml:space="preserve"> </w:t>
      </w:r>
      <w:r>
        <w:t xml:space="preserve">evaluadores semánticos LLM como instrumento de medición.</w:t>
      </w:r>
    </w:p>
    <w:bookmarkStart w:id="99" w:name="sec-exp3-diseno"/>
    <w:p>
      <w:pPr>
        <w:pStyle w:val="Ttulo3"/>
        <w:spacing w:line="360" w:lineRule="auto"/>
        <w:jc w:val="both"/>
      </w:pPr>
      <w:r>
        <w:t xml:space="preserve">EXP3: Validación cruzada de fidelidad en datasets adicionales</w:t>
      </w:r>
    </w:p>
    <w:p>
      <w:pPr>
        <w:pStyle w:val="FirstParagraph"/>
        <w:spacing w:line="360" w:lineRule="auto"/>
        <w:jc w:val="both"/>
      </w:pPr>
      <w:r>
        <w:t xml:space="preserve">EXP3 replica parcialmente los ordenamientos de fidelidad fuera del dataset</w:t>
      </w:r>
      <w:r>
        <w:t xml:space="preserve"> </w:t>
      </w:r>
      <w:r>
        <w:t xml:space="preserve">primario mediante dos datasets tabulares de clasificación binaria:</w:t>
      </w:r>
    </w:p>
    <w:p>
      <w:pPr>
        <w:pStyle w:val="Compact"/>
        <w:numPr>
          <w:ilvl w:val="0"/>
          <w:numId w:val="1011"/>
        </w:numPr>
        <w:spacing w:line="360" w:lineRule="auto"/>
        <w:jc w:val="both"/>
      </w:pPr>
      <w:r>
        <w:rPr>
          <w:b/>
          <w:bCs/>
        </w:rPr>
        <w:t xml:space="preserve">Breast Cancer Wisconsin</w:t>
      </w:r>
      <w:r>
        <w:t xml:space="preserve"> </w:t>
      </w:r>
      <w:r>
        <w:t xml:space="preserve">(Dua and Graff 2019)</w:t>
      </w:r>
      <w:r>
        <w:t xml:space="preserve">:</w:t>
      </w:r>
      <w:r>
        <w:t xml:space="preserve"> </w:t>
      </w:r>
      <ns1:oMath>
        <ns1:r>
          <ns1:t>n</ns1:t>
        </ns1:r>
        <ns1:r>
          <ns1:rPr>
            <ns1:sty ns1:val="p"/>
          </ns1:rPr>
          <ns1:t>=</ns1:t>
        </ns1:r>
        <ns1:r>
          <ns1:t>569</ns1:t>
        </ns1:r>
      </ns1:oMath>
      <w:r>
        <w:t xml:space="preserve"> </w:t>
      </w:r>
      <w:r>
        <w:t xml:space="preserve">instancias, 30</w:t>
      </w:r>
      <w:r>
        <w:t xml:space="preserve"> </w:t>
      </w:r>
      <w:r>
        <w:t xml:space="preserve">características numéricas continuas (sin categóricas), clasificación binaria</w:t>
      </w:r>
      <w:r>
        <w:t xml:space="preserve"> </w:t>
      </w:r>
      <w:r>
        <w:t xml:space="preserve">maligno/benigno.</w:t>
      </w:r>
    </w:p>
    <w:p>
      <w:pPr>
        <w:pStyle w:val="Compact"/>
        <w:numPr>
          <w:ilvl w:val="0"/>
          <w:numId w:val="1011"/>
        </w:numPr>
        <w:spacing w:line="360" w:lineRule="auto"/>
        <w:jc w:val="both"/>
      </w:pPr>
      <w:r>
        <w:rPr>
          <w:b/>
          <w:bCs/>
        </w:rPr>
        <w:t xml:space="preserve">German Credit</w:t>
      </w:r>
      <w:r>
        <w:t xml:space="preserve"> </w:t>
      </w:r>
      <w:r>
        <w:t xml:space="preserve">(Dua and Graff 2019)</w:t>
      </w:r>
      <w:r>
        <w:t xml:space="preserve">:</w:t>
      </w:r>
      <w:r>
        <w:t xml:space="preserve"> </w:t>
      </w:r>
      <ns1:oMath>
        <ns1:r>
          <ns1:t>n</ns1:t>
        </ns1:r>
        <ns1:r>
          <ns1:rPr>
            <ns1:sty ns1:val="p"/>
          </ns1:rPr>
          <ns1:t>=</ns1:t>
        </ns1:r>
        <ns1:r>
          <ns1:t>1</ns1:t>
        </ns1:r>
        <ns1:r>
          <ns1:rPr>
            <ns1:sty ns1:val="p"/>
          </ns1:rPr>
          <ns1:t>,</ns1:t>
        </ns1:r>
        <ns1:r>
          <ns1:t>000</ns1:t>
        </ns1:r>
      </ns1:oMath>
      <w:r>
        <w:t xml:space="preserve"> </w:t>
      </w:r>
      <w:r>
        <w:t xml:space="preserve">instancias, 20 características</w:t>
      </w:r>
      <w:r>
        <w:t xml:space="preserve"> </w:t>
      </w:r>
      <w:r>
        <w:t xml:space="preserve">(mixtas numéricas y codificadas), clasificación binaria crédito-bueno/malo.</w:t>
      </w:r>
    </w:p>
    <w:p>
      <w:pPr>
        <w:pStyle w:val="FirstParagraph"/>
        <w:spacing w:line="360" w:lineRule="auto"/>
        <w:jc w:val="both"/>
      </w:pPr>
      <w:r>
        <w:t xml:space="preserve">El diseño base de EXP3 cruza dos modelos (Random Forest y XGBoost), tres</w:t>
      </w:r>
      <w:r>
        <w:t xml:space="preserve"> </w:t>
      </w:r>
      <w:r>
        <w:t xml:space="preserve">semillas (</w:t>
      </w:r>
      <ns1:oMath>
        <ns1:r>
          <ns1:rPr>
            <ns1:sty ns1:val="p"/>
          </ns1:rPr>
          <ns1:t>{</ns1:t>
        </ns1:r>
        <ns1:r>
          <ns1:t>42</ns1:t>
        </ns1:r>
        <ns1:r>
          <ns1:rPr>
            <ns1:sty ns1:val="p"/>
          </ns1:rPr>
          <ns1:t>,</ns1:t>
        </ns1:r>
        <ns1:r>
          <ns1:t>123</ns1:t>
        </ns1:r>
        <ns1:r>
          <ns1:rPr>
            <ns1:sty ns1:val="p"/>
          </ns1:rPr>
          <ns1:t>,</ns1:t>
        </ns1:r>
        <ns1:r>
          <ns1:t>456</ns1:t>
        </ns1:r>
        <ns1:r>
          <ns1:rPr>
            <ns1:sty ns1:val="p"/>
          </ns1:rPr>
          <ns1:t>}</ns1:t>
        </ns1:r>
      </ns1:oMath>
      <w:r>
        <w:t xml:space="preserve">) y los dos datasets, produciendo</w:t>
      </w:r>
      <w:r>
        <w:t xml:space="preserve"> </w:t>
      </w:r>
      <ns1:oMath>
        <ns1:r>
          <ns1:t>2</ns1:t>
        </ns1:r>
        <ns1:r>
          <ns1:rPr>
            <ns1:sty ns1:val="p"/>
          </ns1:rPr>
          <ns1:t>×</ns1:t>
        </ns1:r>
        <ns1:r>
          <ns1:t>2</ns1:t>
        </ns1:r>
        <ns1:r>
          <ns1:rPr>
            <ns1:sty ns1:val="p"/>
          </ns1:rPr>
          <ns1:t>×</ns1:t>
        </ns1:r>
        <ns1:r>
          <ns1:t>3</ns1:t>
        </ns1:r>
        <ns1:r>
          <ns1:rPr>
            <ns1:sty ns1:val="p"/>
          </ns1:rPr>
          <ns1:t>=</ns1:t>
        </ns1:r>
        <ns1:r>
          <ns1:t>12</ns1:t>
        </ns1:r>
      </ns1:oMath>
      <w:r>
        <w:t xml:space="preserve"> </w:t>
      </w:r>
      <w:r>
        <w:t xml:space="preserve">comparaciones pareadas SHAP–Anchors. La métrica evaluada es</w:t>
      </w:r>
      <w:r>
        <w:t xml:space="preserve"> </w:t>
      </w:r>
      <w:r>
        <w:t xml:space="preserve">fidelidad con la misma operacionalización que EXP2</w:t>
      </w:r>
      <w:r>
        <w:t xml:space="preserve"> </w:t>
      </w:r>
      <w:r>
        <w:t xml:space="preserve">(correlación importancias–enmascaramiento). Una extensión posterior incorporó</w:t>
      </w:r>
      <w:r>
        <w:t xml:space="preserve"> </w:t>
      </w:r>
      <w:r>
        <w:t xml:space="preserve">LIME en los mismos datasets y modelos, reportando fidelidad y estabilidad de</w:t>
      </w:r>
      <w:r>
        <w:t xml:space="preserve"> </w:t>
      </w:r>
      <w:r>
        <w:t xml:space="preserve">LIME bajo el protocolo EXP2. Sin embargo, la estabilidad de SHAP no fue</w:t>
      </w:r>
      <w:r>
        <w:t xml:space="preserve"> </w:t>
      </w:r>
      <w:r>
        <w:t xml:space="preserve">instrumentada en esa extensión, por lo que EXP3 proporciona validación</w:t>
      </w:r>
      <w:r>
        <w:t xml:space="preserve"> </w:t>
      </w:r>
      <w:r>
        <w:t xml:space="preserve">cross-dataset parcial de los ordenamientos de fidelidad, pero no un contraste</w:t>
      </w:r>
      <w:r>
        <w:t xml:space="preserve"> </w:t>
      </w:r>
      <w:r>
        <w:t xml:space="preserve">pareado SHAP-LIME completo de estabilidad fuera de UCI Adult Income.</w:t>
      </w:r>
    </w:p>
    <w:bookmarkEnd w:id="99"/>
    <w:bookmarkStart w:id="100" w:name="sec-exp4-diseno"/>
    <w:p>
      <w:pPr>
        <w:pStyle w:val="Ttulo3"/>
        <w:spacing w:line="360" w:lineRule="auto"/>
        <w:jc w:val="both"/>
      </w:pPr>
      <w:r>
        <w:t xml:space="preserve">EXP4: Estudio de fiabilidad de jueces LLM para evaluación semántica</w:t>
      </w:r>
    </w:p>
    <w:p>
      <w:pPr>
        <w:pStyle w:val="FirstParagraph"/>
        <w:spacing w:line="360" w:lineRule="auto"/>
        <w:jc w:val="both"/>
      </w:pPr>
      <w:r>
        <w:t xml:space="preserve">EXP4 es un estudio de calibración empírica cuyo propósito es cuantificar la</w:t>
      </w:r>
      <w:r>
        <w:t xml:space="preserve"> </w:t>
      </w:r>
      <w:r>
        <w:t xml:space="preserve">convergencia inter-juez de evaluadores LLM sobre explicaciones del corpus</w:t>
      </w:r>
      <w:r>
        <w:t xml:space="preserve"> </w:t>
      </w:r>
      <w:r>
        <w:t xml:space="preserve">experimental de EXP2. Su función en la tesis es proporcionar evidencia</w:t>
      </w:r>
      <w:r>
        <w:t xml:space="preserve"> </w:t>
      </w:r>
      <w:r>
        <w:t xml:space="preserve">cuantitativa de la brecha de evaluación semántica identificada en la taxonomía</w:t>
      </w:r>
      <w:r>
        <w:t xml:space="preserve"> </w:t>
      </w:r>
      <w:r>
        <w:t xml:space="preserve">del Capítulo 5 (Brecha 3, §sec-taxonomia-brechas: la evaluación semántica crece más rápido que su base</w:t>
      </w:r>
      <w:r>
        <w:t xml:space="preserve"> </w:t>
      </w:r>
      <w:r>
        <w:t xml:space="preserve">de validación empírica).</w:t>
      </w:r>
    </w:p>
    <w:p>
      <w:pPr>
        <w:pStyle w:val="Textoindependiente"/>
        <w:spacing w:line="360" w:lineRule="auto"/>
        <w:jc w:val="both"/>
      </w:pPr>
      <w:r>
        <w:rPr>
          <w:b/>
          <w:bCs/>
        </w:rPr>
        <w:t xml:space="preserve">Muestra.</w:t>
      </w:r>
      <w:r>
        <w:t xml:space="preserve"> </w:t>
      </w:r>
      <w:r>
        <w:t xml:space="preserve">Se seleccionaron</w:t>
      </w:r>
      <w:r>
        <w:t xml:space="preserve"> </w:t>
      </w:r>
      <ns1:oMath>
        <ns1:r>
          <ns1:t>n</ns1:t>
        </ns1:r>
        <ns1:r>
          <ns1:rPr>
            <ns1:sty ns1:val="p"/>
          </ns1:rPr>
          <ns1:t>=</ns1:t>
        </ns1:r>
        <ns1:r>
          <ns1:t>147</ns1:t>
        </ns1:r>
      </ns1:oMath>
      <w:r>
        <w:t xml:space="preserve"> </w:t>
      </w:r>
      <w:r>
        <w:t xml:space="preserve">pares de salidas de explicación del</w:t>
      </w:r>
      <w:r>
        <w:t xml:space="preserve"> </w:t>
      </w:r>
      <w:r>
        <w:t xml:space="preserve">corpus EXP2, estratificados para representar los cinco modelos y los cuatro</w:t>
      </w:r>
      <w:r>
        <w:t xml:space="preserve"> </w:t>
      </w:r>
      <w:r>
        <w:t xml:space="preserve">métodos explicadores. Cada par contiene la salida de texto de dos explicaciones</w:t>
      </w:r>
      <w:r>
        <w:t xml:space="preserve"> </w:t>
      </w:r>
      <w:r>
        <w:t xml:space="preserve">sobre la misma instancia o configuración comparable.</w:t>
      </w:r>
    </w:p>
    <w:p>
      <w:pPr>
        <w:pStyle w:val="Textoindependiente"/>
        <w:spacing w:line="360" w:lineRule="auto"/>
        <w:jc w:val="both"/>
      </w:pPr>
      <w:r>
        <w:rPr>
          <w:b/>
          <w:bCs/>
        </w:rPr>
        <w:t xml:space="preserve">Jueces.</w:t>
      </w:r>
      <w:r>
        <w:t xml:space="preserve"> </w:t>
      </w:r>
      <w:r>
        <w:t xml:space="preserve">Tres jueces LLM independientes puntuaron cada par de forma</w:t>
      </w:r>
      <w:r>
        <w:t xml:space="preserve"> </w:t>
      </w:r>
      <w:r>
        <w:t xml:space="preserve">ciega (sin conocer la puntuación de los otros jueces) sobre siete dimensiones</w:t>
      </w:r>
      <w:r>
        <w:t xml:space="preserve"> </w:t>
      </w:r>
      <w:r>
        <w:t xml:space="preserve">semánticas estructuradas mediante una rúbrica de escala 1–5 por dimensión</w:t>
      </w:r>
      <w:r>
        <w:t xml:space="preserve"> </w:t>
      </w:r>
      <w:r>
        <w:t xml:space="preserve">(las siete dimensiones se enumeran en la Tabla</w:t>
      </w:r>
      <w:r>
        <w:t xml:space="preserve"> </w:t>
      </w:r>
      <w:hyperlink w:anchor="tbl-exp4-icc">
        <w:r>
          <w:rPr>
            <w:rStyle w:val="Hipervnculo"/>
          </w:rPr>
          <w:t xml:space="preserve">Table 6.3</w:t>
        </w:r>
      </w:hyperlink>
      <w:r>
        <w:t xml:space="preserve"> </w:t>
      </w:r>
      <w:r>
        <w:t xml:space="preserve">del Capítulo 5).</w:t>
      </w:r>
      <w:r>
        <w:t xml:space="preserve"> </w:t>
      </w:r>
      <w:r>
        <w:t xml:space="preserve">El uso de modelos de lenguaje como instrumento de medida exige cautela: estos</w:t>
      </w:r>
      <w:r>
        <w:t xml:space="preserve"> </w:t>
      </w:r>
      <w:r>
        <w:t xml:space="preserve">sistemas producen salidas fluidas y plausibles con independencia de su</w:t>
      </w:r>
      <w:r>
        <w:t xml:space="preserve"> </w:t>
      </w:r>
      <w:r>
        <w:t xml:space="preserve">corrección factual, un modo de fallo ampliamente documentado en generación de</w:t>
      </w:r>
      <w:r>
        <w:t xml:space="preserve"> </w:t>
      </w:r>
      <w:r>
        <w:t xml:space="preserve">lenguaje natural</w:t>
      </w:r>
      <w:r>
        <w:t xml:space="preserve"> </w:t>
      </w:r>
      <w:r>
        <w:t xml:space="preserve">(Ji 2022)</w:t>
      </w:r>
      <w:r>
        <w:t xml:space="preserve">, por lo que su convergencia inter-juez debe</w:t>
      </w:r>
      <w:r>
        <w:t xml:space="preserve"> </w:t>
      </w:r>
      <w:r>
        <w:t xml:space="preserve">establecerse empíricamente antes de tratarla como evidencia.</w:t>
      </w:r>
    </w:p>
    <w:p>
      <w:pPr>
        <w:pStyle w:val="Textoindependiente"/>
        <w:spacing w:line="360" w:lineRule="auto"/>
        <w:jc w:val="both"/>
      </w:pPr>
      <w:r>
        <w:rPr>
          <w:b/>
          <w:bCs/>
        </w:rPr>
        <w:t xml:space="preserve">Análisis.</w:t>
      </w:r>
      <w:r>
        <w:t xml:space="preserve"> </w:t>
      </w:r>
      <w:r>
        <w:t xml:space="preserve">La fiabilidad inter-juez se cuantifica mediante la correlación</w:t>
      </w:r>
      <w:r>
        <w:t xml:space="preserve"> </w:t>
      </w:r>
      <w:r>
        <w:t xml:space="preserve">intraclase ICC(1,1) —modelo de efectos aleatorios unidireccional, evaluador</w:t>
      </w:r>
      <w:r>
        <w:t xml:space="preserve"> </w:t>
      </w:r>
      <w:r>
        <w:t xml:space="preserve">único— y el</w:t>
      </w:r>
      <w:r>
        <w:t xml:space="preserve"> </w:t>
      </w:r>
      <ns1:oMath>
        <ns1:r>
          <ns1:t>α</ns1:t>
        </ns1:r>
      </ns1:oMath>
      <w:r>
        <w:t xml:space="preserve"> </w:t>
      </w:r>
      <w:r>
        <w:t xml:space="preserve">de Krippendorff</w:t>
      </w:r>
      <w:r>
        <w:t xml:space="preserve"> </w:t>
      </w:r>
      <w:r>
        <w:t xml:space="preserve">(Krippendorff 2018)</w:t>
      </w:r>
      <w:r>
        <w:t xml:space="preserve">, estadístico que tolera</w:t>
      </w:r>
      <w:r>
        <w:t xml:space="preserve"> </w:t>
      </w:r>
      <w:r>
        <w:t xml:space="preserve">puntuaciones ausentes y admite escalas ordinales. Se prefieren ambos al</w:t>
      </w:r>
      <w:r>
        <w:t xml:space="preserve"> </w:t>
      </w:r>
      <w:r>
        <w:t xml:space="preserve">coeficiente</w:t>
      </w:r>
      <w:r>
        <w:t xml:space="preserve"> </w:t>
      </w:r>
      <ns1:oMath>
        <ns1:r>
          <ns1:t>κ</ns1:t>
        </ns1:r>
      </ns1:oMath>
      <w:r>
        <w:t xml:space="preserve"> </w:t>
      </w:r>
      <w:r>
        <w:t xml:space="preserve">de Cohen</w:t>
      </w:r>
      <w:r>
        <w:t xml:space="preserve"> </w:t>
      </w:r>
      <w:r>
        <w:t xml:space="preserve">(Cohen 1960)</w:t>
      </w:r>
      <w:r>
        <w:t xml:space="preserve"> </w:t>
      </w:r>
      <w:r>
        <w:t xml:space="preserve">porque este último se define para dos</w:t>
      </w:r>
      <w:r>
        <w:t xml:space="preserve"> </w:t>
      </w:r>
      <w:r>
        <w:t xml:space="preserve">evaluadores y escalas nominales, mientras que el diseño de EXP4 involucra tres</w:t>
      </w:r>
      <w:r>
        <w:t xml:space="preserve"> </w:t>
      </w:r>
      <w:r>
        <w:t xml:space="preserve">jueces y puntuaciones ordinales de 1 a 5. El umbral de fiabilidad</w:t>
      </w:r>
      <w:r>
        <w:t xml:space="preserve"> </w:t>
      </w:r>
      <w:r>
        <w:t xml:space="preserve">aceptable es</w:t>
      </w:r>
      <w:r>
        <w:t xml:space="preserve"> </w:t>
      </w:r>
      <ns1:oMath>
        <ns1:r>
          <ns1:rPr>
            <ns1:sty ns1:val="p"/>
          </ns1:rPr>
          <ns1:t>≥</ns1:t>
        </ns1:r>
        <ns1:r>
          <ns1:t>0.75</ns1:t>
        </ns1:r>
      </ns1:oMath>
      <w:r>
        <w:t xml:space="preserve"> </w:t>
      </w:r>
      <w:r>
        <w:t xml:space="preserve">(Koo and Li 2016)</w:t>
      </w:r>
      <w:r>
        <w:t xml:space="preserve">, que corresponde a la categoría</w:t>
      </w:r>
      <w:r>
        <w:t xml:space="preserve"> </w:t>
      </w:r>
      <w:r>
        <w:rPr>
          <w:i/>
          <w:iCs/>
        </w:rPr>
        <w:t xml:space="preserve">good</w:t>
      </w:r>
      <w:r>
        <w:t xml:space="preserve"> </w:t>
      </w:r>
      <w:r>
        <w:t xml:space="preserve">o superior según</w:t>
      </w:r>
      <w:r>
        <w:t xml:space="preserve"> </w:t>
      </w:r>
      <w:r>
        <w:t xml:space="preserve">los criterios de</w:t>
      </w:r>
      <w:r>
        <w:t xml:space="preserve"> </w:t>
      </w:r>
      <w:r>
        <w:t xml:space="preserve">Koo and Li (2016)</w:t>
      </w:r>
      <w:r>
        <w:t xml:space="preserve">.</w:t>
      </w:r>
    </w:p>
    <w:p>
      <w:pPr>
        <w:pStyle w:val="Textoindependiente"/>
        <w:spacing w:line="360" w:lineRule="auto"/>
        <w:jc w:val="both"/>
      </w:pPr>
      <w:r>
        <w:rPr>
          <w:b/>
          <w:bCs/>
        </w:rPr>
        <w:t xml:space="preserve">Alcance.</w:t>
      </w:r>
      <w:r>
        <w:t xml:space="preserve"> </w:t>
      </w:r>
      <w:r>
        <w:t xml:space="preserve">EXP4 evalúa la fiabilidad del instrumento de medición semántico,</w:t>
      </w:r>
      <w:r>
        <w:t xml:space="preserve"> </w:t>
      </w:r>
      <w:r>
        <w:t xml:space="preserve">no la calidad de los métodos explicadores. Sus resultados no modifican las</w:t>
      </w:r>
      <w:r>
        <w:t xml:space="preserve"> </w:t>
      </w:r>
      <w:r>
        <w:t xml:space="preserve">conclusiones confirmativas de H1–H3; aportan evidencia sobre el diseño de</w:t>
      </w:r>
      <w:r>
        <w:t xml:space="preserve"> </w:t>
      </w:r>
      <w:r>
        <w:t xml:space="preserve">rúbricas para evaluación semántica futura. EXP4 tiene carácter exploratorio y</w:t>
      </w:r>
      <w:r>
        <w:t xml:space="preserve"> </w:t>
      </w:r>
      <w:r>
        <w:t xml:space="preserve">no genera hipótesis confirmativas propias; su resultado se clasifica como</w:t>
      </w:r>
      <w:r>
        <w:t xml:space="preserve"> </w:t>
      </w:r>
      <w:r>
        <w:t xml:space="preserve">proposición de calibración P2, declarada con su estatuto epistémico diferenciado</w:t>
      </w:r>
      <w:r>
        <w:t xml:space="preserve"> </w:t>
      </w:r>
      <w:r>
        <w:t xml:space="preserve">en el Capítulo 1 y reportada en los Capítulos 5 y 6.</w:t>
      </w:r>
    </w:p>
    <w:p>
      <w:pPr>
        <w:pStyle w:val="Textoindependiente"/>
        <w:spacing w:line="360" w:lineRule="auto"/>
        <w:jc w:val="both"/>
      </w:pPr>
      <w:r>
        <w:t xml:space="preserve">Este capítulo ha operacionalizado el protocolo FOM-7 y ha establecido las</w:t>
      </w:r>
      <w:r>
        <w:t xml:space="preserve"> </w:t>
      </w:r>
      <w:r>
        <w:t xml:space="preserve">condiciones bajo las cuales los resultados del Capítulo 4 son estadísticamente</w:t>
      </w:r>
      <w:r>
        <w:t xml:space="preserve"> </w:t>
      </w:r>
      <w:r>
        <w:t xml:space="preserve">admisibles: 275 artefactos calificados de 300 planificados, con separación</w:t>
      </w:r>
      <w:r>
        <w:t xml:space="preserve"> </w:t>
      </w:r>
      <w:r>
        <w:t xml:space="preserve">EXP1/EXP2, semillas declarativas, auditoría de integridad y plan inferencial</w:t>
      </w:r>
      <w:r>
        <w:t xml:space="preserve"> </w:t>
      </w:r>
      <w:r>
        <w:t xml:space="preserve">fijado antes de la ejecución confirmativa. Los estudios complementarios EXP3 y</w:t>
      </w:r>
      <w:r>
        <w:t xml:space="preserve"> </w:t>
      </w:r>
      <w:r>
        <w:t xml:space="preserve">EXP4 amplían la evidencia disponible sin alterar el protocolo confirmativo</w:t>
      </w:r>
      <w:r>
        <w:t xml:space="preserve"> </w:t>
      </w:r>
      <w:r>
        <w:t xml:space="preserve">central. El Capítulo 4 presenta los resultados de H1, H2, H3 y P1; el Capítulo 5</w:t>
      </w:r>
      <w:r>
        <w:t xml:space="preserve"> </w:t>
      </w:r>
      <w:r>
        <w:t xml:space="preserve">incorpora los resultados de EXP4 como componente empírico de la taxonomía.</w:t>
      </w:r>
    </w:p>
    <w:bookmarkEnd w:id="100"/>
    <w:bookmarkEnd w:id="101"/>
    <w:bookmarkEnd w:id="102"/>
    <w:bookmarkStart w:id="160" w:name="resultados-y-discusión"/>
    <w:p>
      <w:pPr>
        <w:pStyle w:val="Ttulo1"/>
        <w:spacing w:line="360" w:lineRule="auto"/>
        <w:jc w:val="both"/>
      </w:pPr>
      <w:r>
        <w:t xml:space="preserve">Resultados y discusión</w:t>
      </w:r>
    </w:p>
    <w:p>
      <w:pPr>
        <w:pStyle w:val="FirstParagraph"/>
        <w:spacing w:line="360" w:lineRule="auto"/>
        <w:jc w:val="both"/>
      </w:pPr>
      <w:r>
        <w:t xml:space="preserve">Este capítulo presenta los resultados empíricos de los Estudios A y B del</w:t>
      </w:r>
      <w:r>
        <w:t xml:space="preserve"> </w:t>
      </w:r>
      <w:r>
        <w:t xml:space="preserve">benchmark XAI, organizados conforme a las hipótesis y proposición de trabajo</w:t>
      </w:r>
      <w:r>
        <w:t xml:space="preserve"> </w:t>
      </w:r>
      <w:r>
        <w:t xml:space="preserve">establecidas en el Capítulo 1. La exposición sigue la secuencia lógica del</w:t>
      </w:r>
      <w:r>
        <w:t xml:space="preserve"> </w:t>
      </w:r>
      <w:r>
        <w:t xml:space="preserve">protocolo FOM-7: primero se documentan los resultados del análisis omnibus</w:t>
      </w:r>
      <w:r>
        <w:t xml:space="preserve"> </w:t>
      </w:r>
      <w:r>
        <w:t xml:space="preserve">(Estudio A), luego el análisis pareado SHAP-LIME (Estudio B), y finalmente</w:t>
      </w:r>
      <w:r>
        <w:t xml:space="preserve"> </w:t>
      </w:r>
      <w:r>
        <w:t xml:space="preserve">la verificación de la proposición de reproducibilidad (P1). La discusión</w:t>
      </w:r>
      <w:r>
        <w:t xml:space="preserve"> </w:t>
      </w:r>
      <w:r>
        <w:t xml:space="preserve">integradora al final del capítulo articula los hallazgos con la literatura y</w:t>
      </w:r>
      <w:r>
        <w:t xml:space="preserve"> </w:t>
      </w:r>
      <w:r>
        <w:t xml:space="preserve">deriva criterios operativos de selección de métodos.</w:t>
      </w:r>
    </w:p>
    <w:p>
      <w:pPr>
        <w:pStyle w:val="Textoindependiente"/>
        <w:spacing w:line="360" w:lineRule="auto"/>
        <w:jc w:val="both"/>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ns1:oMath>
        <ns1:r>
          <ns1:t>5</ns1:t>
        </ns1:r>
        <ns1:r>
          <ns1:rPr>
            <ns1:sty ns1:val="p"/>
          </ns1:rPr>
          <ns1:t>×</ns1:t>
        </ns1:r>
        <ns1:r>
          <ns1:t>4</ns1:t>
        </ns1:r>
        <ns1:r>
          <ns1:rPr>
            <ns1:sty ns1:val="p"/>
          </ns1:rPr>
          <ns1:t>×</ns1:t>
        </ns1:r>
        <ns1:r>
          <ns1:t>5</ns1:t>
        </ns1:r>
        <ns1:r>
          <ns1:rPr>
            <ns1:sty ns1:val="p"/>
          </ns1:rPr>
          <ns1:t>×</ns1:t>
        </ns1:r>
        <ns1:r>
          <ns1:t>3</ns1:t>
        </ns1:r>
      </ns1: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104" w:name="X265f56e886428ba30debc49e85dcc5a7469d3ae"/>
    <w:p>
      <w:pPr>
        <w:pStyle w:val="Ttulo2"/>
        <w:spacing w:line="360" w:lineRule="auto"/>
        <w:jc w:val="both"/>
      </w:pPr>
      <w:r>
        <w:t xml:space="preserve">Descripción general de la cobertura analítica</w:t>
      </w:r>
    </w:p>
    <w:p>
      <w:pPr>
        <w:pStyle w:val="FirstParagraph"/>
        <w:spacing w:line="360" w:lineRule="auto"/>
        <w:jc w:val="bot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ns1:oMath>
        <ns1: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oMath>
      <w:r>
        <w:t xml:space="preserve">), se</w:t>
      </w:r>
      <w:r>
        <w:t xml:space="preserve"> </w:t>
      </w:r>
      <w:r>
        <w:t xml:space="preserve">obtuvieron artefactos calificados en 275, distribuidos como sigue:</w:t>
      </w:r>
    </w:p>
    <w:p>
      <w:pPr>
        <w:numPr>
          <w:ilvl w:val="0"/>
          <w:numId w:val="1012"/>
        </w:numPr>
        <w:spacing w:line="360" w:lineRule="auto"/>
        <w:jc w:val="both"/>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2"/>
        </w:numPr>
        <w:spacing w:line="360" w:lineRule="auto"/>
        <w:jc w:val="both"/>
      </w:pPr>
      <w:r>
        <w:rPr>
          <w:b/>
          <w:bCs/>
        </w:rPr>
        <w:t xml:space="preserve">LIME</w:t>
      </w:r>
      <w:r>
        <w:t xml:space="preserve">: 75 de 75 celdas (100%). Cobertura completa.</w:t>
      </w:r>
    </w:p>
    <w:p>
      <w:pPr>
        <w:numPr>
          <w:ilvl w:val="0"/>
          <w:numId w:val="1012"/>
        </w:numPr>
        <w:spacing w:line="360" w:lineRule="auto"/>
        <w:jc w:val="both"/>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2"/>
        </w:numPr>
        <w:spacing w:line="360" w:lineRule="auto"/>
        <w:jc w:val="both"/>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spacing w:line="360" w:lineRule="auto"/>
        <w:jc w:val="both"/>
      </w:pPr>
      <w:r>
        <w:t xml:space="preserve">Para el análisis Friedman (H1 y H2), se utilizan los 15 bloques completos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coincidentes en las que</w:t>
      </w:r>
      <w:r>
        <w:t xml:space="preserve"> </w:t>
      </w:r>
      <w:r>
        <w:t xml:space="preserve">ambos métodos producen resultados calificados.</w:t>
      </w:r>
    </w:p>
    <w:p>
      <w:pPr>
        <w:pStyle w:val="Textoindependiente"/>
        <w:spacing w:line="360" w:lineRule="auto"/>
        <w:jc w:val="both"/>
      </w:pPr>
      <w:r>
        <w:t xml:space="preserve">La Tabla</w:t>
      </w:r>
      <w:r>
        <w:t xml:space="preserve"> </w:t>
      </w:r>
      <w:hyperlink w:anchor="tbl-results-overview">
        <w:r>
          <w:rPr>
            <w:rStyle w:val="Hipervnculo"/>
          </w:rPr>
          <w:t xml:space="preserve">Table 5.1</w:t>
        </w:r>
      </w:hyperlink>
      <w:r>
        <w:t xml:space="preserve"> </w:t>
      </w:r>
      <w:r>
        <w:t xml:space="preserve">resume las decisiones inferenciales principales</w:t>
      </w:r>
      <w:r>
        <w:t xml:space="preserve"> </w:t>
      </w:r>
      <w:r>
        <w:t xml:space="preserve">antes de desarrollar cada resultado. Su función es separar la evidencia</w:t>
      </w:r>
      <w:r>
        <w:t xml:space="preserve"> </w:t>
      </w:r>
      <w:r>
        <w:t xml:space="preserve">estadística de la interpretación sustantiva y hacer explícita la unidad de</w:t>
      </w:r>
      <w:r>
        <w:t xml:space="preserve"> </w:t>
      </w:r>
      <w:r>
        <w:t xml:space="preserve">análisis de cada claim.</w:t>
      </w:r>
    </w:p>
    <w:tbl>
      <w:tblPr>
        <w:tblStyle w:val="Table"/>
        <w:tblW w:type="pct" w:w="5000"/>
        <w:tblLayout w:type="fixed"/>
        <w:tblLook w:firstRow="0" w:lastRow="0" w:firstColumn="0" w:lastColumn="0" w:noHBand="0" w:noVBand="0" w:val="0000"/>
      </w:tblPr>
      <w:tblGrid>
        <w:gridCol w:w="7920"/>
      </w:tblGrid>
      <w:tr>
        <w:tc>
          <w:tcPr/>
          <w:bookmarkStart w:id="103" w:name="tbl-results-overview"/>
          <w:p>
            <w:pPr>
              <w:jc w:val="both"/>
              <w:spacing w:line="360" w:lineRule="auto"/>
            </w:pPr>
            <w:pPr>
              <w:jc w:val="left"/>
              <w:spacing w:before="200"/>
              <w:pStyle w:val="ImageCaption"/>
            </w:pPr>
            <w:r>
              <w:t xml:space="preserve">Table 5.1: Resumen auditable de hipótesis, pruebas y decisiones.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Test</w:t>
                  </w:r>
                </w:p>
              </w:tc>
              <w:tc>
                <w:tcPr/>
                <w:p>
                  <w:pPr>
                    <w:pStyle w:val="Compact"/>
                    <w:jc w:val="both"/>
                    <w:jc w:val="center"/>
                    <w:spacing w:line="360" w:lineRule="auto"/>
                  </w:pPr>
                  <w:r>
                    <w:t xml:space="preserve">Unidad /</w:t>
                  </w:r>
                  <w:r>
                    <w:t xml:space="preserve"> </w:t>
                  </w:r>
                  <ns1:oMath>
                    <ns1:r>
                      <ns1:t>n</ns1:t>
                    </ns1:r>
                  </ns1:oMath>
                </w:p>
              </w:tc>
              <w:tc>
                <w:tcPr/>
                <w:p>
                  <w:pPr>
                    <w:pStyle w:val="Compact"/>
                    <w:jc w:val="both"/>
                    <w:jc w:val="center"/>
                    <w:spacing w:line="360" w:lineRule="auto"/>
                  </w:pPr>
                  <w:r>
                    <w:t xml:space="preserve">Estadístico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Efecto</w:t>
                  </w:r>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H1: existen diferencias de fidelidad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42.12</ns1:t>
                    </ns1:r>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0.936</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r>
                    <w:t xml:space="preserve">; SHAP supera a Anchors/DiCE y LIME supera a DiCE</w:t>
                  </w:r>
                </w:p>
              </w:tc>
            </w:tr>
            <w:tr>
              <w:tc>
                <w:tcPr/>
                <w:p>
                  <w:pPr>
                    <w:pStyle w:val="Compact"/>
                    <w:jc w:val="both"/>
                    <w:jc w:val="center"/>
                    <w:spacing w:line="360" w:lineRule="auto"/>
                  </w:pPr>
                  <w:r>
                    <w:t xml:space="preserve">H2: existen diferencias de estabilidad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40.68</ns1:t>
                    </ns1:r>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0.904</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r>
                    <w:t xml:space="preserve">; SHAP/DiCE forman el grupo más estable</w:t>
                  </w:r>
                </w:p>
              </w:tc>
            </w:tr>
            <w:tr>
              <w:tc>
                <w:tcPr/>
                <w:p>
                  <w:pPr>
                    <w:pStyle w:val="Compact"/>
                    <w:jc w:val="both"/>
                    <w:jc w:val="center"/>
                    <w:spacing w:line="360" w:lineRule="auto"/>
                  </w:pPr>
                  <w:r>
                    <w:t xml:space="preserve">H3: SHAP y LIME difieren en calidad-coste</w:t>
                  </w:r>
                </w:p>
              </w:tc>
              <w:tc>
                <w:tcPr/>
                <w:p>
                  <w:pPr>
                    <w:pStyle w:val="Compact"/>
                    <w:jc w:val="both"/>
                    <w:jc w:val="center"/>
                    <w:spacing w:line="360" w:lineRule="auto"/>
                  </w:pPr>
                  <w:r>
                    <w:t xml:space="preserve">Wilcoxon pareado bilateral</w:t>
                  </w:r>
                </w:p>
              </w:tc>
              <w:tc>
                <w:tcPr/>
                <w:p>
                  <w:pPr>
                    <w:pStyle w:val="Compact"/>
                    <w:jc w:val="both"/>
                    <w:jc w:val="center"/>
                    <w:spacing w:line="360" w:lineRule="auto"/>
                  </w:pPr>
                  <w:r>
                    <w:t xml:space="preserve">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p>
              </w:tc>
              <w:tc>
                <w:tcPr/>
                <w:p>
                  <w:pPr>
                    <w:pStyle w:val="Compact"/>
                    <w:jc w:val="both"/>
                    <w:jc w:val="center"/>
                    <w:spacing w:line="360" w:lineRule="auto"/>
                  </w:pPr>
                  <ns1:oMath>
                    <ns1:r>
                      <ns1:t>W</ns1:t>
                    </ns1:r>
                    <ns1:r>
                      <ns1:rPr>
                        <ns1:sty ns1:val="p"/>
                      </ns1:rPr>
                      <ns1:t>=</ns1:t>
                    </ns1:r>
                    <ns1:r>
                      <ns1:t>0</ns1:t>
                    </ns1:r>
                  </ns1:oMath>
                  <w:r>
                    <w:t xml:space="preserve"> </w:t>
                  </w:r>
                  <w:r>
                    <w:t xml:space="preserve">a</w:t>
                  </w:r>
                  <w:r>
                    <w:t xml:space="preserve"> </w:t>
                  </w:r>
                  <ns1:oMath>
                    <ns1:r>
                      <ns1:t>205</ns1:t>
                    </ns1:r>
                  </ns1:oMath>
                </w:p>
              </w:tc>
              <w:tc>
                <w:tcPr/>
                <w:p>
                  <w:pPr>
                    <w:pStyle w:val="Compact"/>
                    <w:jc w:val="both"/>
                    <w:jc w:val="center"/>
                    <w:spacing w:line="360" w:lineRule="auto"/>
                  </w:pPr>
                  <ns1:oMath>
                    <ns1:r>
                      <ns1:rPr>
                        <ns1:sty ns1:val="p"/>
                      </ns1:rPr>
                      <ns1:t>≤</ns1:t>
                    </ns1:r>
                    <ns1:r>
                      <ns1:t>2.64</ns1:t>
                    </ns1:r>
                    <ns1:r>
                      <ns1:rPr>
                        <ns1:sty ns1:val="p"/>
                      </ns1:rPr>
                      <ns1:t>×</ns1:t>
                    </ns1:r>
                    <ns1:sSup>
                      <ns1:e>
                        <ns1:r>
                          <ns1:t>10</ns1:t>
                        </ns1:r>
                      </ns1:e>
                      <ns1:sup>
                        <ns1:r>
                          <ns1:rPr>
                            <ns1:sty ns1:val="p"/>
                          </ns1:rPr>
                          <ns1:t>−</ns1:t>
                        </ns1:r>
                        <ns1:r>
                          <ns1:t>13</ns1:t>
                        </ns1:r>
                      </ns1:sup>
                    </ns1:sSup>
                  </ns1:oMath>
                  <w:r>
                    <w:t xml:space="preserve"> </w:t>
                  </w:r>
                  <w:r>
                    <w:t xml:space="preserve">para calidad;</w:t>
                  </w:r>
                  <w:r>
                    <w:t xml:space="preserve"> </w:t>
                  </w:r>
                  <ns1:oMath>
                    <ns1:r>
                      <ns1:t>1.18</ns1:t>
                    </ns1:r>
                    <ns1:r>
                      <ns1:rPr>
                        <ns1:sty ns1:val="p"/>
                      </ns1:rPr>
                      <ns1:t>×</ns1:t>
                    </ns1:r>
                    <ns1:sSup>
                      <ns1:e>
                        <ns1:r>
                          <ns1:t>10</ns1:t>
                        </ns1:r>
                      </ns1:e>
                      <ns1:sup>
                        <ns1:r>
                          <ns1:rPr>
                            <ns1:sty ns1:val="p"/>
                          </ns1:rPr>
                          <ns1:t>−</ns1:t>
                        </ns1:r>
                        <ns1:r>
                          <ns1:t>10</ns1:t>
                        </ns1:r>
                      </ns1:sup>
                    </ns1:sSup>
                  </ns1:oMath>
                  <w:r>
                    <w:t xml:space="preserve"> </w:t>
                  </w:r>
                  <w:r>
                    <w:t xml:space="preserve">para coste</w:t>
                  </w:r>
                </w:p>
              </w:tc>
              <w:tc>
                <w:tcPr/>
                <w:p>
                  <w:pPr>
                    <w:pStyle w:val="Compact"/>
                    <w:jc w:val="both"/>
                    <w:jc w:val="center"/>
                    <w:spacing w:line="360" w:lineRule="auto"/>
                  </w:pPr>
                  <ns1:oMath>
                    <ns1:sSub>
                      <ns1:e>
                        <ns1:r>
                          <ns1:t>d</ns1:t>
                        </ns1:r>
                      </ns1:e>
                      <ns1:sub>
                        <ns1:r>
                          <ns1:t>z</ns1:t>
                        </ns1:r>
                      </ns1:sub>
                    </ns1:sSub>
                    <ns1:r>
                      <ns1:rPr>
                        <ns1:sty ns1:val="p"/>
                      </ns1:rPr>
                      <ns1:t>=</ns1:t>
                    </ns1:r>
                    <ns1:r>
                      <ns1:t>0.451</ns1:t>
                    </ns1:r>
                  </ns1:oMath>
                  <w:r>
                    <w:t xml:space="preserve"> </w:t>
                  </w:r>
                  <w:r>
                    <w:t xml:space="preserve">a</w:t>
                  </w:r>
                  <w:r>
                    <w:t xml:space="preserve"> </w:t>
                  </w:r>
                  <ns1:oMath>
                    <ns1:r>
                      <ns1:t>4.820</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3</ns1:t>
                        </ns1:r>
                      </ns1:sub>
                    </ns1:sSub>
                  </ns1:oMath>
                  <w:r>
                    <w:t xml:space="preserve">; SHAP mejora calidad y aumenta coste medio</w:t>
                  </w:r>
                </w:p>
              </w:tc>
            </w:tr>
            <w:tr>
              <w:tc>
                <w:tcPr/>
                <w:p>
                  <w:pPr>
                    <w:pStyle w:val="Compact"/>
                    <w:jc w:val="both"/>
                    <w:jc w:val="center"/>
                    <w:spacing w:line="360" w:lineRule="auto"/>
                  </w:pPr>
                  <w:r>
                    <w:t xml:space="preserve">P1: el protocolo es reproducible bajo semillas</w:t>
                  </w:r>
                </w:p>
              </w:tc>
              <w:tc>
                <w:tcPr/>
                <w:p>
                  <w:pPr>
                    <w:pStyle w:val="Compact"/>
                    <w:jc w:val="both"/>
                    <w:jc w:val="center"/>
                    <w:spacing w:line="360" w:lineRule="auto"/>
                  </w:pPr>
                  <w:r>
                    <w:t xml:space="preserve">CV sobre el estrato replicado</w:t>
                  </w:r>
                </w:p>
              </w:tc>
              <w:tc>
                <w:tcPr/>
                <w:p>
                  <w:pPr>
                    <w:pStyle w:val="Compact"/>
                    <w:jc w:val="both"/>
                    <w:jc w:val="center"/>
                    <w:spacing w:line="360" w:lineRule="auto"/>
                  </w:pPr>
                  <w:r>
                    <w:t xml:space="preserve">5 semillas RF,</w:t>
                  </w:r>
                  <w:r>
                    <w:t xml:space="preserve"> </w:t>
                  </w:r>
                  <ns1:oMath>
                    <ns1:r>
                      <ns1:t>N</ns1:t>
                    </ns1:r>
                    <ns1:r>
                      <ns1:rPr>
                        <ns1:sty ns1:val="p"/>
                      </ns1:rPr>
                      <ns1:t>=</ns1:t>
                    </ns1:r>
                    <ns1:r>
                      <ns1:t>100</ns1:t>
                    </ns1:r>
                  </ns1:oMath>
                </w:p>
              </w:tc>
              <w:tc>
                <w:tcPr/>
                <w:p>
                  <w:pPr>
                    <w:pStyle w:val="Compact"/>
                    <w:jc w:val="both"/>
                    <w:jc w:val="center"/>
                    <w:spacing w:line="360" w:lineRule="auto"/>
                  </w:pPr>
                  <w:r>
                    <w:t xml:space="preserve">CV por métrica</w:t>
                  </w:r>
                </w:p>
              </w:tc>
              <w:tc>
                <w:tcPr/>
                <w:p>
                  <w:pPr>
                    <w:pStyle w:val="Compact"/>
                    <w:jc w:val="both"/>
                    <w:jc w:val="center"/>
                    <w:spacing w:line="360" w:lineRule="auto"/>
                  </w:pPr>
                  <w:r>
                    <w:t xml:space="preserve">No aplica</w:t>
                  </w:r>
                </w:p>
              </w:tc>
              <w:tc>
                <w:tcPr/>
                <w:p>
                  <w:pPr>
                    <w:pStyle w:val="Compact"/>
                    <w:jc w:val="both"/>
                    <w:jc w:val="center"/>
                    <w:spacing w:line="360" w:lineRule="auto"/>
                  </w:pPr>
                  <w:r>
                    <w:t xml:space="preserve">CV &lt; 3% en señales principales</w:t>
                  </w:r>
                </w:p>
              </w:tc>
              <w:tc>
                <w:tcPr/>
                <w:p>
                  <w:pPr>
                    <w:pStyle w:val="Compact"/>
                    <w:jc w:val="both"/>
                    <w:jc w:val="center"/>
                    <w:spacing w:line="360" w:lineRule="auto"/>
                  </w:pPr>
                  <w:r>
                    <w:t xml:space="preserve">Confirmación parcial; LIME-estabilidad queda fuera por media cercana a cero</w:t>
                  </w:r>
                </w:p>
              </w:tc>
            </w:tr>
          </w:tbl>
          <w:bookmarkEnd w:id="103"/>
          <w:p>
            <w:pPr>
              <w:spacing w:line="360" w:lineRule="auto"/>
              <w:jc w:val="both"/>
            </w:pPr>
          </w:p>
        </w:tc>
      </w:tr>
    </w:tbl>
    <w:bookmarkEnd w:id="104"/>
    <w:bookmarkStart w:id="110" w:name="sec-estudio-a"/>
    <w:p>
      <w:pPr>
        <w:pStyle w:val="Ttulo2"/>
        <w:spacing w:line="360" w:lineRule="auto"/>
        <w:jc w:val="both"/>
      </w:pPr>
      <w:r>
        <w:t xml:space="preserve">Estudio A: Análisis omnibus multimétrico (H1 y H2)</w:t>
      </w:r>
    </w:p>
    <w:bookmarkStart w:id="107" w:name="X41be5df394949178755daa825e68dc45d5470c0"/>
    <w:p>
      <w:pPr>
        <w:pStyle w:val="Ttulo3"/>
        <w:spacing w:line="360" w:lineRule="auto"/>
        <w:jc w:val="both"/>
      </w:pPr>
      <w:r>
        <w:t xml:space="preserve">H1: Diferencias entre métodos en fidelidad</w:t>
      </w:r>
    </w:p>
    <w:p>
      <w:pPr>
        <w:pStyle w:val="FirstParagraph"/>
        <w:spacing w:line="360" w:lineRule="auto"/>
        <w:jc w:val="both"/>
      </w:pPr>
      <w:r>
        <w:t xml:space="preserve">La prueba de Friedman para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sobre la métrica de fidelidad</w:t>
      </w:r>
      <w:r>
        <w:t xml:space="preserve"> </w:t>
      </w:r>
      <w:r>
        <w:t xml:space="preserve">arrojó una estadística</w:t>
      </w:r>
      <w:r>
        <w:t xml:space="preserve"> </w:t>
      </w:r>
      <ns1:oMath>
        <ns1:sSubSup>
          <ns1:e>
            <ns1:r>
              <ns1:t>χ</ns1:t>
            </ns1:r>
          </ns1:e>
          <ns1:sub>
            <ns1:r>
              <ns1:t>F</ns1:t>
            </ns1:r>
          </ns1:sub>
          <ns1:sup>
            <ns1:r>
              <ns1:t>2</ns1:t>
            </ns1:r>
          </ns1:sup>
        </ns1:sSubSup>
        <ns1:r>
          <ns1:rPr>
            <ns1:sty ns1:val="p"/>
          </ns1:rPr>
          <ns1:t>=</ns1:t>
        </ns1:r>
        <ns1:r>
          <ns1:t>42.12</ns1:t>
        </ns1:r>
      </ns1:oMath>
      <w:r>
        <w:t xml:space="preserve"> </w:t>
      </w:r>
      <w:r>
        <w:t xml:space="preserve">con</w:t>
      </w:r>
      <w:r>
        <w:t xml:space="preserve"> </w:t>
      </w:r>
      <ns1:oMath>
        <ns1:r>
          <ns1:t>k</ns1:t>
        </ns1:r>
        <ns1:r>
          <ns1:rPr>
            <ns1:sty ns1:val="p"/>
          </ns1:rPr>
          <ns1:t>−</ns1:t>
        </ns1:r>
        <ns1:r>
          <ns1:t>1</ns1:t>
        </ns1:r>
        <ns1:r>
          <ns1:rPr>
            <ns1:sty ns1:val="p"/>
          </ns1:rPr>
          <ns1:t>=</ns1:t>
        </ns1:r>
        <ns1:r>
          <ns1:t>3</ns1:t>
        </ns1:r>
      </ns1:oMath>
      <w:r>
        <w:t xml:space="preserve"> </w:t>
      </w:r>
      <w:r>
        <w:t xml:space="preserve">grados de libertad</w:t>
      </w:r>
      <w:r>
        <w:t xml:space="preserve"> </w:t>
      </w:r>
      <w:r>
        <w:t xml:space="preserve">sobre</w:t>
      </w:r>
      <w:r>
        <w:t xml:space="preserve"> </w:t>
      </w:r>
      <ns1:oMath>
        <ns1:r>
          <ns1:t>n</ns1:t>
        </ns1:r>
        <ns1:r>
          <ns1:rPr>
            <ns1:sty ns1:val="p"/>
          </ns1:rPr>
          <ns1:t>=</ns1:t>
        </ns1:r>
        <ns1:r>
          <ns1:t>15</ns1:t>
        </ns1:r>
      </ns1:oMath>
      <w:r>
        <w:t xml:space="preserve"> </w:t>
      </w:r>
      <w:r>
        <w:t xml:space="preserve">bloques completos. El valor crítico para</w:t>
      </w:r>
      <w:r>
        <w:t xml:space="preserve"> </w:t>
      </w:r>
      <ns1:oMath>
        <ns1:r>
          <ns1:t>α</ns1:t>
        </ns1:r>
        <ns1:r>
          <ns1:rPr>
            <ns1:sty ns1:val="p"/>
          </ns1:rPr>
          <ns1:t>=</ns1:t>
        </ns1:r>
        <ns1:r>
          <ns1:t>0.05</ns1:t>
        </ns1:r>
      </ns1:oMath>
      <w:r>
        <w:t xml:space="preserve"> </w:t>
      </w:r>
      <w:r>
        <w:t xml:space="preserve">es</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de modo que el margen de seguridad inferencial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sSubSup>
                <ns1:e>
                  <ns1:r>
                    <ns1:t>χ</ns1:t>
                  </ns1:r>
                </ns1:e>
                <ns1:sub>
                  <ns1:r>
                    <ns1:t>F</ns1:t>
                  </ns1:r>
                </ns1:sub>
                <ns1:sup>
                  <ns1:r>
                    <ns1:t>2</ns1:t>
                  </ns1:r>
                </ns1:sup>
              </ns1:sSubSup>
              <ns1:r>
                <ns1:rPr>
                  <ns1:sty ns1:val="p"/>
                </ns1:rPr>
                <ns1:t>−</ns1:t>
              </ns1:r>
              <ns1:sSubSup>
                <ns1:e>
                  <ns1:r>
                    <ns1:t>χ</ns1:t>
                  </ns1:r>
                </ns1:e>
                <ns1:sub>
                  <ns1:r>
                    <ns1:t>c</ns1:t>
                  </ns1:r>
                  <ns1:r>
                    <ns1:t>r</ns1:t>
                  </ns1:r>
                  <ns1:r>
                    <ns1:t>i</ns1:t>
                  </ns1:r>
                  <ns1:r>
                    <ns1:t>t</ns1:t>
                  </ns1:r>
                </ns1:sub>
                <ns1:sup>
                  <ns1:r>
                    <ns1:t>2</ns1:t>
                  </ns1:r>
                </ns1:sup>
              </ns1:sSubSup>
            </ns1:num>
            <ns1:den>
              <ns1:sSubSup>
                <ns1:e>
                  <ns1:r>
                    <ns1:t>χ</ns1:t>
                  </ns1:r>
                </ns1:e>
                <ns1:sub>
                  <ns1:r>
                    <ns1:t>c</ns1:t>
                  </ns1:r>
                  <ns1:r>
                    <ns1:t>r</ns1:t>
                  </ns1:r>
                  <ns1:r>
                    <ns1:t>i</ns1:t>
                  </ns1:r>
                  <ns1:r>
                    <ns1:t>t</ns1:t>
                  </ns1:r>
                </ns1:sub>
                <ns1:sup>
                  <ns1:r>
                    <ns1:t>2</ns1:t>
                  </ns1:r>
                </ns1:sup>
              </ns1:sSubSup>
            </ns1:den>
          </ns1:f>
          <ns1:r>
            <ns1:rPr>
              <ns1:sty ns1:val="p"/>
            </ns1:rPr>
            <ns1:t>×</ns1:t>
          </ns1:r>
          <ns1:r>
            <ns1:t>100</ns1:t>
          </ns1:r>
          <ns1:r>
            <ns1:rPr>
              <ns1:sty ns1:val="p"/>
            </ns1:rPr>
            <ns1:t>=</ns1:t>
          </ns1:r>
          <ns1:f>
            <ns1:fPr>
              <ns1:type ns1:val="bar"/>
            </ns1:fPr>
            <ns1:num>
              <ns1:r>
                <ns1:t>42.12</ns1:t>
              </ns1:r>
              <ns1:r>
                <ns1:rPr>
                  <ns1:sty ns1:val="p"/>
                </ns1:rPr>
                <ns1:t>−</ns1:t>
              </ns1:r>
              <ns1:r>
                <ns1:t>7.815</ns1:t>
              </ns1:r>
            </ns1:num>
            <ns1:den>
              <ns1:r>
                <ns1:t>7.815</ns1:t>
              </ns1:r>
            </ns1:den>
          </ns1:f>
          <ns1:r>
            <ns1:rPr>
              <ns1:sty ns1:val="p"/>
            </ns1:rPr>
            <ns1:t>×</ns1:t>
          </ns1:r>
          <ns1:r>
            <ns1:t>100</ns1:t>
          </ns1:r>
          <ns1:r>
            <ns1:rPr>
              <ns1:sty ns1:val="p"/>
            </ns1:rPr>
            <ns1:t>=</ns1:t>
          </ns1:r>
          <ns1:r>
            <ns1:t>439</ns1:t>
          </ns1:r>
          <ns1:r>
            <ns1:rPr>
              <ns1:sty ns1:val="p"/>
            </ns1:rPr>
            <ns1:t>%</ns1:t>
          </ns1:r>
        </ns1:oMath>
      </ns1:oMathPara>
    </w:p>
    <w:p>
      <w:pPr>
        <w:pStyle w:val="FirstParagraph"/>
        <w:spacing w:line="360" w:lineRule="auto"/>
        <w:jc w:val="both"/>
      </w:pPr>
      <w:r>
        <w:t xml:space="preserve">Este resultado rechaza</w:t>
      </w:r>
      <w:r>
        <w:t xml:space="preserve"> </w:t>
      </w:r>
      <ns1:oMath>
        <ns1:sSub>
          <ns1:e>
            <ns1:r>
              <ns1:t>H</ns1:t>
            </ns1:r>
          </ns1:e>
          <ns1:sub>
            <ns1:r>
              <ns1:t>0</ns1:t>
            </ns1:r>
            <ns1:r>
              <ns1:rPr>
                <ns1:sty ns1:val="p"/>
              </ns1:rPr>
              <ns1:t>,</ns1:t>
            </ns1:r>
            <ns1:r>
              <ns1:t>1</ns1:t>
            </ns1:r>
          </ns1:sub>
        </ns1:sSub>
      </ns1:oMath>
      <w:r>
        <w:t xml:space="preserve"> </w:t>
      </w:r>
      <w:r>
        <w:t xml:space="preserve">con una holgura de más de cinco veces el</w:t>
      </w:r>
      <w:r>
        <w:t xml:space="preserve"> </w:t>
      </w:r>
      <w:r>
        <w:t xml:space="preserve">umbral crítico, lo que ofrece evidencia fuerte de diferencias sistemáticas</w:t>
      </w:r>
      <w:r>
        <w:t xml:space="preserve"> </w:t>
      </w:r>
      <w:r>
        <w:t xml:space="preserve">entre métodos bajo las condiciones del benchmark. La distribución empírica de</w:t>
      </w:r>
      <w:r>
        <w:t xml:space="preserve"> </w:t>
      </w:r>
      <w:r>
        <w:t xml:space="preserve">los rangos muestra a SHAP en la primera posición en los 15 bloques, con LIME</w:t>
      </w:r>
      <w:r>
        <w:t xml:space="preserve"> </w:t>
      </w:r>
      <w:r>
        <w:t xml:space="preserve">como segundo en los 15 bloques y alternancia Anchors–DiCE en las posiciones</w:t>
      </w:r>
      <w:r>
        <w:t xml:space="preserve"> </w:t>
      </w:r>
      <w:r>
        <w:t xml:space="preserve">3–4:</w:t>
      </w:r>
    </w:p>
    <w:tbl>
      <w:tblPr>
        <w:tblStyle w:val="Table"/>
        <w:tblW w:type="pct" w:w="5000"/>
        <w:tblLayout w:type="fixed"/>
        <w:tblLook w:firstRow="0" w:lastRow="0" w:firstColumn="0" w:lastColumn="0" w:noHBand="0" w:noVBand="0" w:val="0000"/>
      </w:tblPr>
      <w:tblGrid>
        <w:gridCol w:w="7920"/>
      </w:tblGrid>
      <w:tr>
        <w:tc>
          <w:tcPr/>
          <w:bookmarkStart w:id="105" w:name="tbl-friedman-fidelity"/>
          <w:p>
            <w:pPr>
              <w:jc w:val="both"/>
              <w:spacing w:line="360" w:lineRule="auto"/>
            </w:pPr>
            <w:pPr>
              <w:jc w:val="left"/>
              <w:spacing w:before="200"/>
              <w:pStyle w:val="ImageCaption"/>
            </w:pPr>
            <w:r>
              <w:t xml:space="preserve">Table 5.2: Suma y media de rangos de fidelidad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Posición</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1.ª</w:t>
                  </w:r>
                </w:p>
              </w:tc>
            </w:tr>
            <w:tr>
              <w:tc>
                <w:tcPr/>
                <w:p>
                  <w:pPr>
                    <w:pStyle w:val="Compact"/>
                    <w:jc w:val="both"/>
                    <w:spacing w:line="360" w:lineRule="auto"/>
                  </w:pPr>
                  <w:r>
                    <w:t xml:space="preserve">LIME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2.ª</w:t>
                  </w:r>
                </w:p>
              </w:tc>
            </w:tr>
            <w:tr>
              <w:tc>
                <w:tcPr/>
                <w:p>
                  <w:pPr>
                    <w:pStyle w:val="Compact"/>
                    <w:jc w:val="both"/>
                    <w:spacing w:line="360" w:lineRule="auto"/>
                  </w:pPr>
                  <w:r>
                    <w:t xml:space="preserve">Anchors</w:t>
                  </w:r>
                </w:p>
              </w:tc>
              <w:tc>
                <w:tcPr/>
                <w:p>
                  <w:pPr>
                    <w:pStyle w:val="Compact"/>
                    <w:jc w:val="both"/>
                    <w:spacing w:line="360" w:lineRule="auto"/>
                  </w:pPr>
                  <w:r>
                    <w:t xml:space="preserve">48</w:t>
                  </w:r>
                </w:p>
              </w:tc>
              <w:tc>
                <w:tcPr/>
                <w:p>
                  <w:pPr>
                    <w:pStyle w:val="Compact"/>
                    <w:jc w:val="both"/>
                    <w:spacing w:line="360" w:lineRule="auto"/>
                  </w:pPr>
                  <w:r>
                    <w:t xml:space="preserve">3.200</w:t>
                  </w:r>
                </w:p>
              </w:tc>
              <w:tc>
                <w:tcPr/>
                <w:p>
                  <w:pPr>
                    <w:pStyle w:val="Compact"/>
                    <w:jc w:val="both"/>
                    <w:spacing w:line="360" w:lineRule="auto"/>
                  </w:pPr>
                  <w:r>
                    <w:t xml:space="preserve">3.ª</w:t>
                  </w:r>
                </w:p>
              </w:tc>
            </w:tr>
            <w:tr>
              <w:tc>
                <w:tcPr/>
                <w:p>
                  <w:pPr>
                    <w:pStyle w:val="Compact"/>
                    <w:jc w:val="both"/>
                    <w:spacing w:line="360" w:lineRule="auto"/>
                  </w:pPr>
                  <w:r>
                    <w:t xml:space="preserve">DiCE</w:t>
                  </w:r>
                </w:p>
              </w:tc>
              <w:tc>
                <w:tcPr/>
                <w:p>
                  <w:pPr>
                    <w:pStyle w:val="Compact"/>
                    <w:jc w:val="both"/>
                    <w:spacing w:line="360" w:lineRule="auto"/>
                  </w:pPr>
                  <w:r>
                    <w:t xml:space="preserve">57</w:t>
                  </w:r>
                </w:p>
              </w:tc>
              <w:tc>
                <w:tcPr/>
                <w:p>
                  <w:pPr>
                    <w:pStyle w:val="Compact"/>
                    <w:jc w:val="both"/>
                    <w:spacing w:line="360" w:lineRule="auto"/>
                  </w:pPr>
                  <w:r>
                    <w:t xml:space="preserve">3.800</w:t>
                  </w:r>
                </w:p>
              </w:tc>
              <w:tc>
                <w:tcPr/>
                <w:p>
                  <w:pPr>
                    <w:pStyle w:val="Compact"/>
                    <w:jc w:val="both"/>
                    <w:spacing w:line="360" w:lineRule="auto"/>
                  </w:pPr>
                  <w:r>
                    <w:t xml:space="preserve">4.ª</w:t>
                  </w:r>
                </w:p>
              </w:tc>
            </w:tr>
          </w:tbl>
          <w:bookmarkEnd w:id="105"/>
          <w:p>
            <w:pPr>
              <w:spacing w:line="360" w:lineRule="auto"/>
              <w:jc w:val="both"/>
            </w:pPr>
          </w:p>
        </w:tc>
      </w:tr>
    </w:tbl>
    <w:p>
      <w:pPr>
        <w:pStyle w:val="Textoindependiente"/>
        <w:spacing w:line="360" w:lineRule="auto"/>
        <w:jc w:val="both"/>
      </w:pPr>
      <w:r>
        <w:t xml:space="preserve">El hecho de que SHAP obtenga rango 1 en la totalidad de los 15 bloques</w:t>
      </w:r>
      <w:r>
        <w:t xml:space="preserve"> </w:t>
      </w:r>
      <w:r>
        <w:t xml:space="preserve">(suma = 15, media = 1.000) implica que en ningún contexto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ningún otro método superó a SHAP en fidelidad. Las medias brutas (promedio</w:t>
      </w:r>
      <w:r>
        <w:t xml:space="preserve"> </w:t>
      </w:r>
      <ns1:oMath>
        <ns1:r>
          <ns1:rPr>
            <ns1:sty ns1:val="p"/>
          </ns1:rPr>
          <ns1:t>±</ns1:t>
        </ns1:r>
      </ns1:oMath>
      <w:r>
        <w:t xml:space="preserve"> </w:t>
      </w:r>
      <w:r>
        <w:t xml:space="preserve">desviación estándar entre bloques) son: SHAP = 0.808</w:t>
      </w:r>
      <w:r>
        <w:t xml:space="preserve"> </w:t>
      </w:r>
      <ns1:oMath>
        <ns1:r>
          <ns1:rPr>
            <ns1:sty ns1:val="p"/>
          </ns1:rPr>
          <ns1:t>±</ns1:t>
        </ns1:r>
      </ns1:oMath>
      <w:r>
        <w:t xml:space="preserve"> </w:t>
      </w:r>
      <w:r>
        <w:t xml:space="preserve">0.093, LIME = 0.560</w:t>
      </w:r>
      <w:r>
        <w:t xml:space="preserve"> </w:t>
      </w:r>
      <ns1:oMath>
        <ns1:r>
          <ns1:rPr>
            <ns1:sty ns1:val="p"/>
          </ns1:rPr>
          <ns1:t>±</ns1:t>
        </ns1:r>
      </ns1:oMath>
      <w:r>
        <w:t xml:space="preserve"> </w:t>
      </w:r>
      <w:r>
        <w:t xml:space="preserve">0.068, Anchors = 0.389</w:t>
      </w:r>
      <w:r>
        <w:t xml:space="preserve"> </w:t>
      </w:r>
      <ns1:oMath>
        <ns1:r>
          <ns1:rPr>
            <ns1:sty ns1:val="p"/>
          </ns1:rPr>
          <ns1:t>±</ns1:t>
        </ns1:r>
      </ns1:oMath>
      <w:r>
        <w:t xml:space="preserve"> </w:t>
      </w:r>
      <w:r>
        <w:t xml:space="preserve">0.100, DiCE = 0.170</w:t>
      </w:r>
      <w:r>
        <w:t xml:space="preserve"> </w:t>
      </w:r>
      <ns1:oMath>
        <ns1:r>
          <ns1:rPr>
            <ns1:sty ns1:val="p"/>
          </ns1:rPr>
          <ns1:t>±</ns1:t>
        </ns1:r>
      </ns1:oMath>
      <w:r>
        <w:t xml:space="preserve"> </w:t>
      </w:r>
      <w:r>
        <w:t xml:space="preserve">0.103.</w:t>
      </w:r>
    </w:p>
    <w:p>
      <w:pPr>
        <w:pStyle w:val="Textoindependiente"/>
        <w:spacing w:line="360" w:lineRule="auto"/>
        <w:jc w:val="both"/>
      </w:pPr>
      <w:r>
        <w:t xml:space="preserve">La escala de fidelidad es acotada en</w:t>
      </w:r>
      <w:r>
        <w:t xml:space="preserve"> </w:t>
      </w:r>
      <ns1:oMath>
        <ns1:r>
          <ns1:rPr>
            <ns1:sty ns1:val="p"/>
          </ns1:rPr>
          <ns1:t>[</ns1:t>
        </ns1:r>
        <ns1:r>
          <ns1:t>0</ns1:t>
        </ns1:r>
        <ns1:r>
          <ns1:rPr>
            <ns1:sty ns1:val="p"/>
          </ns1:rPr>
          <ns1:t>,</ns1:t>
        </ns1:r>
        <ns1:r>
          <ns1:t>1</ns1:t>
        </ns1:r>
        <ns1:r>
          <ns1:rPr>
            <ns1:sty ns1:val="p"/>
          </ns1:rPr>
          <ns1:t>]</ns1:t>
        </ns1:r>
      </ns1: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spacing w:line="360" w:lineRule="auto"/>
        <w:jc w:val="both"/>
      </w:pPr>
      <w:r>
        <w:rPr>
          <w:b/>
          <w:bCs/>
        </w:rPr>
        <w:t xml:space="preserve">Localización post-hoc (Nemenyi):</w:t>
      </w:r>
      <w:r>
        <w:t xml:space="preserve"> </w:t>
      </w:r>
      <w:r>
        <w:t xml:space="preserve">La diferencia crítica para comparaciones</w:t>
      </w:r>
      <w:r>
        <w:t xml:space="preserve"> </w:t>
      </w:r>
      <w:r>
        <w:t xml:space="preserve">pareadas con</w:t>
      </w:r>
      <w:r>
        <w:t xml:space="preserve"> </w:t>
      </w:r>
      <ns1:oMath>
        <ns1:r>
          <ns1:t>α</ns1:t>
        </ns1:r>
        <ns1:r>
          <ns1:rPr>
            <ns1:sty ns1:val="p"/>
          </ns1:rPr>
          <ns1:t>=</ns1:t>
        </ns1:r>
        <ns1:r>
          <ns1:t>0.05</ns1:t>
        </ns1:r>
      </ns1:oMath>
      <w:r>
        <w:t xml:space="preserve">,</w:t>
      </w:r>
      <w:r>
        <w:t xml:space="preserve"> </w:t>
      </w:r>
      <ns1:oMath>
        <ns1:r>
          <ns1:t>k</ns1:t>
        </ns1:r>
        <ns1:r>
          <ns1:rPr>
            <ns1:sty ns1:val="p"/>
          </ns1:rPr>
          <ns1:t>=</ns1:t>
        </ns1:r>
        <ns1:r>
          <ns1:t>4</ns1:t>
        </ns1:r>
      </ns1:oMath>
      <w:r>
        <w:t xml:space="preserve"> </w:t>
      </w:r>
      <w:r>
        <w:t xml:space="preserve">y</w:t>
      </w:r>
      <w:r>
        <w:t xml:space="preserve"> </w:t>
      </w:r>
      <ns1:oMath>
        <ns1:r>
          <ns1:t>n</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t>C</ns1:t>
          </ns1:r>
          <ns1:r>
            <ns1:t>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n</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2.569</ns1:t>
          </ns1:r>
          <ns1:r>
            <ns1:rPr>
              <ns1:sty ns1:val="p"/>
            </ns1:rPr>
            <ns1:t>×</ns1:t>
          </ns1:r>
          <ns1:r>
            <ns1:t>0.4714</ns1:t>
          </ns1:r>
          <ns1:r>
            <ns1:rPr>
              <ns1:sty ns1:val="p"/>
            </ns1:rPr>
            <ns1:t>=</ns1:t>
          </ns1:r>
          <ns1:r>
            <ns1:t>1.211</ns1:t>
          </ns1:r>
        </ns1:oMath>
      </ns1:oMathPara>
    </w:p>
    <w:p>
      <w:pPr>
        <w:pStyle w:val="FirstParagraph"/>
        <w:spacing w:line="360" w:lineRule="auto"/>
        <w:jc w:val="both"/>
      </w:pPr>
      <w:r>
        <w:t xml:space="preserve">Donde</w:t>
      </w:r>
      <w:r>
        <w:t xml:space="preserve"> </w:t>
      </w:r>
      <ns1:oMath>
        <ns1:sSub>
          <ns1:e>
            <ns1:r>
              <ns1:t>q</ns1:t>
            </ns1:r>
          </ns1:e>
          <ns1:sub>
            <ns1:r>
              <ns1:t>α</ns1:t>
            </ns1:r>
          </ns1:sub>
        </ns1:sSub>
        <ns1:r>
          <ns1:rPr>
            <ns1:sty ns1:val="p"/>
          </ns1:rPr>
          <ns1:t>=</ns1:t>
        </ns1:r>
        <ns1:r>
          <ns1:t>2.569</ns1:t>
        </ns1:r>
      </ns1:oMath>
      <w:r>
        <w:t xml:space="preserve"> </w:t>
      </w:r>
      <w:r>
        <w:t xml:space="preserve">es el valor crítico de la distribución de Nemenyi para</w:t>
      </w:r>
      <w:r>
        <w:t xml:space="preserve"> </w:t>
      </w:r>
      <ns1:oMath>
        <ns1:r>
          <ns1:t>k</ns1:t>
        </ns1:r>
        <ns1:r>
          <ns1:rPr>
            <ns1:sty ns1:val="p"/>
          </ns1:rPr>
          <ns1:t>=</ns1:t>
        </ns1:r>
        <ns1:r>
          <ns1:t>4</ns1:t>
        </ns1:r>
      </ns1:oMath>
      <w:r>
        <w:t xml:space="preserve"> </w:t>
      </w:r>
      <w:r>
        <w:t xml:space="preserve">con</w:t>
      </w:r>
      <w:r>
        <w:t xml:space="preserve"> </w:t>
      </w:r>
      <ns1:oMath>
        <ns1:r>
          <ns1:t>α</ns1:t>
        </ns1:r>
        <ns1:r>
          <ns1:rPr>
            <ns1:sty ns1:val="p"/>
          </ns1:rPr>
          <ns1:t>=</ns1:t>
        </ns1:r>
        <ns1:r>
          <ns1:t>0.05</ns1:t>
        </ns1:r>
      </ns1:oMath>
      <w:r>
        <w:t xml:space="preserve"> </w:t>
      </w:r>
      <w:r>
        <w:t xml:space="preserve">(Demšar 2006)</w:t>
      </w:r>
      <w:r>
        <w:t xml:space="preserve">. Las diferencias en rangos medios entre</w:t>
      </w:r>
      <w:r>
        <w:t xml:space="preserve"> </w:t>
      </w:r>
      <w:r>
        <w:t xml:space="preserve">todos los pares de métodos superan ampliamente esta diferencia crítica:</w:t>
      </w:r>
    </w:p>
    <w:tbl>
      <w:tblPr>
        <w:tblStyle w:val="Table"/>
        <w:tblW w:type="pct" w:w="5000"/>
        <w:tblLayout w:type="fixed"/>
        <w:tblLook w:firstRow="0" w:lastRow="0" w:firstColumn="0" w:lastColumn="0" w:noHBand="0" w:noVBand="0" w:val="0000"/>
      </w:tblPr>
      <w:tblGrid>
        <w:gridCol w:w="7920"/>
      </w:tblGrid>
      <w:tr>
        <w:tc>
          <w:tcPr/>
          <w:bookmarkStart w:id="106" w:name="tbl-nemenyi-fidelity"/>
          <w:p>
            <w:pPr>
              <w:jc w:val="both"/>
              <w:spacing w:line="360" w:lineRule="auto"/>
            </w:pPr>
            <w:pPr>
              <w:jc w:val="left"/>
              <w:spacing w:before="200"/>
              <w:pStyle w:val="ImageCaption"/>
            </w:pPr>
            <w:r>
              <w:t xml:space="preserve">Table 5.3: Comparaciones post-hoc de Nemenyi para fidelidad.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Par</w:t>
                  </w:r>
                </w:p>
              </w:tc>
              <w:tc>
                <w:tcPr/>
                <w:p>
                  <w:pPr>
                    <w:pStyle w:val="Compact"/>
                    <w:jc w:val="both"/>
                    <w:spacing w:line="360" w:lineRule="auto"/>
                  </w:pPr>
                  <ns1:oMath>
                    <ns1:r>
                      <ns1:rPr>
                        <ns1:sty ns1:val="p"/>
                      </ns1:rPr>
                      <ns1:t>|</ns1:t>
                    </ns1:r>
                    <ns1:sSub>
                      <ns1:e>
                        <ns1:r>
                          <ns1:t>R</ns1:t>
                        </ns1:r>
                      </ns1:e>
                      <ns1:sub>
                        <ns1:r>
                          <ns1:t>i</ns1:t>
                        </ns1:r>
                      </ns1:sub>
                    </ns1:sSub>
                    <ns1:r>
                      <ns1:rPr>
                        <ns1:sty ns1:val="p"/>
                      </ns1:rPr>
                      <ns1:t>−</ns1:t>
                    </ns1:r>
                    <ns1:sSub>
                      <ns1:e>
                        <ns1:r>
                          <ns1:t>R</ns1:t>
                        </ns1:r>
                      </ns1:e>
                      <ns1:sub>
                        <ns1:r>
                          <ns1:t>j</ns1:t>
                        </ns1:r>
                      </ns1:sub>
                    </ns1:sSub>
                    <ns1:r>
                      <ns1:rPr>
                        <ns1:sty ns1:val="p"/>
                      </ns1:rPr>
                      <ns1:t>|</ns1:t>
                    </ns1:r>
                  </ns1:oMath>
                </w:p>
              </w:tc>
              <w:tc>
                <w:tcPr/>
                <w:p>
                  <w:pPr>
                    <w:pStyle w:val="Compact"/>
                    <w:jc w:val="both"/>
                    <w:spacing w:line="360" w:lineRule="auto"/>
                  </w:pPr>
                  <w:r>
                    <w:t xml:space="preserve">CD</w:t>
                  </w:r>
                </w:p>
              </w:tc>
              <w:tc>
                <w:tcPr/>
                <w:p>
                  <w:pPr>
                    <w:pStyle w:val="Compact"/>
                    <w:jc w:val="both"/>
                    <w:spacing w:line="360" w:lineRule="auto"/>
                  </w:pPr>
                  <w:r>
                    <w:t xml:space="preserve">Significativo</w:t>
                  </w:r>
                </w:p>
              </w:tc>
            </w:tr>
            <w:tr>
              <w:tc>
                <w:tcPr/>
                <w:p>
                  <w:pPr>
                    <w:pStyle w:val="Compact"/>
                    <w:jc w:val="both"/>
                    <w:spacing w:line="360" w:lineRule="auto"/>
                  </w:pPr>
                  <w:r>
                    <w:t xml:space="preserve">SHAP vs. LIME</w:t>
                  </w:r>
                </w:p>
              </w:tc>
              <w:tc>
                <w:tcPr/>
                <w:p>
                  <w:pPr>
                    <w:pStyle w:val="Compact"/>
                    <w:jc w:val="both"/>
                    <w:spacing w:line="360" w:lineRule="auto"/>
                  </w:pPr>
                  <w:r>
                    <w:t xml:space="preserve">1.000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SHAP vs. Anchors</w:t>
                  </w:r>
                </w:p>
              </w:tc>
              <w:tc>
                <w:tcPr/>
                <w:p>
                  <w:pPr>
                    <w:pStyle w:val="Compact"/>
                    <w:jc w:val="both"/>
                    <w:spacing w:line="360" w:lineRule="auto"/>
                  </w:pPr>
                  <w:r>
                    <w:t xml:space="preserve">2.200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SHAP vs. DiCE</w:t>
                  </w:r>
                </w:p>
              </w:tc>
              <w:tc>
                <w:tcPr/>
                <w:p>
                  <w:pPr>
                    <w:pStyle w:val="Compact"/>
                    <w:jc w:val="both"/>
                    <w:spacing w:line="360" w:lineRule="auto"/>
                  </w:pPr>
                  <w:r>
                    <w:t xml:space="preserve">2.800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LIME vs. Anchors</w:t>
                  </w:r>
                </w:p>
              </w:tc>
              <w:tc>
                <w:tcPr/>
                <w:p>
                  <w:pPr>
                    <w:pStyle w:val="Compact"/>
                    <w:jc w:val="both"/>
                    <w:spacing w:line="360" w:lineRule="auto"/>
                  </w:pPr>
                  <w:r>
                    <w:t xml:space="preserve">1.200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LIME vs. DiCE</w:t>
                  </w:r>
                </w:p>
              </w:tc>
              <w:tc>
                <w:tcPr/>
                <w:p>
                  <w:pPr>
                    <w:pStyle w:val="Compact"/>
                    <w:jc w:val="both"/>
                    <w:spacing w:line="360" w:lineRule="auto"/>
                  </w:pPr>
                  <w:r>
                    <w:t xml:space="preserve">1.800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Anchors vs. DiCE</w:t>
                  </w:r>
                </w:p>
              </w:tc>
              <w:tc>
                <w:tcPr/>
                <w:p>
                  <w:pPr>
                    <w:pStyle w:val="Compact"/>
                    <w:jc w:val="both"/>
                    <w:spacing w:line="360" w:lineRule="auto"/>
                  </w:pPr>
                  <w:r>
                    <w:t xml:space="preserve">0.600</w:t>
                  </w:r>
                </w:p>
              </w:tc>
              <w:tc>
                <w:tcPr/>
                <w:p>
                  <w:pPr>
                    <w:pStyle w:val="Compact"/>
                    <w:jc w:val="both"/>
                    <w:spacing w:line="360" w:lineRule="auto"/>
                  </w:pPr>
                  <w:r>
                    <w:t xml:space="preserve">1.211</w:t>
                  </w:r>
                </w:p>
              </w:tc>
              <w:tc>
                <w:tcPr/>
                <w:p>
                  <w:pPr>
                    <w:pStyle w:val="Compact"/>
                    <w:jc w:val="both"/>
                    <w:spacing w:line="360" w:lineRule="auto"/>
                  </w:pPr>
                  <w:r>
                    <w:t xml:space="preserve">No</w:t>
                  </w:r>
                </w:p>
              </w:tc>
            </w:tr>
          </w:tbl>
          <w:bookmarkEnd w:id="106"/>
          <w:p>
            <w:pPr>
              <w:spacing w:line="360" w:lineRule="auto"/>
              <w:jc w:val="both"/>
            </w:pPr>
          </w:p>
        </w:tc>
      </w:tr>
    </w:tbl>
    <w:p>
      <w:pPr>
        <w:pStyle w:val="Textoindependiente"/>
        <w:spacing w:line="360" w:lineRule="auto"/>
        <w:jc w:val="both"/>
      </w:pPr>
      <w:r>
        <w:t xml:space="preserve">La localización Nemenyi es conservadora cuando</w:t>
      </w:r>
      <w:r>
        <w:t xml:space="preserve"> </w:t>
      </w:r>
      <ns1:oMath>
        <ns1:r>
          <ns1:t>n</ns1:t>
        </ns1:r>
      </ns1: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 pareado</w:t>
      </w:r>
      <w:r>
        <w:t xml:space="preserve"> </w:t>
      </w:r>
      <w:r>
        <w:t xml:space="preserve">SHAP–LIME del Estudio B.</w:t>
      </w:r>
    </w:p>
    <w:bookmarkEnd w:id="107"/>
    <w:bookmarkStart w:id="109" w:name="X117d71016dd8839ee57c9e60cc09d0400ac5f3d"/>
    <w:p>
      <w:pPr>
        <w:pStyle w:val="Ttulo3"/>
        <w:spacing w:line="360" w:lineRule="auto"/>
        <w:jc w:val="both"/>
      </w:pPr>
      <w:r>
        <w:t xml:space="preserve">H2: Diferencias entre métodos en estabilidad</w:t>
      </w:r>
    </w:p>
    <w:p>
      <w:pPr>
        <w:pStyle w:val="FirstParagraph"/>
        <w:spacing w:line="360" w:lineRule="auto"/>
        <w:jc w:val="both"/>
      </w:pPr>
      <w:r>
        <w:t xml:space="preserve">La prueba de Friedman para estabilidad arrojó</w:t>
      </w:r>
      <w:r>
        <w:t xml:space="preserve"> </w:t>
      </w:r>
      <ns1:oMath>
        <ns1:sSubSup>
          <ns1:e>
            <ns1:r>
              <ns1:t>χ</ns1:t>
            </ns1:r>
          </ns1:e>
          <ns1:sub>
            <ns1:r>
              <ns1:t>F</ns1:t>
            </ns1:r>
          </ns1:sub>
          <ns1:sup>
            <ns1:r>
              <ns1:t>2</ns1:t>
            </ns1:r>
          </ns1:sup>
        </ns1:sSubSup>
        <ns1:r>
          <ns1:rPr>
            <ns1:sty ns1:val="p"/>
          </ns1:rPr>
          <ns1:t>=</ns1:t>
        </ns1:r>
        <ns1:r>
          <ns1:t>40.68</ns1:t>
        </ns1:r>
      </ns1:oMath>
      <w:r>
        <w:t xml:space="preserve"> </w:t>
      </w:r>
      <w:r>
        <w:t xml:space="preserve">con</w:t>
      </w:r>
      <w:r>
        <w:t xml:space="preserve"> </w:t>
      </w:r>
      <ns1:oMath>
        <ns1:r>
          <ns1:t>n</ns1:t>
        </ns1:r>
        <ns1:r>
          <ns1:rPr>
            <ns1:sty ns1:val="p"/>
          </ns1:rPr>
          <ns1:t>=</ns1:t>
        </ns1:r>
        <ns1:r>
          <ns1:t>15</ns1:t>
        </ns1:r>
      </ns1:oMath>
      <w:r>
        <w:t xml:space="preserve"> </w:t>
      </w:r>
      <w:r>
        <w:t xml:space="preserve">bloques completos, lo que implica un margen de seguridad de:</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40.68</ns1:t>
              </ns1:r>
              <ns1:r>
                <ns1:rPr>
                  <ns1:sty ns1:val="p"/>
                </ns1:rPr>
                <ns1:t>−</ns1:t>
              </ns1:r>
              <ns1:r>
                <ns1:t>7.815</ns1:t>
              </ns1:r>
            </ns1:num>
            <ns1:den>
              <ns1:r>
                <ns1:t>7.815</ns1:t>
              </ns1:r>
            </ns1:den>
          </ns1:f>
          <ns1:r>
            <ns1:rPr>
              <ns1:sty ns1:val="p"/>
            </ns1:rPr>
            <ns1:t>×</ns1:t>
          </ns1:r>
          <ns1:r>
            <ns1:t>100</ns1:t>
          </ns1:r>
          <ns1:r>
            <ns1:rPr>
              <ns1:sty ns1:val="p"/>
            </ns1:rPr>
            <ns1:t>=</ns1:t>
          </ns1:r>
          <ns1:r>
            <ns1:t>421</ns1:t>
          </ns1:r>
          <ns1:r>
            <ns1:rPr>
              <ns1:sty ns1:val="p"/>
            </ns1:rPr>
            <ns1:t>%</ns1:t>
          </ns1:r>
        </ns1:oMath>
      </ns1:oMathPara>
    </w:p>
    <w:p>
      <w:pPr>
        <w:pStyle w:val="FirstParagraph"/>
        <w:spacing w:line="360" w:lineRule="auto"/>
        <w:jc w:val="both"/>
      </w:pPr>
      <ns1:oMath>
        <ns1:sSub>
          <ns1:e>
            <ns1:r>
              <ns1:t>H</ns1:t>
            </ns1:r>
          </ns1:e>
          <ns1:sub>
            <ns1:r>
              <ns1:t>0</ns1:t>
            </ns1:r>
            <ns1:r>
              <ns1:rPr>
                <ns1:sty ns1:val="p"/>
              </ns1:rPr>
              <ns1:t>,</ns1:t>
            </ns1:r>
            <ns1:r>
              <ns1:t>2</ns1:t>
            </ns1:r>
          </ns1:sub>
        </ns1:sSub>
      </ns1:oMath>
      <w:r>
        <w:t xml:space="preserve"> </w:t>
      </w:r>
      <w:r>
        <w:t xml:space="preserve">se rechaza con la misma holgura que</w:t>
      </w:r>
      <w:r>
        <w:t xml:space="preserve"> </w:t>
      </w:r>
      <ns1:oMath>
        <ns1:sSub>
          <ns1:e>
            <ns1:r>
              <ns1:t>H</ns1:t>
            </ns1:r>
          </ns1:e>
          <ns1:sub>
            <ns1:r>
              <ns1:t>0</ns1:t>
            </ns1:r>
            <ns1:r>
              <ns1:rPr>
                <ns1:sty ns1:val="p"/>
              </ns1:rPr>
              <ns1:t>,</ns1:t>
            </ns1:r>
            <ns1:r>
              <ns1:t>1</ns1:t>
            </ns1:r>
          </ns1:sub>
        </ns1:sSub>
      </ns1: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tblLayout w:type="fixed"/>
        <w:tblLook w:firstRow="0" w:lastRow="0" w:firstColumn="0" w:lastColumn="0" w:noHBand="0" w:noVBand="0" w:val="0000"/>
      </w:tblPr>
      <w:tblGrid>
        <w:gridCol w:w="7920"/>
      </w:tblGrid>
      <w:tr>
        <w:tc>
          <w:tcPr/>
          <w:bookmarkStart w:id="108" w:name="tbl-friedman-stability"/>
          <w:p>
            <w:pPr>
              <w:jc w:val="both"/>
              <w:spacing w:line="360" w:lineRule="auto"/>
            </w:pPr>
            <w:pPr>
              <w:jc w:val="left"/>
              <w:spacing w:before="200"/>
              <w:pStyle w:val="ImageCaption"/>
            </w:pPr>
            <w:r>
              <w:t xml:space="preserve">Table 5.4: Suma y media de rangos de estabilidad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Media bruta</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0.732</w:t>
                  </w:r>
                </w:p>
              </w:tc>
            </w:tr>
            <w:tr>
              <w:tc>
                <w:tcPr/>
                <w:p>
                  <w:pPr>
                    <w:pStyle w:val="Compact"/>
                    <w:jc w:val="both"/>
                    <w:spacing w:line="360" w:lineRule="auto"/>
                  </w:pPr>
                  <w:r>
                    <w:t xml:space="preserve">DiCE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0.361</w:t>
                  </w:r>
                </w:p>
              </w:tc>
            </w:tr>
            <w:tr>
              <w:tc>
                <w:tcPr/>
                <w:p>
                  <w:pPr>
                    <w:pStyle w:val="Compact"/>
                    <w:jc w:val="both"/>
                    <w:spacing w:line="360" w:lineRule="auto"/>
                  </w:pPr>
                  <w:r>
                    <w:t xml:space="preserve">LIME</w:t>
                  </w:r>
                </w:p>
              </w:tc>
              <w:tc>
                <w:tcPr/>
                <w:p>
                  <w:pPr>
                    <w:pStyle w:val="Compact"/>
                    <w:jc w:val="both"/>
                    <w:spacing w:line="360" w:lineRule="auto"/>
                  </w:pPr>
                  <w:r>
                    <w:t xml:space="preserve">51</w:t>
                  </w:r>
                </w:p>
              </w:tc>
              <w:tc>
                <w:tcPr/>
                <w:p>
                  <w:pPr>
                    <w:pStyle w:val="Compact"/>
                    <w:jc w:val="both"/>
                    <w:spacing w:line="360" w:lineRule="auto"/>
                  </w:pPr>
                  <w:r>
                    <w:t xml:space="preserve">3.400</w:t>
                  </w:r>
                </w:p>
              </w:tc>
              <w:tc>
                <w:tcPr/>
                <w:p>
                  <w:pPr>
                    <w:pStyle w:val="Compact"/>
                    <w:jc w:val="both"/>
                    <w:spacing w:line="360" w:lineRule="auto"/>
                  </w:pPr>
                  <w:r>
                    <w:t xml:space="preserve">0.014</w:t>
                  </w:r>
                </w:p>
              </w:tc>
            </w:tr>
            <w:tr>
              <w:tc>
                <w:tcPr/>
                <w:p>
                  <w:pPr>
                    <w:pStyle w:val="Compact"/>
                    <w:jc w:val="both"/>
                    <w:spacing w:line="360" w:lineRule="auto"/>
                  </w:pPr>
                  <w:r>
                    <w:t xml:space="preserve">Anchors</w:t>
                  </w:r>
                </w:p>
              </w:tc>
              <w:tc>
                <w:tcPr/>
                <w:p>
                  <w:pPr>
                    <w:pStyle w:val="Compact"/>
                    <w:jc w:val="both"/>
                    <w:spacing w:line="360" w:lineRule="auto"/>
                  </w:pPr>
                  <w:r>
                    <w:t xml:space="preserve">54</w:t>
                  </w:r>
                </w:p>
              </w:tc>
              <w:tc>
                <w:tcPr/>
                <w:p>
                  <w:pPr>
                    <w:pStyle w:val="Compact"/>
                    <w:jc w:val="both"/>
                    <w:spacing w:line="360" w:lineRule="auto"/>
                  </w:pPr>
                  <w:r>
                    <w:t xml:space="preserve">3.600</w:t>
                  </w:r>
                </w:p>
              </w:tc>
              <w:tc>
                <w:tcPr/>
                <w:p>
                  <w:pPr>
                    <w:pStyle w:val="Compact"/>
                    <w:jc w:val="both"/>
                    <w:spacing w:line="360" w:lineRule="auto"/>
                  </w:pPr>
                  <w:r>
                    <w:t xml:space="preserve">0.043</w:t>
                  </w:r>
                </w:p>
              </w:tc>
            </w:tr>
          </w:tbl>
          <w:bookmarkEnd w:id="108"/>
          <w:p>
            <w:pPr>
              <w:spacing w:line="360" w:lineRule="auto"/>
              <w:jc w:val="both"/>
            </w:pPr>
          </w:p>
        </w:tc>
      </w:tr>
    </w:tbl>
    <w:p>
      <w:pPr>
        <w:pStyle w:val="Textoindependiente"/>
        <w:spacing w:line="360" w:lineRule="auto"/>
        <w:jc w:val="both"/>
      </w:pPr>
      <w:r>
        <w:t xml:space="preserve">SHAP mantiene la primera posición en estabilidad (rango medio = 1.000), lo</w:t>
      </w:r>
      <w:r>
        <w:t xml:space="preserve"> </w:t>
      </w:r>
      <w:r>
        <w:t xml:space="preserve">que implica que ocupa el primer rango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ns1:oMath>
        <ns1:r>
          <ns1:rPr>
            <ns1:sty ns1:val="p"/>
          </ns1:rPr>
          <ns1:t>[</ns1:t>
        </ns1:r>
        <ns1:r>
          <ns1:t>0</ns1:t>
        </ns1:r>
        <ns1:r>
          <ns1:rPr>
            <ns1:sty ns1:val="p"/>
          </ns1:rPr>
          <ns1:t>,</ns1:t>
        </ns1:r>
        <ns1:r>
          <ns1:t>1</ns1:t>
        </ns1:r>
        <ns1:r>
          <ns1:rPr>
            <ns1:sty ns1:val="p"/>
          </ns1:rPr>
          <ns1:t>]</ns1:t>
        </ns1:r>
      </ns1: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spacing w:line="360" w:lineRule="auto"/>
        <w:jc w:val="both"/>
      </w:pPr>
      <w:r>
        <w:t xml:space="preserve">La diferencia crítica Nemenyi para estabilidad es idéntica a la calculada para</w:t>
      </w:r>
      <w:r>
        <w:t xml:space="preserve"> </w:t>
      </w:r>
      <w:r>
        <w:t xml:space="preserve">fidelidad (</w:t>
      </w:r>
      <ns1:oMath>
        <ns1:r>
          <ns1:t>C</ns1:t>
        </ns1:r>
        <ns1:r>
          <ns1:t>D</ns1:t>
        </ns1:r>
        <ns1:r>
          <ns1:rPr>
            <ns1:sty ns1:val="p"/>
          </ns1:rPr>
          <ns1:t>=</ns1:t>
        </ns1:r>
        <ns1:r>
          <ns1:t>1.211</ns1:t>
        </ns1:r>
      </ns1:oMath>
      <w:r>
        <w:t xml:space="preserve">) dado el mismo</w:t>
      </w:r>
      <w:r>
        <w:t xml:space="preserve"> </w:t>
      </w:r>
      <ns1:oMath>
        <ns1:r>
          <ns1:t>n</ns1:t>
        </ns1:r>
      </ns1:oMath>
      <w:r>
        <w:t xml:space="preserve"> </w:t>
      </w:r>
      <w:r>
        <w:t xml:space="preserve">y</w:t>
      </w:r>
      <w:r>
        <w:t xml:space="preserve"> </w:t>
      </w:r>
      <ns1:oMath>
        <ns1:r>
          <ns1:t>k</ns1:t>
        </ns1:r>
      </ns1:oMath>
      <w:r>
        <w:t xml:space="preserve">. Las diferencias en rangos</w:t>
      </w:r>
      <w:r>
        <w:t xml:space="preserve"> </w:t>
      </w:r>
      <w:r>
        <w:t xml:space="preserve">medios confirmadas como significativas son:</w:t>
      </w:r>
    </w:p>
    <w:p>
      <w:pPr>
        <w:pStyle w:val="Compact"/>
        <w:numPr>
          <w:ilvl w:val="0"/>
          <w:numId w:val="1013"/>
        </w:numPr>
        <w:spacing w:line="360" w:lineRule="auto"/>
        <w:jc w:val="both"/>
      </w:pPr>
      <w:r>
        <w:t xml:space="preserve">SHAP vs. LIME:</w:t>
      </w:r>
      <w:r>
        <w:t xml:space="preserve"> </w:t>
      </w:r>
      <ns1:oMath>
        <ns1:r>
          <ns1:rPr>
            <ns1:sty ns1:val="p"/>
          </ns1:rPr>
          <ns1:t>|</ns1:t>
        </ns1:r>
        <ns1:r>
          <ns1:t>1.000</ns1:t>
        </ns1:r>
        <ns1:r>
          <ns1:rPr>
            <ns1:sty ns1:val="p"/>
          </ns1:rPr>
          <ns1:t>−</ns1:t>
        </ns1:r>
        <ns1:r>
          <ns1:t>3.400</ns1:t>
        </ns1:r>
        <ns1:r>
          <ns1:rPr>
            <ns1:sty ns1:val="p"/>
          </ns1:rPr>
          <ns1:t>|</ns1:t>
        </ns1:r>
        <ns1:r>
          <ns1:rPr>
            <ns1:sty ns1:val="p"/>
          </ns1:rPr>
          <ns1:t>=</ns1:t>
        </ns1:r>
        <ns1:r>
          <ns1:t>2.400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SHAP vs. Anchors:</w:t>
      </w:r>
      <w:r>
        <w:t xml:space="preserve"> </w:t>
      </w:r>
      <ns1:oMath>
        <ns1:r>
          <ns1:rPr>
            <ns1:sty ns1:val="p"/>
          </ns1:rPr>
          <ns1:t>|</ns1:t>
        </ns1:r>
        <ns1:r>
          <ns1:t>1.000</ns1:t>
        </ns1:r>
        <ns1:r>
          <ns1:rPr>
            <ns1:sty ns1:val="p"/>
          </ns1:rPr>
          <ns1:t>−</ns1:t>
        </ns1:r>
        <ns1:r>
          <ns1:t>3.600</ns1:t>
        </ns1:r>
        <ns1:r>
          <ns1:rPr>
            <ns1:sty ns1:val="p"/>
          </ns1:rPr>
          <ns1:t>|</ns1:t>
        </ns1:r>
        <ns1:r>
          <ns1:rPr>
            <ns1:sty ns1:val="p"/>
          </ns1:rPr>
          <ns1:t>=</ns1:t>
        </ns1:r>
        <ns1:r>
          <ns1:t>2.600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LIME:</w:t>
      </w:r>
      <w:r>
        <w:t xml:space="preserve"> </w:t>
      </w:r>
      <ns1:oMath>
        <ns1:r>
          <ns1:rPr>
            <ns1:sty ns1:val="p"/>
          </ns1:rPr>
          <ns1:t>|</ns1:t>
        </ns1:r>
        <ns1:r>
          <ns1:t>2.000</ns1:t>
        </ns1:r>
        <ns1:r>
          <ns1:rPr>
            <ns1:sty ns1:val="p"/>
          </ns1:rPr>
          <ns1:t>−</ns1:t>
        </ns1:r>
        <ns1:r>
          <ns1:t>3.400</ns1:t>
        </ns1:r>
        <ns1:r>
          <ns1:rPr>
            <ns1:sty ns1:val="p"/>
          </ns1:rPr>
          <ns1:t>|</ns1:t>
        </ns1:r>
        <ns1:r>
          <ns1:rPr>
            <ns1:sty ns1:val="p"/>
          </ns1:rPr>
          <ns1:t>=</ns1:t>
        </ns1:r>
        <ns1:r>
          <ns1:t>1.400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Anchors:</w:t>
      </w:r>
      <w:r>
        <w:t xml:space="preserve"> </w:t>
      </w:r>
      <ns1:oMath>
        <ns1:r>
          <ns1:rPr>
            <ns1:sty ns1:val="p"/>
          </ns1:rPr>
          <ns1:t>|</ns1:t>
        </ns1:r>
        <ns1:r>
          <ns1:t>2.000</ns1:t>
        </ns1:r>
        <ns1:r>
          <ns1:rPr>
            <ns1:sty ns1:val="p"/>
          </ns1:rPr>
          <ns1:t>−</ns1:t>
        </ns1:r>
        <ns1:r>
          <ns1:t>3.600</ns1:t>
        </ns1:r>
        <ns1:r>
          <ns1:rPr>
            <ns1:sty ns1:val="p"/>
          </ns1:rPr>
          <ns1:t>|</ns1:t>
        </ns1:r>
        <ns1:r>
          <ns1:rPr>
            <ns1:sty ns1:val="p"/>
          </ns1:rPr>
          <ns1:t>=</ns1:t>
        </ns1:r>
        <ns1:r>
          <ns1:t>1.600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LIME vs. Anchors:</w:t>
      </w:r>
      <w:r>
        <w:t xml:space="preserve"> </w:t>
      </w:r>
      <ns1:oMath>
        <ns1:r>
          <ns1:rPr>
            <ns1:sty ns1:val="p"/>
          </ns1:rPr>
          <ns1:t>|</ns1:t>
        </ns1:r>
        <ns1:r>
          <ns1:t>3.400</ns1:t>
        </ns1:r>
        <ns1:r>
          <ns1:rPr>
            <ns1:sty ns1:val="p"/>
          </ns1:rPr>
          <ns1:t>−</ns1:t>
        </ns1:r>
        <ns1:r>
          <ns1:t>3.600</ns1:t>
        </ns1:r>
        <ns1:r>
          <ns1:rPr>
            <ns1:sty ns1:val="p"/>
          </ns1:rPr>
          <ns1:t>|</ns1:t>
        </ns1:r>
        <ns1:r>
          <ns1:rPr>
            <ns1:sty ns1:val="p"/>
          </ns1:rPr>
          <ns1:t>=</ns1:t>
        </ns1:r>
        <ns1:r>
          <ns1:t>0.200</ns1:t>
        </ns1:r>
        <ns1:r>
          <ns1:rPr>
            <ns1:sty ns1:val="p"/>
          </ns1:rPr>
          <ns1:t>&lt;</ns1:t>
        </ns1:r>
        <ns1:r>
          <ns1:t>1.211</ns1:t>
        </ns1:r>
      </ns1:oMath>
      <w:r>
        <w:t xml:space="preserve"> </w:t>
      </w:r>
      <w:r>
        <w:t xml:space="preserve">(No)</w:t>
      </w:r>
    </w:p>
    <w:p>
      <w:pPr>
        <w:pStyle w:val="Compact"/>
        <w:numPr>
          <w:ilvl w:val="0"/>
          <w:numId w:val="1013"/>
        </w:numPr>
        <w:spacing w:line="360" w:lineRule="auto"/>
        <w:jc w:val="both"/>
      </w:pPr>
      <w:r>
        <w:t xml:space="preserve">SHAP vs. DiCE:</w:t>
      </w:r>
      <w:r>
        <w:t xml:space="preserve"> </w:t>
      </w:r>
      <ns1:oMath>
        <ns1:r>
          <ns1:rPr>
            <ns1:sty ns1:val="p"/>
          </ns1:rPr>
          <ns1:t>|</ns1:t>
        </ns1:r>
        <ns1:r>
          <ns1:t>1.000</ns1:t>
        </ns1:r>
        <ns1:r>
          <ns1:rPr>
            <ns1:sty ns1:val="p"/>
          </ns1:rPr>
          <ns1:t>−</ns1:t>
        </ns1:r>
        <ns1:r>
          <ns1:t>2.000</ns1:t>
        </ns1:r>
        <ns1:r>
          <ns1:rPr>
            <ns1:sty ns1:val="p"/>
          </ns1:rPr>
          <ns1:t>|</ns1:t>
        </ns1:r>
        <ns1:r>
          <ns1:rPr>
            <ns1:sty ns1:val="p"/>
          </ns1:rPr>
          <ns1:t>=</ns1:t>
        </ns1:r>
        <ns1:r>
          <ns1:t>1.000</ns1:t>
        </ns1:r>
        <ns1:r>
          <ns1:rPr>
            <ns1:sty ns1:val="p"/>
          </ns1:rPr>
          <ns1:t>&lt;</ns1:t>
        </ns1:r>
        <ns1:r>
          <ns1:t>1.211</ns1:t>
        </ns1:r>
      </ns1:oMath>
      <w:r>
        <w:t xml:space="preserve"> </w:t>
      </w:r>
      <w:r>
        <w:t xml:space="preserve">(No)</w:t>
      </w:r>
    </w:p>
    <w:p>
      <w:pPr>
        <w:pStyle w:val="FirstParagraph"/>
        <w:spacing w:line="360" w:lineRule="auto"/>
        <w:jc w:val="bot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debe acotarse al criterio evaluado: en despliegues que</w:t>
      </w:r>
      <w:r>
        <w:t xml:space="preserve"> </w:t>
      </w:r>
      <w:r>
        <w:t xml:space="preserve">requieren consistencia explicativa ante pequeñas variaciones de entrada, SHAP</w:t>
      </w:r>
      <w:r>
        <w:t xml:space="preserve"> </w:t>
      </w:r>
      <w:r>
        <w:t xml:space="preserve">ofrece el perfil más sólido en este benchmark y DiCE ofrece estabilidad</w:t>
      </w:r>
      <w:r>
        <w:t xml:space="preserve"> </w:t>
      </w:r>
      <w:r>
        <w:t xml:space="preserve">intermedia; LIME y Anchors requieren cautela si la estabilidad local es un</w:t>
      </w:r>
      <w:r>
        <w:t xml:space="preserve"> </w:t>
      </w:r>
      <w:r>
        <w:t xml:space="preserve">criterio de selección.</w:t>
      </w:r>
    </w:p>
    <w:bookmarkEnd w:id="109"/>
    <w:bookmarkEnd w:id="110"/>
    <w:bookmarkStart w:id="114" w:name="sec-estudio-b"/>
    <w:p>
      <w:pPr>
        <w:pStyle w:val="Ttulo2"/>
        <w:spacing w:line="360" w:lineRule="auto"/>
        <w:jc w:val="both"/>
      </w:pPr>
      <w:r>
        <w:t xml:space="preserve">Estudio B: Análisis pareado SHAP-LIME y relación calidad-coste (H3)</w:t>
      </w:r>
    </w:p>
    <w:p>
      <w:pPr>
        <w:pStyle w:val="FirstParagraph"/>
        <w:spacing w:line="360" w:lineRule="auto"/>
        <w:jc w:val="both"/>
      </w:pPr>
      <w:r>
        <w:t xml:space="preserve">El análisis pareado opera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12" w:name="diferencias-en-métricas-de-calidad"/>
    <w:p>
      <w:pPr>
        <w:pStyle w:val="Ttulo3"/>
        <w:spacing w:line="360" w:lineRule="auto"/>
        <w:jc w:val="both"/>
      </w:pPr>
      <w:r>
        <w:t xml:space="preserve">Diferencias en métricas de calidad</w:t>
      </w:r>
    </w:p>
    <w:p>
      <w:pPr>
        <w:pStyle w:val="FirstParagraph"/>
        <w:spacing w:line="360" w:lineRule="auto"/>
        <w:jc w:val="both"/>
      </w:pPr>
      <w:r>
        <w:t xml:space="preserve">Para cada métrica se calcula la diferencia pareada</w:t>
      </w:r>
      <w:r>
        <w:t xml:space="preserve"> </w:t>
      </w:r>
      <ns1:oMath>
        <ns1:sSub>
          <ns1:e>
            <ns1:r>
              <ns1:t>d</ns1:t>
            </ns1:r>
          </ns1:e>
          <ns1:sub>
            <ns1:r>
              <ns1:t>i</ns1:t>
            </ns1:r>
          </ns1:sub>
        </ns1:sSub>
        <ns1:r>
          <ns1:rPr>
            <ns1:sty ns1:val="p"/>
          </ns1:rPr>
          <ns1:t>=</ns1:t>
        </ns1:r>
        <ns1:sSubSup>
          <ns1:e>
            <ns1:r>
              <ns1:t>x</ns1:t>
            </ns1:r>
          </ns1:e>
          <ns1:sub>
            <ns1:r>
              <ns1:t>i</ns1:t>
            </ns1:r>
          </ns1:sub>
          <ns1:sup>
            <ns1:r>
              <ns1:t>S</ns1:t>
            </ns1:r>
            <ns1:r>
              <ns1:t>H</ns1:t>
            </ns1:r>
            <ns1:r>
              <ns1:t>A</ns1:t>
            </ns1:r>
            <ns1:r>
              <ns1:t>P</ns1:t>
            </ns1:r>
          </ns1:sup>
        </ns1:sSubSup>
        <ns1:r>
          <ns1:rPr>
            <ns1:sty ns1:val="p"/>
          </ns1:rPr>
          <ns1:t>−</ns1:t>
        </ns1:r>
        <ns1:sSubSup>
          <ns1:e>
            <ns1:r>
              <ns1:t>x</ns1:t>
            </ns1:r>
          </ns1:e>
          <ns1:sub>
            <ns1:r>
              <ns1:t>i</ns1:t>
            </ns1:r>
          </ns1:sub>
          <ns1:sup>
            <ns1:r>
              <ns1:t>L</ns1:t>
            </ns1:r>
            <ns1:r>
              <ns1:t>I</ns1:t>
            </ns1:r>
            <ns1:r>
              <ns1:t>M</ns1:t>
            </ns1:r>
            <ns1:r>
              <ns1:t>E</ns1:t>
            </ns1:r>
          </ns1:sup>
        </ns1:sSubSup>
      </ns1:oMath>
      <w:r>
        <w:t xml:space="preserve">,</w:t>
      </w:r>
      <w:r>
        <w:t xml:space="preserve"> </w:t>
      </w:r>
      <w:r>
        <w:t xml:space="preserve">donde un valor positivo indica ventaja de SHAP. El estadístico de efecto de</w:t>
      </w:r>
      <w:r>
        <w:t xml:space="preserve"> </w:t>
      </w:r>
      <w:r>
        <w:t xml:space="preserve">Cohen es</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 donde</w:t>
      </w:r>
      <w:r>
        <w:t xml:space="preserve"> </w:t>
      </w:r>
      <ns1:oMath>
        <ns1:sSub>
          <ns1:e>
            <ns1:r>
              <ns1:t>s</ns1:t>
            </ns1:r>
          </ns1:e>
          <ns1:sub>
            <ns1:r>
              <ns1:t>d</ns1:t>
            </ns1:r>
          </ns1:sub>
        </ns1:sSub>
      </ns1:oMath>
      <w:r>
        <w:t xml:space="preserve"> </w:t>
      </w:r>
      <w:r>
        <w:t xml:space="preserve">es la desviación estándar de las</w:t>
      </w:r>
      <w:r>
        <w:t xml:space="preserve"> </w:t>
      </w:r>
      <w:r>
        <w:t xml:space="preserve">diferencias.</w:t>
      </w:r>
    </w:p>
    <w:tbl>
      <w:tblPr>
        <w:tblStyle w:val="Table"/>
        <w:tblW w:type="pct" w:w="5000"/>
        <w:tblLayout w:type="fixed"/>
        <w:tblLook w:firstRow="0" w:lastRow="0" w:firstColumn="0" w:lastColumn="0" w:noHBand="0" w:noVBand="0" w:val="0000"/>
      </w:tblPr>
      <w:tblGrid>
        <w:gridCol w:w="7920"/>
      </w:tblGrid>
      <w:tr>
        <w:tc>
          <w:tcPr/>
          <w:bookmarkStart w:id="111" w:name="tbl-paired-shap-lime"/>
          <w:p>
            <w:pPr>
              <w:jc w:val="both"/>
              <w:spacing w:line="360" w:lineRule="auto"/>
            </w:pPr>
            <w:pPr>
              <w:jc w:val="left"/>
              <w:spacing w:before="200"/>
              <w:pStyle w:val="ImageCaption"/>
            </w:pPr>
            <w:r>
              <w:t xml:space="preserve">Table 5.5: Diferencias pareadas SHAP − LIME (</w:t>
            </w:r>
            <ns1:oMath>
              <ns1:r>
                <ns1:t>n</ns1:t>
              </ns1:r>
              <ns1:r>
                <ns1:rPr>
                  <ns1:sty ns1:val="p"/>
                </ns1:rPr>
                <ns1:t>=</ns1:t>
              </ns1:r>
              <ns1:r>
                <ns1:t>75</ns1:t>
              </ns1:r>
            </ns1:oMath>
            <w:r>
              <w:t xml:space="preserve"> </w:t>
            </w:r>
            <w:r>
              <w:t xml:space="preserve">celdas). Se reporta</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para fidelidad/estabilidad/brecha,</w:t>
            </w:r>
            <w:r>
              <w:t xml:space="preserve"> </w:t>
            </w:r>
            <ns1:oMath>
              <ns1:r>
                <ns1:t>d</ns1:t>
              </ns1:r>
              <ns1:r>
                <ns1:rPr>
                  <ns1:sty ns1:val="p"/>
                </ns1:rPr>
                <ns1:t>&gt;</ns1:t>
              </ns1:r>
              <ns1:r>
                <ns1:t>0</ns1:t>
              </ns1:r>
            </ns1:oMath>
            <w:r>
              <w:t xml:space="preserve"> </w:t>
            </w:r>
            <w:r>
              <w:t xml:space="preserve">favorece SHAP; para parsimonia y coste,</w:t>
            </w:r>
            <w:r>
              <w:t xml:space="preserve"> </w:t>
            </w:r>
            <ns1:oMath>
              <ns1:r>
                <ns1:t>d</ns1:t>
              </ns1:r>
              <ns1:r>
                <ns1:rPr>
                  <ns1:sty ns1:val="p"/>
                </ns1:rPr>
                <ns1:t>&gt;</ns1:t>
              </ns1:r>
              <ns1:r>
                <ns1:t>0</ns1:t>
              </ns1:r>
            </ns1:oMath>
            <w:r>
              <w:t xml:space="preserve"> </w:t>
            </w:r>
            <w:r>
              <w:t xml:space="preserve">indica explicaciones más densas y/o mayor coste de SHAP.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spacing w:line="360" w:lineRule="auto"/>
                  </w:pPr>
                  <w:r>
                    <w:t xml:space="preserve">Métrica</w:t>
                  </w:r>
                </w:p>
              </w:tc>
              <w:tc>
                <w:tcPr/>
                <w:p>
                  <w:pPr>
                    <w:pStyle w:val="Compact"/>
                    <w:jc w:val="both"/>
                    <w:spacing w:line="360" w:lineRule="auto"/>
                  </w:pPr>
                  <ns1:oMath>
                    <ns1:acc>
                      <ns1:accPr>
                        <ns1:chr ns1:val="‾"/>
                      </ns1:accPr>
                      <ns1:e>
                        <ns1:r>
                          <ns1:t>d</ns1:t>
                        </ns1:r>
                      </ns1:e>
                    </ns1:acc>
                  </ns1:oMath>
                </w:p>
              </w:tc>
              <w:tc>
                <w:tcPr/>
                <w:p>
                  <w:pPr>
                    <w:pStyle w:val="Compact"/>
                    <w:jc w:val="both"/>
                    <w:spacing w:line="360" w:lineRule="auto"/>
                  </w:pPr>
                  <ns1:oMath>
                    <ns1:sSub>
                      <ns1:e>
                        <ns1:r>
                          <ns1:t>s</ns1:t>
                        </ns1:r>
                      </ns1:e>
                      <ns1:sub>
                        <ns1:r>
                          <ns1:t>d</ns1:t>
                        </ns1:r>
                      </ns1:sub>
                    </ns1:sSub>
                  </ns1:oMath>
                </w:p>
              </w:tc>
              <w:tc>
                <w:tcPr/>
                <w:p>
                  <w:pPr>
                    <w:pStyle w:val="Compact"/>
                    <w:jc w:val="both"/>
                    <w:spacing w:line="360" w:lineRule="auto"/>
                  </w:pPr>
                  <ns1:oMath>
                    <ns1:sSub>
                      <ns1:e>
                        <ns1:r>
                          <ns1:t>d</ns1:t>
                        </ns1:r>
                      </ns1:e>
                      <ns1:sub>
                        <ns1:r>
                          <ns1:t>z</ns1:t>
                        </ns1:r>
                      </ns1:sub>
                    </ns1:sSub>
                  </ns1:oMath>
                </w:p>
              </w:tc>
              <w:tc>
                <w:tcPr/>
                <w:p>
                  <w:pPr>
                    <w:pStyle w:val="Compact"/>
                    <w:jc w:val="both"/>
                    <w:spacing w:line="360" w:lineRule="auto"/>
                  </w:pPr>
                  <w:r>
                    <w:t xml:space="preserve">Pos.</w:t>
                  </w:r>
                </w:p>
              </w:tc>
              <w:tc>
                <w:tcPr/>
                <w:p>
                  <w:pPr>
                    <w:pStyle w:val="Compact"/>
                    <w:jc w:val="both"/>
                    <w:spacing w:line="360" w:lineRule="auto"/>
                  </w:pPr>
                  <w:r>
                    <w:t xml:space="preserve">Neg.</w:t>
                  </w:r>
                </w:p>
              </w:tc>
              <w:tc>
                <w:tcPr/>
                <w:p>
                  <w:pPr>
                    <w:pStyle w:val="Compact"/>
                    <w:jc w:val="both"/>
                    <w:spacing w:line="360" w:lineRule="auto"/>
                  </w:pPr>
                  <ns1:oMath>
                    <ns1:r>
                      <ns1:t>n</ns1:t>
                    </ns1:r>
                  </ns1:oMath>
                </w:p>
              </w:tc>
            </w:tr>
            <w:tr>
              <w:tc>
                <w:tcPr/>
                <w:p>
                  <w:pPr>
                    <w:pStyle w:val="Compact"/>
                    <w:jc w:val="both"/>
                    <w:spacing w:line="360" w:lineRule="auto"/>
                  </w:pPr>
                  <w:r>
                    <w:t xml:space="preserve">Fidelidad</w:t>
                  </w:r>
                </w:p>
              </w:tc>
              <w:tc>
                <w:tcPr/>
                <w:p>
                  <w:pPr>
                    <w:pStyle w:val="Compact"/>
                    <w:jc w:val="both"/>
                    <w:spacing w:line="360" w:lineRule="auto"/>
                  </w:pPr>
                  <w:r>
                    <w:t xml:space="preserve">+0.2479</w:t>
                  </w:r>
                </w:p>
              </w:tc>
              <w:tc>
                <w:tcPr/>
                <w:p>
                  <w:pPr>
                    <w:pStyle w:val="Compact"/>
                    <w:jc w:val="both"/>
                    <w:spacing w:line="360" w:lineRule="auto"/>
                  </w:pPr>
                  <w:r>
                    <w:t xml:space="preserve">0.0514</w:t>
                  </w:r>
                </w:p>
              </w:tc>
              <w:tc>
                <w:tcPr/>
                <w:p>
                  <w:pPr>
                    <w:pStyle w:val="Compact"/>
                    <w:jc w:val="both"/>
                    <w:spacing w:line="360" w:lineRule="auto"/>
                  </w:pPr>
                  <w:r>
                    <w:t xml:space="preserve">+4.820</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Estabilidad</w:t>
                  </w:r>
                </w:p>
              </w:tc>
              <w:tc>
                <w:tcPr/>
                <w:p>
                  <w:pPr>
                    <w:pStyle w:val="Compact"/>
                    <w:jc w:val="both"/>
                    <w:spacing w:line="360" w:lineRule="auto"/>
                  </w:pPr>
                  <w:r>
                    <w:t xml:space="preserve">+0.7176</w:t>
                  </w:r>
                </w:p>
              </w:tc>
              <w:tc>
                <w:tcPr/>
                <w:p>
                  <w:pPr>
                    <w:pStyle w:val="Compact"/>
                    <w:jc w:val="both"/>
                    <w:spacing w:line="360" w:lineRule="auto"/>
                  </w:pPr>
                  <w:r>
                    <w:t xml:space="preserve">0.2390</w:t>
                  </w:r>
                </w:p>
              </w:tc>
              <w:tc>
                <w:tcPr/>
                <w:p>
                  <w:pPr>
                    <w:pStyle w:val="Compact"/>
                    <w:jc w:val="both"/>
                    <w:spacing w:line="360" w:lineRule="auto"/>
                  </w:pPr>
                  <w:r>
                    <w:t xml:space="preserve">+3.002</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Parsimonia</w:t>
                  </w:r>
                </w:p>
              </w:tc>
              <w:tc>
                <w:tcPr/>
                <w:p>
                  <w:pPr>
                    <w:pStyle w:val="Compact"/>
                    <w:jc w:val="both"/>
                    <w:spacing w:line="360" w:lineRule="auto"/>
                  </w:pPr>
                  <w:r>
                    <w:t xml:space="preserve">+0.1418</w:t>
                  </w:r>
                </w:p>
              </w:tc>
              <w:tc>
                <w:tcPr/>
                <w:p>
                  <w:pPr>
                    <w:pStyle w:val="Compact"/>
                    <w:jc w:val="both"/>
                    <w:spacing w:line="360" w:lineRule="auto"/>
                  </w:pPr>
                  <w:r>
                    <w:t xml:space="preserve">0.1690</w:t>
                  </w:r>
                </w:p>
              </w:tc>
              <w:tc>
                <w:tcPr/>
                <w:p>
                  <w:pPr>
                    <w:pStyle w:val="Compact"/>
                    <w:jc w:val="both"/>
                    <w:spacing w:line="360" w:lineRule="auto"/>
                  </w:pPr>
                  <w:r>
                    <w:t xml:space="preserve">+0.839</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Brecha fidelidad</w:t>
                  </w:r>
                </w:p>
              </w:tc>
              <w:tc>
                <w:tcPr/>
                <w:p>
                  <w:pPr>
                    <w:pStyle w:val="Compact"/>
                    <w:jc w:val="both"/>
                    <w:spacing w:line="360" w:lineRule="auto"/>
                  </w:pPr>
                  <w:r>
                    <w:t xml:space="preserve">+0.0453</w:t>
                  </w:r>
                </w:p>
              </w:tc>
              <w:tc>
                <w:tcPr/>
                <w:p>
                  <w:pPr>
                    <w:pStyle w:val="Compact"/>
                    <w:jc w:val="both"/>
                    <w:spacing w:line="360" w:lineRule="auto"/>
                  </w:pPr>
                  <w:r>
                    <w:t xml:space="preserve">0.0173</w:t>
                  </w:r>
                </w:p>
              </w:tc>
              <w:tc>
                <w:tcPr/>
                <w:p>
                  <w:pPr>
                    <w:pStyle w:val="Compact"/>
                    <w:jc w:val="both"/>
                    <w:spacing w:line="360" w:lineRule="auto"/>
                  </w:pPr>
                  <w:r>
                    <w:t xml:space="preserve">+2.626</w:t>
                  </w:r>
                </w:p>
              </w:tc>
              <w:tc>
                <w:tcPr/>
                <w:p>
                  <w:pPr>
                    <w:pStyle w:val="Compact"/>
                    <w:jc w:val="both"/>
                    <w:spacing w:line="360" w:lineRule="auto"/>
                  </w:pPr>
                  <w:r>
                    <w:t xml:space="preserve">74</w:t>
                  </w:r>
                </w:p>
              </w:tc>
              <w:tc>
                <w:tcPr/>
                <w:p>
                  <w:pPr>
                    <w:pStyle w:val="Compact"/>
                    <w:jc w:val="both"/>
                    <w:spacing w:line="360" w:lineRule="auto"/>
                  </w:pPr>
                  <w:r>
                    <w:t xml:space="preserve">1</w:t>
                  </w:r>
                </w:p>
              </w:tc>
              <w:tc>
                <w:tcPr/>
                <w:p>
                  <w:pPr>
                    <w:pStyle w:val="Compact"/>
                    <w:jc w:val="both"/>
                    <w:spacing w:line="360" w:lineRule="auto"/>
                  </w:pPr>
                  <w:r>
                    <w:t xml:space="preserve">75</w:t>
                  </w:r>
                </w:p>
              </w:tc>
            </w:tr>
            <w:tr>
              <w:tc>
                <w:tcPr/>
                <w:p>
                  <w:pPr>
                    <w:pStyle w:val="Compact"/>
                    <w:jc w:val="both"/>
                    <w:spacing w:line="360" w:lineRule="auto"/>
                  </w:pPr>
                  <w:r>
                    <w:t xml:space="preserve">Coste (ms)</w:t>
                  </w:r>
                </w:p>
              </w:tc>
              <w:tc>
                <w:tcPr/>
                <w:p>
                  <w:pPr>
                    <w:pStyle w:val="Compact"/>
                    <w:jc w:val="both"/>
                    <w:spacing w:line="360" w:lineRule="auto"/>
                  </w:pPr>
                  <w:r>
                    <w:t xml:space="preserve">+8047.6</w:t>
                  </w:r>
                </w:p>
              </w:tc>
              <w:tc>
                <w:tcPr/>
                <w:p>
                  <w:pPr>
                    <w:pStyle w:val="Compact"/>
                    <w:jc w:val="both"/>
                    <w:spacing w:line="360" w:lineRule="auto"/>
                  </w:pPr>
                  <w:r>
                    <w:t xml:space="preserve">17856.6</w:t>
                  </w:r>
                </w:p>
              </w:tc>
              <w:tc>
                <w:tcPr/>
                <w:p>
                  <w:pPr>
                    <w:pStyle w:val="Compact"/>
                    <w:jc w:val="both"/>
                    <w:spacing w:line="360" w:lineRule="auto"/>
                  </w:pPr>
                  <w:r>
                    <w:t xml:space="preserve">+0.451</w:t>
                  </w:r>
                </w:p>
              </w:tc>
              <w:tc>
                <w:tcPr/>
                <w:p>
                  <w:pPr>
                    <w:pStyle w:val="Compact"/>
                    <w:jc w:val="both"/>
                    <w:spacing w:line="360" w:lineRule="auto"/>
                  </w:pPr>
                  <w:r>
                    <w:t xml:space="preserve">59</w:t>
                  </w:r>
                </w:p>
              </w:tc>
              <w:tc>
                <w:tcPr/>
                <w:p>
                  <w:pPr>
                    <w:pStyle w:val="Compact"/>
                    <w:jc w:val="both"/>
                    <w:spacing w:line="360" w:lineRule="auto"/>
                  </w:pPr>
                  <w:r>
                    <w:t xml:space="preserve">16</w:t>
                  </w:r>
                </w:p>
              </w:tc>
              <w:tc>
                <w:tcPr/>
                <w:p>
                  <w:pPr>
                    <w:pStyle w:val="Compact"/>
                    <w:jc w:val="both"/>
                    <w:spacing w:line="360" w:lineRule="auto"/>
                  </w:pPr>
                  <w:r>
                    <w:t xml:space="preserve">75</w:t>
                  </w:r>
                </w:p>
              </w:tc>
            </w:tr>
          </w:tbl>
          <w:bookmarkEnd w:id="111"/>
          <w:p>
            <w:pPr>
              <w:spacing w:line="360" w:lineRule="auto"/>
              <w:jc w:val="both"/>
            </w:pPr>
          </w:p>
        </w:tc>
      </w:tr>
    </w:tbl>
    <w:p>
      <w:pPr>
        <w:pStyle w:val="Textoindependiente"/>
        <w:spacing w:line="360" w:lineRule="auto"/>
        <w:jc w:val="both"/>
      </w:pPr>
      <w:r>
        <w:t xml:space="preserve">Los resultados ofrecen evidencia consistente para</w:t>
      </w:r>
      <w:r>
        <w:t xml:space="preserve"> </w:t>
      </w:r>
      <ns1:oMath>
        <ns1:sSub>
          <ns1:e>
            <ns1:r>
              <ns1:t>H</ns1:t>
            </ns1:r>
          </ns1:e>
          <ns1:sub>
            <ns1:r>
              <ns1:t>1</ns1:t>
            </ns1:r>
            <ns1:r>
              <ns1:rPr>
                <ns1:sty ns1:val="p"/>
              </ns1:rPr>
              <ns1:t>,</ns1:t>
            </ns1:r>
            <ns1:r>
              <ns1:t>3</ns1:t>
            </ns1:r>
          </ns1:sub>
        </ns1:sSub>
      </ns1:oMath>
      <w:r>
        <w:t xml:space="preserve"> </w:t>
      </w:r>
      <w:r>
        <w:t xml:space="preserve">bajo las condiciones del diseño pareado:</w:t>
      </w:r>
    </w:p>
    <w:p>
      <w:pPr>
        <w:pStyle w:val="Textoindependiente"/>
        <w:spacing w:line="360" w:lineRule="auto"/>
        <w:jc w:val="both"/>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ns1:oMath>
        <ns1:sSub>
          <ns1:e>
            <ns1:r>
              <ns1:t>d</ns1:t>
            </ns1:r>
          </ns1:e>
          <ns1:sub>
            <ns1:r>
              <ns1:t>z</ns1:t>
            </ns1:r>
          </ns1:sub>
        </ns1:sSub>
        <ns1:r>
          <ns1:rPr>
            <ns1:sty ns1:val="p"/>
          </ns1:rPr>
          <ns1:t>=</ns1:t>
        </ns1:r>
        <ns1:r>
          <ns1:rPr>
            <ns1:sty ns1:val="p"/>
          </ns1:rPr>
          <ns1:t>+</ns1:t>
        </ns1:r>
        <ns1:r>
          <ns1:t>4.820</ns1:t>
        </ns1:r>
      </ns1:oMath>
      <w:r>
        <w:t xml:space="preserve">). Bajo el criterio de Lakens</w:t>
      </w:r>
      <w:r>
        <w:t xml:space="preserve"> </w:t>
      </w:r>
      <w:r>
        <w:t xml:space="preserve">(2013)</w:t>
      </w:r>
      <w:r>
        <w:t xml:space="preserve">,</w:t>
      </w:r>
      <w:r>
        <w:t xml:space="preserve"> </w:t>
      </w:r>
      <ns1:oMath>
        <ns1:sSub>
          <ns1:e>
            <ns1:r>
              <ns1:t>d</ns1:t>
            </ns1:r>
          </ns1:e>
          <ns1:sub>
            <ns1:r>
              <ns1:t>z</ns1:t>
            </ns1:r>
          </ns1:sub>
        </ns1:sSub>
        <ns1:r>
          <ns1:rPr>
            <ns1:sty ns1:val="p"/>
          </ns1:rPr>
          <ns1:t>&gt;</ns1:t>
        </ns1:r>
        <ns1:r>
          <ns1:t>0.8</ns1:t>
        </ns1:r>
      </ns1:oMath>
      <w:r>
        <w:t xml:space="preserve"> </w:t>
      </w:r>
      <w:r>
        <w:t xml:space="preserve">constituye efecto grande;</w:t>
      </w:r>
      <w:r>
        <w:t xml:space="preserve"> </w:t>
      </w:r>
      <ns1:oMath>
        <ns1:sSub>
          <ns1:e>
            <ns1:r>
              <ns1:t>d</ns1:t>
            </ns1:r>
          </ns1:e>
          <ns1:sub>
            <ns1:r>
              <ns1:t>z</ns1:t>
            </ns1:r>
          </ns1:sub>
        </ns1:sSub>
        <ns1:r>
          <ns1:rPr>
            <ns1:sty ns1:val="p"/>
          </ns1:rPr>
          <ns1:t>&gt;</ns1:t>
        </ns1:r>
        <ns1:r>
          <ns1:t>2.0</ns1:t>
        </ns1:r>
      </ns1: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spacing w:line="360" w:lineRule="auto"/>
        <w:jc w:val="both"/>
      </w:pPr>
      <w:r>
        <w:rPr>
          <w:b/>
          <w:bCs/>
        </w:rPr>
        <w:t xml:space="preserve">Estabilidad:</w:t>
      </w:r>
      <w:r>
        <w:t xml:space="preserve"> </w:t>
      </w:r>
      <w:r>
        <w:t xml:space="preserve">La ventaja de SHAP es aún más pronunciada en estabilidad</w:t>
      </w:r>
      <w:r>
        <w:t xml:space="preserve"> </w:t>
      </w:r>
      <w:r>
        <w:t xml:space="preserve">(</w:t>
      </w:r>
      <ns1:oMath>
        <ns1:sSub>
          <ns1:e>
            <ns1:r>
              <ns1:t>d</ns1:t>
            </ns1:r>
          </ns1:e>
          <ns1:sub>
            <ns1:r>
              <ns1:t>z</ns1:t>
            </ns1:r>
          </ns1:sub>
        </ns1:sSub>
        <ns1:r>
          <ns1:rPr>
            <ns1:sty ns1:val="p"/>
          </ns1:rPr>
          <ns1:t>=</ns1:t>
        </ns1:r>
        <ns1:r>
          <ns1:rPr>
            <ns1:sty ns1:val="p"/>
          </ns1:rPr>
          <ns1:t>+</ns1:t>
        </ns1:r>
        <ns1:r>
          <ns1:t>3.002</ns1:t>
        </ns1:r>
      </ns1: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spacing w:line="360" w:lineRule="auto"/>
        <w:jc w:val="both"/>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ns1:oMath>
        <ns1:sSub>
          <ns1:e>
            <ns1:r>
              <ns1:t>d</ns1:t>
            </ns1:r>
          </ns1:e>
          <ns1:sub>
            <ns1:r>
              <ns1:t>z</ns1:t>
            </ns1:r>
          </ns1:sub>
        </ns1:sSub>
        <ns1:r>
          <ns1:rPr>
            <ns1:sty ns1:val="p"/>
          </ns1:rPr>
          <ns1:t>=</ns1:t>
        </ns1:r>
        <ns1:r>
          <ns1:rPr>
            <ns1:sty ns1:val="p"/>
          </ns1:rPr>
          <ns1:t>+</ns1:t>
        </ns1:r>
        <ns1:r>
          <ns1:t>0.839</ns1:t>
        </ns1:r>
      </ns1: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ns1:oMath>
        <ns1:sSub>
          <ns1:e>
            <ns1:r>
              <ns1:t>d</ns1:t>
            </ns1:r>
          </ns1:e>
          <ns1:sub>
            <ns1:r>
              <ns1:t>z</ns1:t>
            </ns1:r>
          </ns1:sub>
        </ns1:sSub>
        <ns1:r>
          <ns1:rPr>
            <ns1:sty ns1:val="p"/>
          </ns1:rPr>
          <ns1:t>=</ns1:t>
        </ns1:r>
        <ns1:r>
          <ns1:rPr>
            <ns1:sty ns1:val="p"/>
          </ns1:rPr>
          <ns1:t>+</ns1:t>
        </ns1:r>
        <ns1:r>
          <ns1:t>2.626</ns1:t>
        </ns1:r>
      </ns1: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spacing w:line="360" w:lineRule="auto"/>
        <w:jc w:val="both"/>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ns1:oMath>
        <ns1:sSub>
          <ns1:e>
            <ns1:r>
              <ns1:t>s</ns1:t>
            </ns1:r>
          </ns1:e>
          <ns1:sub>
            <ns1:r>
              <ns1:t>d</ns1:t>
            </ns1:r>
          </ns1:sub>
        </ns1:sSub>
        <ns1:r>
          <ns1:rPr>
            <ns1:sty ns1:val="p"/>
          </ns1:rPr>
          <ns1:t>=</ns1:t>
        </ns1:r>
        <ns1:r>
          <ns1:t>17</ns1:t>
        </ns1:r>
        <ns1:r>
          <ns1:rPr>
            <ns1:sty ns1:val="p"/>
          </ns1:rPr>
          <ns1:t>,</ns1:t>
        </ns1:r>
        <ns1:r>
          <ns1:t>857</ns1:t>
        </ns1:r>
      </ns1: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ns1:oMath>
        <ns1:sSub>
          <ns1:e>
            <ns1:r>
              <ns1:t>d</ns1:t>
            </ns1:r>
          </ns1:e>
          <ns1:sub>
            <ns1:r>
              <ns1:t>z</ns1:t>
            </ns1:r>
          </ns1:sub>
        </ns1:sSub>
        <ns1:r>
          <ns1:rPr>
            <ns1:sty ns1:val="p"/>
          </ns1:rPr>
          <ns1:t>=</ns1:t>
        </ns1:r>
        <ns1:r>
          <ns1:rPr>
            <ns1:sty ns1:val="p"/>
          </ns1:rPr>
          <ns1:t>+</ns1:t>
        </ns1:r>
        <ns1:r>
          <ns1:t>0.451</ns1:t>
        </ns1:r>
      </ns1: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12"/>
    <w:bookmarkStart w:id="113" w:name="X2c15e0a178907c68bf437d0d85cae845d1c590b"/>
    <w:p>
      <w:pPr>
        <w:pStyle w:val="Ttulo3"/>
        <w:spacing w:line="360" w:lineRule="auto"/>
        <w:jc w:val="both"/>
      </w:pPr>
      <w:r>
        <w:t xml:space="preserve">Verificación del requisito de multiplicidad</w:t>
      </w:r>
    </w:p>
    <w:p>
      <w:pPr>
        <w:pStyle w:val="FirstParagraph"/>
        <w:spacing w:line="360" w:lineRule="auto"/>
        <w:jc w:val="bot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ns1:oMath>
        <ns1:r>
          <ns1:t>α</ns1:t>
        </ns1:r>
        <ns1:r>
          <ns1:rPr>
            <ns1:sty ns1:val="p"/>
          </ns1:rPr>
          <ns1:t>/</ns1:t>
        </ns1:r>
        <ns1:r>
          <ns1:rPr>
            <ns1:sty ns1:val="p"/>
          </ns1:rPr>
          <ns1:t>(</ns1:t>
        </ns1:r>
        <ns1:r>
          <ns1:t>5</ns1:t>
        </ns1:r>
        <ns1:r>
          <ns1:rPr>
            <ns1:sty ns1:val="p"/>
          </ns1:rPr>
          <ns1:t>)</ns1:t>
        </ns1:r>
        <ns1:r>
          <ns1:rPr>
            <ns1:sty ns1:val="p"/>
          </ns1:rPr>
          <ns1:t>=</ns1:t>
        </ns1:r>
        <ns1:r>
          <ns1:t>0.01</ns1:t>
        </ns1:r>
      </ns1:oMath>
      <w:r>
        <w:t xml:space="preserve">,</w:t>
      </w:r>
      <w:r>
        <w:t xml:space="preserve"> </w:t>
      </w:r>
      <ns1:oMath>
        <ns1:r>
          <ns1:t>α</ns1:t>
        </ns1:r>
        <ns1:r>
          <ns1:rPr>
            <ns1:sty ns1:val="p"/>
          </ns1:rPr>
          <ns1:t>/</ns1:t>
        </ns1:r>
        <ns1:r>
          <ns1:rPr>
            <ns1:sty ns1:val="p"/>
          </ns1:rPr>
          <ns1:t>(</ns1:t>
        </ns1:r>
        <ns1:r>
          <ns1:t>4</ns1:t>
        </ns1:r>
        <ns1:r>
          <ns1:rPr>
            <ns1:sty ns1:val="p"/>
          </ns1:rPr>
          <ns1:t>)</ns1:t>
        </ns1:r>
        <ns1:r>
          <ns1:rPr>
            <ns1:sty ns1:val="p"/>
          </ns1:rPr>
          <ns1:t>=</ns1:t>
        </ns1:r>
        <ns1:r>
          <ns1:t>0.0125</ns1:t>
        </ns1:r>
      </ns1:oMath>
      <w:r>
        <w:t xml:space="preserve">,</w:t>
      </w:r>
      <w:r>
        <w:t xml:space="preserve"> </w:t>
      </w:r>
      <ns1:oMath>
        <ns1:r>
          <ns1:t>α</ns1:t>
        </ns1:r>
        <ns1:r>
          <ns1:rPr>
            <ns1:sty ns1:val="p"/>
          </ns1:rPr>
          <ns1:t>/</ns1:t>
        </ns1:r>
        <ns1:r>
          <ns1:rPr>
            <ns1:sty ns1:val="p"/>
          </ns1:rPr>
          <ns1:t>(</ns1:t>
        </ns1:r>
        <ns1:r>
          <ns1:t>3</ns1:t>
        </ns1:r>
        <ns1:r>
          <ns1:rPr>
            <ns1:sty ns1:val="p"/>
          </ns1:rPr>
          <ns1:t>)</ns1:t>
        </ns1:r>
        <ns1:r>
          <ns1:rPr>
            <ns1:sty ns1:val="p"/>
          </ns1:rPr>
          <ns1:t>=</ns1:t>
        </ns1:r>
        <ns1:r>
          <ns1:t>0.0167</ns1:t>
        </ns1:r>
      </ns1:oMath>
      <w:r>
        <w:t xml:space="preserve">,</w:t>
      </w:r>
      <w:r>
        <w:t xml:space="preserve"> </w:t>
      </w:r>
      <ns1:oMath>
        <ns1:r>
          <ns1:t>α</ns1:t>
        </ns1:r>
        <ns1:r>
          <ns1:rPr>
            <ns1:sty ns1:val="p"/>
          </ns1:rPr>
          <ns1:t>/</ns1:t>
        </ns1:r>
        <ns1:r>
          <ns1:rPr>
            <ns1:sty ns1:val="p"/>
          </ns1:rPr>
          <ns1:t>(</ns1:t>
        </ns1:r>
        <ns1:r>
          <ns1:t>2</ns1:t>
        </ns1:r>
        <ns1:r>
          <ns1:rPr>
            <ns1:sty ns1:val="p"/>
          </ns1:rPr>
          <ns1:t>)</ns1:t>
        </ns1:r>
        <ns1:r>
          <ns1:rPr>
            <ns1:sty ns1:val="p"/>
          </ns1:rPr>
          <ns1:t>=</ns1:t>
        </ns1:r>
        <ns1:r>
          <ns1:t>0.025</ns1:t>
        </ns1:r>
      </ns1:oMath>
      <w:r>
        <w:t xml:space="preserve">,</w:t>
      </w:r>
      <w:r>
        <w:t xml:space="preserve"> </w:t>
      </w:r>
      <ns1:oMath>
        <ns1:r>
          <ns1:t>α</ns1:t>
        </ns1:r>
        <ns1:r>
          <ns1:rPr>
            <ns1:sty ns1:val="p"/>
          </ns1:rPr>
          <ns1:t>/</ns1:t>
        </ns1:r>
        <ns1:r>
          <ns1:rPr>
            <ns1:sty ns1:val="p"/>
          </ns1:rPr>
          <ns1:t>(</ns1:t>
        </ns1:r>
        <ns1:r>
          <ns1:t>1</ns1:t>
        </ns1:r>
        <ns1:r>
          <ns1:rPr>
            <ns1:sty ns1:val="p"/>
          </ns1:rPr>
          <ns1:t>)</ns1:t>
        </ns1:r>
        <ns1:r>
          <ns1:rPr>
            <ns1:sty ns1:val="p"/>
          </ns1:rPr>
          <ns1:t>=</ns1:t>
        </ns1:r>
        <ns1:r>
          <ns1:t>0.05</ns1:t>
        </ns1:r>
      </ns1:oMath>
      <w:r>
        <w:t xml:space="preserve">. Dado que las diferencias en fidelidad y estabilidad presentan</w:t>
      </w:r>
      <w:r>
        <w:t xml:space="preserve"> </w:t>
      </w:r>
      <ns1:oMath>
        <ns1:sSub>
          <ns1:e>
            <ns1:r>
              <ns1:t>d</ns1:t>
            </ns1:r>
          </ns1:e>
          <ns1:sub>
            <ns1:r>
              <ns1:t>z</ns1:t>
            </ns1:r>
          </ns1:sub>
        </ns1:sSub>
        <ns1:r>
          <ns1:rPr>
            <ns1:sty ns1:val="p"/>
          </ns1:rPr>
          <ns1:t>&gt;</ns1:t>
        </ns1:r>
        <ns1:r>
          <ns1:t>2.6</ns1:t>
        </ns1:r>
      </ns1:oMath>
      <w:r>
        <w:t xml:space="preserve"> </w:t>
      </w:r>
      <w:r>
        <w:t xml:space="preserve">con</w:t>
      </w:r>
      <w:r>
        <w:t xml:space="preserve"> </w:t>
      </w:r>
      <ns1:oMath>
        <ns1:r>
          <ns1:t>n</ns1:t>
        </ns1:r>
        <ns1:r>
          <ns1:rPr>
            <ns1:sty ns1:val="p"/>
          </ns1:rPr>
          <ns1:t>=</ns1:t>
        </ns1:r>
        <ns1:r>
          <ns1:t>75</ns1:t>
        </ns1:r>
      </ns1: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w:t>
      </w:r>
      <w:r>
        <w:t xml:space="preserve"> </w:t>
      </w:r>
      <w:r>
        <w:t xml:space="preserve">orden de</w:t>
      </w:r>
      <w:r>
        <w:t xml:space="preserve"> </w:t>
      </w:r>
      <ns1:oMath>
        <ns1:sSup>
          <ns1:e>
            <ns1:r>
              <ns1:t>10</ns1:t>
            </ns1:r>
          </ns1:e>
          <ns1:sup>
            <ns1:r>
              <ns1:rPr>
                <ns1:sty ns1:val="p"/>
              </ns1:rPr>
              <ns1:t>−</ns1:t>
            </ns1:r>
            <ns1:r>
              <ns1:t>13</ns1:t>
            </ns1:r>
          </ns1:sup>
        </ns1:sSup>
      </ns1:oMath>
      <w:r>
        <w:t xml:space="preserve">, y el coste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 orden de</w:t>
      </w:r>
      <w:r>
        <w:t xml:space="preserve"> </w:t>
      </w:r>
      <ns1:oMath>
        <ns1:sSup>
          <ns1:e>
            <ns1:r>
              <ns1:t>10</ns1:t>
            </ns1:r>
          </ns1:e>
          <ns1:sup>
            <ns1:r>
              <ns1:rPr>
                <ns1:sty ns1:val="p"/>
              </ns1:rPr>
              <ns1:t>−</ns1:t>
            </ns1:r>
            <ns1:r>
              <ns1:t>10</ns1:t>
            </ns1:r>
          </ns1:sup>
        </ns1:sSup>
      </ns1:oMath>
      <w:r>
        <w:t xml:space="preserve">. Por tanto,</w:t>
      </w:r>
      <w:r>
        <w:t xml:space="preserve"> </w:t>
      </w:r>
      <ns1:oMath>
        <ns1:sSub>
          <ns1:e>
            <ns1:r>
              <ns1:t>H</ns1:t>
            </ns1:r>
          </ns1:e>
          <ns1:sub>
            <ns1:r>
              <ns1:t>1</ns1:t>
            </ns1:r>
            <ns1:r>
              <ns1:rPr>
                <ns1:sty ns1:val="p"/>
              </ns1:rPr>
              <ns1:t>,</ns1:t>
            </ns1:r>
            <ns1:r>
              <ns1:t>3</ns1:t>
            </ns1:r>
          </ns1:sub>
        </ns1:sSub>
      </ns1:oMath>
      <w:r>
        <w:t xml:space="preserve"> </w:t>
      </w:r>
      <w:r>
        <w:t xml:space="preserve">se acepta para las cinco métricas bajo control</w:t>
      </w:r>
      <w:r>
        <w:t xml:space="preserve"> </w:t>
      </w:r>
      <w:r>
        <w:t xml:space="preserve">de multiplicidad.</w:t>
      </w:r>
    </w:p>
    <w:bookmarkEnd w:id="113"/>
    <w:bookmarkEnd w:id="114"/>
    <w:bookmarkStart w:id="116" w:name="sec-p1"/>
    <w:p>
      <w:pPr>
        <w:pStyle w:val="Ttulo2"/>
        <w:spacing w:line="360" w:lineRule="auto"/>
        <w:jc w:val="both"/>
      </w:pPr>
      <w:r>
        <w:t xml:space="preserve">Proposición P1: Reproducibilidad del protocolo FOM-7</w:t>
      </w:r>
    </w:p>
    <w:p>
      <w:pPr>
        <w:pStyle w:val="FirstParagraph"/>
        <w:spacing w:line="360" w:lineRule="auto"/>
        <w:jc w:val="bot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spacing w:line="360" w:lineRule="auto"/>
        <w:jc w:val="both"/>
      </w:pPr>
      <w:r>
        <w:t xml:space="preserve">Para su evaluación se calculó el CV de cada métrica primaria para SHAP y LIME</w:t>
      </w:r>
      <w:r>
        <w:t xml:space="preserve"> </w:t>
      </w:r>
      <w:r>
        <w:t xml:space="preserve">sobre el subconjunto del modelo RF con</w:t>
      </w:r>
      <w:r>
        <w:t xml:space="preserve"> </w:t>
      </w:r>
      <ns1:oMath>
        <ns1:r>
          <ns1:t>N</ns1:t>
        </ns1:r>
        <ns1:r>
          <ns1:rPr>
            <ns1:sty ns1:val="p"/>
          </ns1:rPr>
          <ns1:t>=</ns1:t>
        </ns1:r>
        <ns1:r>
          <ns1:t>100</ns1:t>
        </ns1:r>
      </ns1:oMath>
      <w:r>
        <w:t xml:space="preserve">, tomando las cinco semillas</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w:t>
      </w:r>
      <w:r>
        <w:t xml:space="preserve">como réplicas independientes:</w:t>
      </w:r>
    </w:p>
    <w:tbl>
      <w:tblPr>
        <w:tblStyle w:val="Table"/>
        <w:tblW w:type="pct" w:w="5000"/>
        <w:tblLayout w:type="fixed"/>
        <w:tblLook w:firstRow="0" w:lastRow="0" w:firstColumn="0" w:lastColumn="0" w:noHBand="0" w:noVBand="0" w:val="0000"/>
      </w:tblPr>
      <w:tblGrid>
        <w:gridCol w:w="7920"/>
      </w:tblGrid>
      <w:tr>
        <w:tc>
          <w:tcPr/>
          <w:bookmarkStart w:id="115" w:name="tbl-cv-p1"/>
          <w:p>
            <w:pPr>
              <w:jc w:val="both"/>
              <w:spacing w:line="360" w:lineRule="auto"/>
            </w:pPr>
            <w:pPr>
              <w:jc w:val="left"/>
              <w:spacing w:before="200"/>
              <w:pStyle w:val="ImageCaption"/>
            </w:pPr>
            <w:r>
              <w:t xml:space="preserve">Table 5.6: Coeficiente de variación de métricas primarias bajo 5 semillas distintas (RF,</w:t>
            </w:r>
            <w:r>
              <w:t xml:space="preserve"> </w:t>
            </w:r>
            <ns1:oMath>
              <ns1:r>
                <ns1:t>N</ns1:t>
              </ns1:r>
              <ns1:r>
                <ns1:rPr>
                  <ns1:sty ns1:val="p"/>
                </ns1:rPr>
                <ns1:t>=</ns1:t>
              </ns1:r>
              <ns1:r>
                <ns1:t>100</ns1:t>
              </ns1:r>
            </ns1:oMath>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Métrica</w:t>
                  </w:r>
                </w:p>
              </w:tc>
              <w:tc>
                <w:tcPr/>
                <w:p>
                  <w:pPr>
                    <w:pStyle w:val="Compact"/>
                    <w:jc w:val="both"/>
                    <w:spacing w:line="360" w:lineRule="auto"/>
                  </w:pPr>
                  <w:r>
                    <w:t xml:space="preserve">Media</w:t>
                  </w:r>
                </w:p>
              </w:tc>
              <w:tc>
                <w:tcPr/>
                <w:p>
                  <w:pPr>
                    <w:pStyle w:val="Compact"/>
                    <w:jc w:val="both"/>
                    <w:spacing w:line="360" w:lineRule="auto"/>
                  </w:pPr>
                  <w:r>
                    <w:t xml:space="preserve">Desv. típica</w:t>
                  </w:r>
                </w:p>
              </w:tc>
              <w:tc>
                <w:tcPr/>
                <w:p>
                  <w:pPr>
                    <w:pStyle w:val="Compact"/>
                    <w:jc w:val="both"/>
                    <w:spacing w:line="360" w:lineRule="auto"/>
                  </w:pPr>
                  <w:r>
                    <w:t xml:space="preserve">CV (%)</w:t>
                  </w:r>
                </w:p>
              </w:tc>
              <w:tc>
                <w:tcPr/>
                <w:p>
                  <w:pPr>
                    <w:pStyle w:val="Compact"/>
                    <w:jc w:val="both"/>
                    <w:spacing w:line="360" w:lineRule="auto"/>
                  </w:pPr>
                  <w:r>
                    <w:t xml:space="preserve">Criterio P1</w:t>
                  </w:r>
                </w:p>
              </w:tc>
            </w:tr>
            <w:tr>
              <w:tc>
                <w:tcPr/>
                <w:p>
                  <w:pPr>
                    <w:pStyle w:val="Compact"/>
                    <w:jc w:val="both"/>
                    <w:spacing w:line="360" w:lineRule="auto"/>
                  </w:pPr>
                  <w:r>
                    <w:t xml:space="preserve">SHAP</w:t>
                  </w:r>
                </w:p>
              </w:tc>
              <w:tc>
                <w:tcPr/>
                <w:p>
                  <w:pPr>
                    <w:pStyle w:val="Compact"/>
                    <w:jc w:val="both"/>
                    <w:spacing w:line="360" w:lineRule="auto"/>
                  </w:pPr>
                  <w:r>
                    <w:t xml:space="preserve">Fidelidad</w:t>
                  </w:r>
                </w:p>
              </w:tc>
              <w:tc>
                <w:tcPr/>
                <w:p>
                  <w:pPr>
                    <w:pStyle w:val="Compact"/>
                    <w:jc w:val="both"/>
                    <w:spacing w:line="360" w:lineRule="auto"/>
                  </w:pPr>
                  <w:r>
                    <w:t xml:space="preserve">0.732</w:t>
                  </w:r>
                </w:p>
              </w:tc>
              <w:tc>
                <w:tcPr/>
                <w:p>
                  <w:pPr>
                    <w:pStyle w:val="Compact"/>
                    <w:jc w:val="both"/>
                    <w:spacing w:line="360" w:lineRule="auto"/>
                  </w:pPr>
                  <w:r>
                    <w:t xml:space="preserve">0.006</w:t>
                  </w:r>
                </w:p>
              </w:tc>
              <w:tc>
                <w:tcPr/>
                <w:p>
                  <w:pPr>
                    <w:pStyle w:val="Compact"/>
                    <w:jc w:val="both"/>
                    <w:spacing w:line="360" w:lineRule="auto"/>
                  </w:pPr>
                  <w:r>
                    <w:rPr>
                      <w:b/>
                      <w:bCs/>
                    </w:rPr>
                    <w:t xml:space="preserve">0.8</w:t>
                  </w:r>
                </w:p>
              </w:tc>
              <w:tc>
                <w:tcPr/>
                <w:p>
                  <w:pPr>
                    <w:pStyle w:val="Compact"/>
                    <w:jc w:val="both"/>
                    <w:spacing w:line="360" w:lineRule="auto"/>
                  </w:pPr>
                  <w:r>
                    <w:t xml:space="preserve">✓ Cumple</w:t>
                  </w:r>
                </w:p>
              </w:tc>
            </w:tr>
            <w:tr>
              <w:tc>
                <w:tcPr/>
                <w:p>
                  <w:pPr>
                    <w:pStyle w:val="Compact"/>
                    <w:jc w:val="both"/>
                    <w:spacing w:line="360" w:lineRule="auto"/>
                  </w:pPr>
                  <w:r>
                    <w:t xml:space="preserve">SHAP</w:t>
                  </w:r>
                </w:p>
              </w:tc>
              <w:tc>
                <w:tcPr/>
                <w:p>
                  <w:pPr>
                    <w:pStyle w:val="Compact"/>
                    <w:jc w:val="both"/>
                    <w:spacing w:line="360" w:lineRule="auto"/>
                  </w:pPr>
                  <w:r>
                    <w:t xml:space="preserve">Estabilidad</w:t>
                  </w:r>
                </w:p>
              </w:tc>
              <w:tc>
                <w:tcPr/>
                <w:p>
                  <w:pPr>
                    <w:pStyle w:val="Compact"/>
                    <w:jc w:val="both"/>
                    <w:spacing w:line="360" w:lineRule="auto"/>
                  </w:pPr>
                  <w:r>
                    <w:t xml:space="preserve">0.948</w:t>
                  </w:r>
                </w:p>
              </w:tc>
              <w:tc>
                <w:tcPr/>
                <w:p>
                  <w:pPr>
                    <w:pStyle w:val="Compact"/>
                    <w:jc w:val="both"/>
                    <w:spacing w:line="360" w:lineRule="auto"/>
                  </w:pPr>
                  <w:r>
                    <w:t xml:space="preserve">0.007</w:t>
                  </w:r>
                </w:p>
              </w:tc>
              <w:tc>
                <w:tcPr/>
                <w:p>
                  <w:pPr>
                    <w:pStyle w:val="Compact"/>
                    <w:jc w:val="both"/>
                    <w:spacing w:line="360" w:lineRule="auto"/>
                  </w:pPr>
                  <w:r>
                    <w:rPr>
                      <w:b/>
                      <w:bCs/>
                    </w:rPr>
                    <w:t xml:space="preserve">0.7</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Fidelidad</w:t>
                  </w:r>
                </w:p>
              </w:tc>
              <w:tc>
                <w:tcPr/>
                <w:p>
                  <w:pPr>
                    <w:pStyle w:val="Compact"/>
                    <w:jc w:val="both"/>
                    <w:spacing w:line="360" w:lineRule="auto"/>
                  </w:pPr>
                  <w:r>
                    <w:t xml:space="preserve">0.461</w:t>
                  </w:r>
                </w:p>
              </w:tc>
              <w:tc>
                <w:tcPr/>
                <w:p>
                  <w:pPr>
                    <w:pStyle w:val="Compact"/>
                    <w:jc w:val="both"/>
                    <w:spacing w:line="360" w:lineRule="auto"/>
                  </w:pPr>
                  <w:r>
                    <w:t xml:space="preserve">0.012</w:t>
                  </w:r>
                </w:p>
              </w:tc>
              <w:tc>
                <w:tcPr/>
                <w:p>
                  <w:pPr>
                    <w:pStyle w:val="Compact"/>
                    <w:jc w:val="both"/>
                    <w:spacing w:line="360" w:lineRule="auto"/>
                  </w:pPr>
                  <w:r>
                    <w:rPr>
                      <w:b/>
                      <w:bCs/>
                    </w:rPr>
                    <w:t xml:space="preserve">2.6</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Estabilidad</w:t>
                  </w:r>
                </w:p>
              </w:tc>
              <w:tc>
                <w:tcPr/>
                <w:p>
                  <w:pPr>
                    <w:pStyle w:val="Compact"/>
                    <w:jc w:val="both"/>
                    <w:spacing w:line="360" w:lineRule="auto"/>
                  </w:pPr>
                  <w:r>
                    <w:t xml:space="preserve">0.018</w:t>
                  </w:r>
                </w:p>
              </w:tc>
              <w:tc>
                <w:tcPr/>
                <w:p>
                  <w:pPr>
                    <w:pStyle w:val="Compact"/>
                    <w:jc w:val="both"/>
                    <w:spacing w:line="360" w:lineRule="auto"/>
                  </w:pPr>
                  <w:r>
                    <w:t xml:space="preserve">0.015</w:t>
                  </w:r>
                </w:p>
              </w:tc>
              <w:tc>
                <w:tcPr/>
                <w:p>
                  <w:pPr>
                    <w:pStyle w:val="Compact"/>
                    <w:jc w:val="both"/>
                    <w:spacing w:line="360" w:lineRule="auto"/>
                  </w:pPr>
                  <w:r>
                    <w:rPr>
                      <w:b/>
                      <w:bCs/>
                    </w:rPr>
                    <w:t xml:space="preserve">86.2</w:t>
                  </w:r>
                </w:p>
              </w:tc>
              <w:tc>
                <w:tcPr/>
                <w:p>
                  <w:pPr>
                    <w:pStyle w:val="Compact"/>
                    <w:jc w:val="both"/>
                    <w:spacing w:line="360" w:lineRule="auto"/>
                  </w:pPr>
                  <w:r>
                    <w:t xml:space="preserve">✗ No cumple</w:t>
                  </w:r>
                </w:p>
              </w:tc>
            </w:tr>
          </w:tbl>
          <w:bookmarkEnd w:id="115"/>
          <w:p>
            <w:pPr>
              <w:spacing w:line="360" w:lineRule="auto"/>
              <w:jc w:val="both"/>
            </w:pPr>
          </w:p>
        </w:tc>
      </w:tr>
    </w:tbl>
    <w:p>
      <w:pPr>
        <w:pStyle w:val="Textoindependiente"/>
        <w:spacing w:line="360" w:lineRule="auto"/>
        <w:jc w:val="both"/>
      </w:pPr>
      <w:r>
        <w:rPr>
          <w:i/>
          <w:iCs/>
        </w:rPr>
        <w:t xml:space="preserve">Nota de alcance:</w:t>
      </w:r>
      <w:r>
        <w:t xml:space="preserve"> </w:t>
      </w:r>
      <w:r>
        <w:t xml:space="preserve">El valor de estabilidad de SHAP (0.948) corresponde exclusivamente al subgrupo RF/</w:t>
      </w:r>
      <ns1:oMath>
        <ns1:r>
          <ns1:t>N</ns1:t>
        </ns1:r>
        <ns1:r>
          <ns1:rPr>
            <ns1:sty ns1:val="p"/>
          </ns1:rPr>
          <ns1:t>=</ns1:t>
        </ns1:r>
        <ns1:r>
          <ns1:t>100</ns1:t>
        </ns1:r>
      </ns1:oMath>
      <w:r>
        <w:t xml:space="preserve"> </w:t>
      </w:r>
      <w:r>
        <w:t xml:space="preserve">del perfilado P1. La media EXP2 de estabilidad SHAP sobre los cinco modelos y los tres tamaños de muestra es 0.732; la diferencia refleja que KernelSHAP aplicado a SVM y MLP produce estabilidades marcadamente menores que TreeSHAP aplicado a RF, lo que reduce la media global respecto al valor observado aquí.</w:t>
      </w:r>
    </w:p>
    <w:p>
      <w:pPr>
        <w:pStyle w:val="Textoindependiente"/>
        <w:spacing w:line="360" w:lineRule="auto"/>
        <w:jc w:val="both"/>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spacing w:line="360" w:lineRule="auto"/>
        <w:jc w:val="both"/>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ns1:oMath>
        <ns1:r>
          <ns1:rPr>
            <ns1:sty ns1:val="p"/>
          </ns1:rPr>
          <ns1:t>±</ns1:t>
        </ns1:r>
        <ns1:r>
          <ns1:t>0.015</ns1:t>
        </ns1:r>
      </ns1: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del método bajo esta</w:t>
      </w:r>
      <w:r>
        <w:t xml:space="preserve"> </w:t>
      </w:r>
      <w:r>
        <w:t xml:space="preserve">configuración, no de la irreproducibilidad del protocolo.</w:t>
      </w:r>
    </w:p>
    <w:p>
      <w:pPr>
        <w:pStyle w:val="Textoindependiente"/>
        <w:spacing w:line="360" w:lineRule="auto"/>
        <w:jc w:val="both"/>
      </w:pPr>
      <w:r>
        <w:t xml:space="preserve">Para la generalización global, el CV en fidelidad agrupando todas las</w:t>
      </w:r>
      <w:r>
        <w:t xml:space="preserve"> </w:t>
      </w:r>
      <w:r>
        <w:t xml:space="preserve">ejecuciones calificadas de cada método es de 11.4% (SHAP) y 12.0% (LIME) —es</w:t>
      </w:r>
      <w:r>
        <w:t xml:space="preserve"> </w:t>
      </w:r>
      <w:r>
        <w:t xml:space="preserve">decir, SHAP es además el más reproducible de los dos, no el más disperso—,</w:t>
      </w:r>
      <w:r>
        <w:t xml:space="preserve"> </w:t>
      </w:r>
      <w:r>
        <w:t xml:space="preserve">confirmando que la variabilidad métrica debida a la aleatoriedad de la semilla</w:t>
      </w:r>
      <w:r>
        <w:t xml:space="preserve"> </w:t>
      </w:r>
      <w:r>
        <w:t xml:space="preserve">es controlada y uniforme, y que ambos valores quedan por debajo del umbral del</w:t>
      </w:r>
      <w:r>
        <w:t xml:space="preserve"> </w:t>
      </w:r>
      <w:r>
        <w:t xml:space="preserve">15% fijado en P1.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16"/>
    <w:bookmarkStart w:id="121" w:name="sec-perfiles"/>
    <w:p>
      <w:pPr>
        <w:pStyle w:val="Ttulo2"/>
        <w:spacing w:line="360" w:lineRule="auto"/>
        <w:jc w:val="both"/>
      </w:pPr>
      <w:r>
        <w:t xml:space="preserve">Perfil multidimensional por método</w:t>
      </w:r>
    </w:p>
    <w:p>
      <w:pPr>
        <w:pStyle w:val="FirstParagraph"/>
        <w:spacing w:line="360" w:lineRule="auto"/>
        <w:jc w:val="bot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17" w:name="shap"/>
    <w:p>
      <w:pPr>
        <w:pStyle w:val="Ttulo3"/>
        <w:spacing w:line="360" w:lineRule="auto"/>
        <w:jc w:val="both"/>
      </w:pPr>
      <w:r>
        <w:t xml:space="preserve">SHAP</w:t>
      </w:r>
    </w:p>
    <w:p>
      <w:pPr>
        <w:pStyle w:val="FirstParagraph"/>
        <w:spacing w:line="360" w:lineRule="auto"/>
        <w:jc w:val="both"/>
      </w:pPr>
      <w:r>
        <w:t xml:space="preserve">SHAP presenta el perfil más equilibrado y favorable de los cuatro métodos.</w:t>
      </w:r>
      <w:r>
        <w:t xml:space="preserve"> </w:t>
      </w:r>
      <w:r>
        <w:t xml:space="preserve">Sus medias consolidadas sobre las 75 ejecuciones calificadas son:</w:t>
      </w:r>
      <w:r>
        <w:t xml:space="preserve"> </w:t>
      </w:r>
      <w:r>
        <w:t xml:space="preserve">fidelidad = 0.808, estabilidad = 0.732, parsimonia = 0.226, brecha de</w:t>
      </w:r>
      <w:r>
        <w:t xml:space="preserve"> </w:t>
      </w:r>
      <w:r>
        <w:t xml:space="preserve">fidelidad = 0.380, coste = 11,708 ms. El ratio activo más alto de todos los</w:t>
      </w:r>
      <w:r>
        <w:t xml:space="preserve"> </w:t>
      </w:r>
      <w:r>
        <w:t xml:space="preserve">métodos (0.226 frente a 0.085 de LIME) refleja que SHAP puede distribuir</w:t>
      </w:r>
      <w:r>
        <w:t xml:space="preserve"> </w:t>
      </w:r>
      <w:r>
        <w:t xml:space="preserve">importancias entre un mayor número de características cuando el modelo así lo</w:t>
      </w:r>
      <w:r>
        <w:t xml:space="preserve"> </w:t>
      </w:r>
      <w:r>
        <w:t xml:space="preserve">requiere, lo que es un reflejo adecuado de la complejidad real del modelo; por</w:t>
      </w:r>
      <w:r>
        <w:t xml:space="preserve"> </w:t>
      </w:r>
      <w:r>
        <w:t xml:space="preserve">la dirección de la métrica (§sec-metricas), esto significa que SHAP es el</w:t>
      </w:r>
      <w:r>
        <w:t xml:space="preserve"> </w:t>
      </w:r>
      <w:r>
        <w:t xml:space="preserve">método</w:t>
      </w:r>
      <w:r>
        <w:t xml:space="preserve"> </w:t>
      </w:r>
      <w:r>
        <w:rPr>
          <w:i/>
          <w:iCs/>
        </w:rPr>
        <w:t xml:space="preserve">menos</w:t>
      </w:r>
      <w:r>
        <w:t xml:space="preserve"> </w:t>
      </w:r>
      <w:r>
        <w:t xml:space="preserve">parsimonioso del benchmark.</w:t>
      </w:r>
    </w:p>
    <w:p>
      <w:pPr>
        <w:pStyle w:val="Textoindependiente"/>
        <w:spacing w:line="360" w:lineRule="auto"/>
        <w:jc w:val="both"/>
      </w:pPr>
      <w:r>
        <w:t xml:space="preserve">El coste es la dimensión adversa de SHAP. Todas las cifras de coste de esta</w:t>
      </w:r>
      <w:r>
        <w:t xml:space="preserve"> </w:t>
      </w:r>
      <w:r>
        <w:t xml:space="preserve">sección son medias por instancia agregadas a nivel de ejecución</w:t>
      </w:r>
      <w:r>
        <w:t xml:space="preserve"> </w:t>
      </w:r>
      <w:r>
        <w:t xml:space="preserve">(instancia → ejecución), la misma unidad usada en los contrastes pareados. La</w:t>
      </w:r>
      <w:r>
        <w:t xml:space="preserve"> </w:t>
      </w:r>
      <w:r>
        <w:t xml:space="preserve">media de 11,708 ms esconde una distribución fuertemente asimétrica: la mediana</w:t>
      </w:r>
      <w:r>
        <w:t xml:space="preserve"> </w:t>
      </w:r>
      <w:r>
        <w:t xml:space="preserve">por ejecución es de solo 684 ms, y la heterogeneidad entre familias de modelos</w:t>
      </w:r>
      <w:r>
        <w:t xml:space="preserve"> </w:t>
      </w:r>
      <w:r>
        <w:t xml:space="preserve">alcanza tres órdenes de magnitud —para XGBoost, TreeSHAP opera en ~21 ms de</w:t>
      </w:r>
      <w:r>
        <w:t xml:space="preserve"> </w:t>
      </w:r>
      <w:r>
        <w:t xml:space="preserve">media (mediana 18 ms), mientras que KernelSHAP sobre SVM requiere ~54,231 ms.</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spacing w:line="360" w:lineRule="auto"/>
        <w:jc w:val="both"/>
      </w:pPr>
      <w:r>
        <w:t xml:space="preserve">Por modelo, los picos de fidelidad se observan en logreg (0.946) y SVM (0.882),</w:t>
      </w:r>
      <w:r>
        <w:t xml:space="preserve"> </w:t>
      </w:r>
      <w:r>
        <w:t xml:space="preserve">donde la linealidad o la estructura de margen del modelo facilita la aproximación</w:t>
      </w:r>
      <w:r>
        <w:t xml:space="preserve"> </w:t>
      </w:r>
      <w:r>
        <w:t xml:space="preserve">local por valores de Shapley. Las fidelidades más bajas se registran en MLP</w:t>
      </w:r>
      <w:r>
        <w:t xml:space="preserve"> </w:t>
      </w:r>
      <w:r>
        <w:t xml:space="preserve">(0.725) y RF (0.729), coherente con la complejidad de sus superficies de</w:t>
      </w:r>
      <w:r>
        <w:t xml:space="preserve"> </w:t>
      </w:r>
      <w:r>
        <w:t xml:space="preserve">decisión. XGBoost presenta el balance óptimo calidad-coste: fidelidad 0.759 con</w:t>
      </w:r>
      <w:r>
        <w:t xml:space="preserve"> </w:t>
      </w:r>
      <w:r>
        <w:t xml:space="preserve">un coste medio de 21 ms.</w:t>
      </w:r>
    </w:p>
    <w:bookmarkEnd w:id="117"/>
    <w:bookmarkStart w:id="118" w:name="lime"/>
    <w:p>
      <w:pPr>
        <w:pStyle w:val="Ttulo3"/>
        <w:spacing w:line="360" w:lineRule="auto"/>
        <w:jc w:val="both"/>
      </w:pPr>
      <w:r>
        <w:t xml:space="preserve">LIME</w:t>
      </w:r>
    </w:p>
    <w:p>
      <w:pPr>
        <w:pStyle w:val="FirstParagraph"/>
        <w:spacing w:line="360" w:lineRule="auto"/>
        <w:jc w:val="both"/>
      </w:pPr>
      <w:r>
        <w:t xml:space="preserve">LIME es el método más económico en coste (media 3,661 ms, mediana por ejecución</w:t>
      </w:r>
      <w:r>
        <w:t xml:space="preserve"> </w:t>
      </w:r>
      <w:r>
        <w:t xml:space="preserve">65.7 ms, con medias por familia de modelo de 52 ms en MLP a 17,620 ms en SVM),</w:t>
      </w:r>
      <w:r>
        <w:t xml:space="preserve"> </w:t>
      </w:r>
      <w:r>
        <w:t xml:space="preserve">con una fidelidad media moderada (0.560) y ratio activo bajo y consistente</w:t>
      </w:r>
      <w:r>
        <w:t xml:space="preserve"> </w:t>
      </w:r>
      <w:r>
        <w:t xml:space="preserve">(0.085 en todos los modelos, por diseño), es decir, el método más parsimonioso</w:t>
      </w:r>
      <w:r>
        <w:t xml:space="preserve"> </w:t>
      </w:r>
      <w:r>
        <w:t xml:space="preserve">del benchmark.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spacing w:line="360" w:lineRule="auto"/>
        <w:jc w:val="both"/>
      </w:pPr>
      <w:r>
        <w:t xml:space="preserve">La limitación principal de LIME en este benchmark es su estabilidad casi nula</w:t>
      </w:r>
      <w:r>
        <w:t xml:space="preserve"> </w:t>
      </w:r>
      <w:r>
        <w:t xml:space="preserve">(0.014) bajo la configuración de referencia.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and Verbert 2024)</w:t>
      </w:r>
      <w:r>
        <w:t xml:space="preserve">. En los datos de este benchmark, esta inestabilidad se</w:t>
      </w:r>
      <w:r>
        <w:t xml:space="preserve"> </w:t>
      </w:r>
      <w:r>
        <w:t xml:space="preserve">documentó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limita el uso de LIME como método de referencia en contextos donde se requiere</w:t>
      </w:r>
      <w:r>
        <w:t xml:space="preserve"> </w:t>
      </w:r>
      <w:r>
        <w:t xml:space="preserve">consistencia explicativa, como auditoría, decisiones de alto riesgo o</w:t>
      </w:r>
      <w:r>
        <w:t xml:space="preserve"> </w:t>
      </w:r>
      <w:r>
        <w:t xml:space="preserve">comparación entre instancias.</w:t>
      </w:r>
    </w:p>
    <w:bookmarkEnd w:id="118"/>
    <w:bookmarkStart w:id="119" w:name="anchors"/>
    <w:p>
      <w:pPr>
        <w:pStyle w:val="Ttulo3"/>
        <w:spacing w:line="360" w:lineRule="auto"/>
        <w:jc w:val="both"/>
      </w:pPr>
      <w:r>
        <w:t xml:space="preserve">Anchors</w:t>
      </w:r>
    </w:p>
    <w:p>
      <w:pPr>
        <w:pStyle w:val="FirstParagraph"/>
        <w:spacing w:line="360" w:lineRule="auto"/>
        <w:jc w:val="both"/>
      </w:pPr>
      <w:r>
        <w:t xml:space="preserve">Anchors tiene una cobertura de solo 57 celdas calificadas (76.0%), lo que</w:t>
      </w:r>
      <w:r>
        <w:t xml:space="preserve"> </w:t>
      </w:r>
      <w:r>
        <w:t xml:space="preserve">refleja que en los estratos de mayor incertidumbre el algoritmo de búsqueda de</w:t>
      </w:r>
      <w:r>
        <w:t xml:space="preserve"> </w:t>
      </w:r>
      <w:r>
        <w:t xml:space="preserve">reglas no converge a una regla con la precisión mínima exigida. Sobre las 57</w:t>
      </w:r>
      <w:r>
        <w:t xml:space="preserve"> </w:t>
      </w:r>
      <w:r>
        <w:t xml:space="preserve">ejecuciones calificadas, la fidelidad media es 0.388 y la estabilidad 0.052,</w:t>
      </w:r>
      <w:r>
        <w:t xml:space="preserve"> </w:t>
      </w:r>
      <w:r>
        <w:t xml:space="preserve">ambas inferiores a las de SHAP y LIME. Estos valores son medias a nivel de</w:t>
      </w:r>
      <w:r>
        <w:t xml:space="preserve"> </w:t>
      </w:r>
      <w:r>
        <w:t xml:space="preserve">ejecución; las medias a nivel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que alimentan el test de</w:t>
      </w:r>
      <w:r>
        <w:t xml:space="preserve"> </w:t>
      </w:r>
      <w:r>
        <w:t xml:space="preserve">Friedman son 0.389 y 0.043 (</w:t>
      </w:r>
      <w:hyperlink w:anchor="tbl-friedman-fidelity">
        <w:r>
          <w:rPr>
            <w:rStyle w:val="Hipervnculo"/>
          </w:rPr>
          <w:t xml:space="preserve">Table 5.2</w:t>
        </w:r>
      </w:hyperlink>
      <w:r>
        <w:t xml:space="preserve">,</w:t>
      </w:r>
      <w:r>
        <w:t xml:space="preserve"> </w:t>
      </w:r>
      <w:hyperlink w:anchor="tbl-friedman-stability">
        <w:r>
          <w:rPr>
            <w:rStyle w:val="Hipervnculo"/>
          </w:rPr>
          <w:t xml:space="preserve">Table 5.4</w:t>
        </w:r>
      </w:hyperlink>
      <w:r>
        <w:t xml:space="preserve">). La</w:t>
      </w:r>
      <w:r>
        <w:t xml:space="preserve"> </w:t>
      </w:r>
      <w:r>
        <w:t xml:space="preserve">discrepancia en estabilidad —0.052 frente a 0.043— es específica de Anchors y</w:t>
      </w:r>
      <w:r>
        <w:t xml:space="preserve"> </w:t>
      </w:r>
      <w:r>
        <w:t xml:space="preserve">refleja que su cobertura se distribuye de forma desigual entre bloques, de modo</w:t>
      </w:r>
      <w:r>
        <w:t xml:space="preserve"> </w:t>
      </w:r>
      <w:r>
        <w:t xml:space="preserve">que promediar ejecuciones y promediar bloques no son operaciones equivalentes;</w:t>
      </w:r>
      <w:r>
        <w:t xml:space="preserve"> </w:t>
      </w:r>
      <w:r>
        <w:t xml:space="preserve">para SHAP y LIME, con cobertura completa, ambas agregaciones coinciden. El coste es el más elevado del benchmark y muy</w:t>
      </w:r>
      <w:r>
        <w:t xml:space="preserve"> </w:t>
      </w:r>
      <w:r>
        <w:t xml:space="preserve">variable: media global de 38,159 ms, con medias por familia de modelo desde</w:t>
      </w:r>
      <w:r>
        <w:t xml:space="preserve"> </w:t>
      </w:r>
      <w:r>
        <w:t xml:space="preserve">2,918 ms para logreg hasta 48,955 ms para RF y 57,705 ms para XGBoost.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spacing w:line="360" w:lineRule="auto"/>
        <w:jc w:val="both"/>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19"/>
    <w:bookmarkStart w:id="120" w:name="dice"/>
    <w:p>
      <w:pPr>
        <w:pStyle w:val="Ttulo3"/>
        <w:spacing w:line="360" w:lineRule="auto"/>
        <w:jc w:val="both"/>
      </w:pPr>
      <w:r>
        <w:t xml:space="preserve">DiCE</w:t>
      </w:r>
    </w:p>
    <w:p>
      <w:pPr>
        <w:pStyle w:val="FirstParagraph"/>
        <w:spacing w:line="360" w:lineRule="auto"/>
        <w:jc w:val="bot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spacing w:line="360" w:lineRule="auto"/>
        <w:jc w:val="both"/>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Su coste medio</w:t>
      </w:r>
      <w:r>
        <w:t xml:space="preserve"> </w:t>
      </w:r>
      <w:r>
        <w:t xml:space="preserve">(28,209 ms; mediana por ejecución 11,880 ms) lo sitúa por debajo de Anchors</w:t>
      </w:r>
      <w:r>
        <w:t xml:space="preserve"> </w:t>
      </w:r>
      <w:r>
        <w:t xml:space="preserve">(38,159 ms) pero muy por encima de SHAP y LIME.</w:t>
      </w:r>
    </w:p>
    <w:bookmarkEnd w:id="120"/>
    <w:bookmarkEnd w:id="121"/>
    <w:bookmarkStart w:id="124" w:name="sec-transversal"/>
    <w:p>
      <w:pPr>
        <w:pStyle w:val="Ttulo2"/>
        <w:spacing w:line="360" w:lineRule="auto"/>
        <w:jc w:val="both"/>
      </w:pPr>
      <w:r>
        <w:t xml:space="preserve">Análisis transversal: efecto del modelo base y del tamaño de muestra</w:t>
      </w:r>
    </w:p>
    <w:bookmarkStart w:id="122" w:name="Xd0dc4cebb30e80d859f681a41b6366a7a2cd5a6"/>
    <w:p>
      <w:pPr>
        <w:pStyle w:val="Ttulo3"/>
        <w:spacing w:line="360" w:lineRule="auto"/>
        <w:jc w:val="both"/>
      </w:pPr>
      <w:r>
        <w:t xml:space="preserve">Efecto del modelo base sobre las métricas</w:t>
      </w:r>
    </w:p>
    <w:p>
      <w:pPr>
        <w:pStyle w:val="FirstParagraph"/>
        <w:spacing w:line="360" w:lineRule="auto"/>
        <w:jc w:val="both"/>
      </w:pPr>
      <w:r>
        <w:t xml:space="preserve">El modelo base influye significativamente sobre los valores absolutos de las</w:t>
      </w:r>
      <w:r>
        <w:t xml:space="preserve"> </w:t>
      </w:r>
      <w:r>
        <w:t xml:space="preserve">métricas, aunque el ordenamiento entre métodos se mantiene constante. Todas las</w:t>
      </w:r>
      <w:r>
        <w:t xml:space="preserve"> </w:t>
      </w:r>
      <w:r>
        <w:t xml:space="preserve">cifras de este apartado son medias por familia de modelo sobre las ejecuciones</w:t>
      </w:r>
      <w:r>
        <w:t xml:space="preserve"> </w:t>
      </w:r>
      <w:r>
        <w:t xml:space="preserve">calificadas (semillas y tamaños de muestra agregados); los valores de celda</w:t>
      </w:r>
      <w:r>
        <w:t xml:space="preserve"> </w:t>
      </w:r>
      <w:r>
        <w:t xml:space="preserve">única correspondientes a los estudios de sensibilidad se reportan por separado</w:t>
      </w:r>
      <w:r>
        <w:t xml:space="preserve"> </w:t>
      </w:r>
      <w:r>
        <w:t xml:space="preserve">en el Apéndice C y no deben leerse como resúmenes por modelo. Las diferencias</w:t>
      </w:r>
      <w:r>
        <w:t xml:space="preserve"> </w:t>
      </w:r>
      <w:r>
        <w:t xml:space="preserve">más notables son:</w:t>
      </w:r>
    </w:p>
    <w:p>
      <w:pPr>
        <w:pStyle w:val="Textoindependiente"/>
        <w:spacing w:line="360" w:lineRule="auto"/>
        <w:jc w:val="both"/>
      </w:pPr>
      <w:r>
        <w:rPr>
          <w:b/>
          <w:bCs/>
        </w:rPr>
        <w:t xml:space="preserve">XGBoost</w:t>
      </w:r>
      <w:r>
        <w:t xml:space="preserve"> </w:t>
      </w:r>
      <w:r>
        <w:t xml:space="preserve">presenta el perfil calidad-coste más favorable para SHAP: fidelidad</w:t>
      </w:r>
      <w:r>
        <w:t xml:space="preserve"> </w:t>
      </w:r>
      <w:r>
        <w:t xml:space="preserve">0.759 con un coste medio de 21 ms (mediana 18 ms). Esto se debe al uso de</w:t>
      </w:r>
      <w:r>
        <w:t xml:space="preserve"> </w:t>
      </w:r>
      <w:r>
        <w:t xml:space="preserve">TreeSHAP</w:t>
      </w:r>
      <w:r>
        <w:t xml:space="preserve"> </w:t>
      </w:r>
      <w:r>
        <w:t xml:space="preserve">(Lundberg 2017)</w:t>
      </w:r>
      <w:r>
        <w:t xml:space="preserve">, que calcula valores exactos de Shapley aprovechando la</w:t>
      </w:r>
      <w:r>
        <w:t xml:space="preserve"> </w:t>
      </w:r>
      <w:r>
        <w:t xml:space="preserve">estructura de árbol y no requiere muestreo ni perturbación. Es la única familia</w:t>
      </w:r>
      <w:r>
        <w:t xml:space="preserve"> </w:t>
      </w:r>
      <w:r>
        <w:t xml:space="preserve">de modelo donde SHAP tiene un coste computacional inferior al de LIME</w:t>
      </w:r>
      <w:r>
        <w:t xml:space="preserve"> </w:t>
      </w:r>
      <w:r>
        <w:t xml:space="preserve">(122 ms de media, mediana 62 ms).</w:t>
      </w:r>
    </w:p>
    <w:p>
      <w:pPr>
        <w:pStyle w:val="Textoindependiente"/>
        <w:spacing w:line="360" w:lineRule="auto"/>
        <w:jc w:val="both"/>
      </w:pPr>
      <w:r>
        <w:rPr>
          <w:b/>
          <w:bCs/>
        </w:rPr>
        <w:t xml:space="preserve">SVM</w:t>
      </w:r>
      <w:r>
        <w:t xml:space="preserve"> </w:t>
      </w:r>
      <w:r>
        <w:t xml:space="preserve">es el modelo con el coste SHAP más elevado (54,231 ms de media).</w:t>
      </w:r>
      <w:r>
        <w:t xml:space="preserve"> </w:t>
      </w:r>
      <w:r>
        <w:t xml:space="preserve">KernelSHAP requiere resolver un problema de optimización cuadrática por</w:t>
      </w:r>
      <w:r>
        <w:t xml:space="preserve"> </w:t>
      </w:r>
      <w:r>
        <w:t xml:space="preserve">instancia, que escala con el número de muestras de referencia; el Apéndice C</w:t>
      </w:r>
      <w:r>
        <w:t xml:space="preserve"> </w:t>
      </w:r>
      <w:r>
        <w:t xml:space="preserve">(</w:t>
      </w:r>
      <w:hyperlink w:anchor="tbl-appendix-shap-sensitivity">
        <w:r>
          <w:rPr>
            <w:rStyle w:val="Hipervnculo"/>
          </w:rPr>
          <w:t xml:space="preserve">Table 7.9</w:t>
        </w:r>
      </w:hyperlink>
      <w:r>
        <w:t xml:space="preserve">) cuantifica ese escalado en una celda concreta</w:t>
      </w:r>
      <w:r>
        <w:t xml:space="preserve"> </w:t>
      </w:r>
      <w:r>
        <w:t xml:space="preserve">(SVM, semilla 42,</w:t>
      </w:r>
      <w:r>
        <w:t xml:space="preserve"> </w:t>
      </w:r>
      <ns1:oMath>
        <ns1:r>
          <ns1:t>N</ns1:t>
        </ns1:r>
        <ns1:r>
          <ns1:rPr>
            <ns1:sty ns1:val="p"/>
          </ns1:rPr>
          <ns1:t>=</ns1:t>
        </ns1:r>
        <ns1:r>
          <ns1:t>100</ns1:t>
        </ns1:r>
      </ns1:oMath>
      <w:r>
        <w:t xml:space="preserve">), donde el coste pasa de 41,233 ms con</w:t>
      </w:r>
      <w:r>
        <w:t xml:space="preserve"> </w:t>
      </w:r>
      <ns1:oMath>
        <ns1:r>
          <ns1:t>k</ns1:t>
        </ns1:r>
        <ns1:r>
          <ns1:rPr>
            <ns1:sty ns1:val="p"/>
          </ns1:rPr>
          <ns1:t>=</ns1:t>
        </ns1:r>
        <ns1:r>
          <ns1:t>25</ns1:t>
        </ns1:r>
      </ns1:oMath>
      <w:r>
        <w:t xml:space="preserve"> </w:t>
      </w:r>
      <w:r>
        <w:t xml:space="preserve">a</w:t>
      </w:r>
      <w:r>
        <w:t xml:space="preserve"> </w:t>
      </w:r>
      <w:r>
        <w:t xml:space="preserve">614,820 ms con</w:t>
      </w:r>
      <w:r>
        <w:t xml:space="preserve"> </w:t>
      </w:r>
      <ns1:oMath>
        <ns1:r>
          <ns1:t>k</ns1:t>
        </ns1:r>
        <ns1:r>
          <ns1:rPr>
            <ns1:sty ns1:val="p"/>
          </ns1:rPr>
          <ns1:t>=</ns1:t>
        </ns1:r>
        <ns1:r>
          <ns1:t>100</ns1:t>
        </ns1:r>
      </ns1:oMath>
      <w:r>
        <w:t xml:space="preserve">. La fidelidad media de SHAP sobre SVM (0.882) es la</w:t>
      </w:r>
      <w:r>
        <w:t xml:space="preserve"> </w:t>
      </w:r>
      <w:r>
        <w:t xml:space="preserve">segunda más alta del benchmark. Para SVM, Anchors también es costoso</w:t>
      </w:r>
      <w:r>
        <w:t xml:space="preserve"> </w:t>
      </w:r>
      <w:r>
        <w:t xml:space="preserve">(37,415 ms de media) debido al espacio de búsqueda fragmentado.</w:t>
      </w:r>
    </w:p>
    <w:p>
      <w:pPr>
        <w:pStyle w:val="Textoindependiente"/>
        <w:spacing w:line="360" w:lineRule="auto"/>
        <w:jc w:val="both"/>
      </w:pPr>
      <w:r>
        <w:rPr>
          <w:b/>
          <w:bCs/>
        </w:rPr>
        <w:t xml:space="preserve">Regresión logística (logreg)</w:t>
      </w:r>
      <w:r>
        <w:t xml:space="preserve"> </w:t>
      </w:r>
      <w:r>
        <w:t xml:space="preserve">produce la fidelidad SHAP más alta (0.946) y,</w:t>
      </w:r>
      <w:r>
        <w:t xml:space="preserve"> </w:t>
      </w:r>
      <w:r>
        <w:t xml:space="preserve">entre los modelos no basados en árboles, un coste SHAP bajo (936 ms de media).</w:t>
      </w:r>
      <w:r>
        <w:t xml:space="preserve"> </w:t>
      </w:r>
      <w:r>
        <w:t xml:space="preserve">La linealidad de logreg garantiza que las aproximaciones locales de Shapley son</w:t>
      </w:r>
      <w:r>
        <w:t xml:space="preserve"> </w:t>
      </w:r>
      <w:r>
        <w:t xml:space="preserve">globalmente coherentes.</w:t>
      </w:r>
    </w:p>
    <w:p>
      <w:pPr>
        <w:pStyle w:val="Textoindependiente"/>
        <w:spacing w:line="360" w:lineRule="auto"/>
        <w:jc w:val="both"/>
      </w:pPr>
      <w:r>
        <w:rPr>
          <w:b/>
          <w:bCs/>
        </w:rPr>
        <w:t xml:space="preserve">MLP</w:t>
      </w:r>
      <w:r>
        <w:t xml:space="preserve"> </w:t>
      </w:r>
      <w:r>
        <w:t xml:space="preserve">es el modelo con fidelidades más bajas en todos los métodos: SHAP=0.725,</w:t>
      </w:r>
      <w:r>
        <w:t xml:space="preserve"> </w:t>
      </w:r>
      <w:r>
        <w:t xml:space="preserve">LIME=0.541, Anchors=0.299, DiCE=0.026. La complejidad del espacio de gradientes</w:t>
      </w:r>
      <w:r>
        <w:t xml:space="preserve"> </w:t>
      </w:r>
      <w:r>
        <w:t xml:space="preserve">de redes profundas dificulta la aproximación local de cualquier explicador</w:t>
      </w:r>
      <w:r>
        <w:t xml:space="preserve"> </w:t>
      </w:r>
      <w:r>
        <w:t xml:space="preserve">post-hoc. El coste de Anchors sobre MLP (15,564 ms de media) es intermedio</w:t>
      </w:r>
      <w:r>
        <w:t xml:space="preserve"> </w:t>
      </w:r>
      <w:r>
        <w:t xml:space="preserve">dentro de ese método, pero la baja fidelidad restringe su uso como evidencia</w:t>
      </w:r>
      <w:r>
        <w:t xml:space="preserve"> </w:t>
      </w:r>
      <w:r>
        <w:t xml:space="preserve">primaria en auditoría.</w:t>
      </w:r>
    </w:p>
    <w:bookmarkEnd w:id="122"/>
    <w:bookmarkStart w:id="123" w:name="X4b1cce5291d3b83ee4e2fe33ac88be27315f5a8"/>
    <w:p>
      <w:pPr>
        <w:pStyle w:val="Ttulo3"/>
        <w:spacing w:line="360" w:lineRule="auto"/>
        <w:jc w:val="both"/>
      </w:pPr>
      <w:r>
        <w:t xml:space="preserve">Efecto del tamaño de muestra estratificado</w:t>
      </w:r>
    </w:p>
    <w:p>
      <w:pPr>
        <w:pStyle w:val="FirstParagraph"/>
        <w:spacing w:line="360" w:lineRule="auto"/>
        <w:jc w:val="both"/>
      </w:pPr>
      <w:r>
        <w:t xml:space="preserve">El análisis del efecto de</w:t>
      </w:r>
      <w:r>
        <w:t xml:space="preserve"> </w:t>
      </w:r>
      <ns1:oMath>
        <ns1:r>
          <ns1:t>N</ns1:t>
        </ns1:r>
      </ns1: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ns1:oMath>
        <ns1:r>
          <ns1:t>N</ns1:t>
        </ns1:r>
      </ns1:oMath>
      <w:r>
        <w:t xml:space="preserve"> </w:t>
      </w:r>
      <w:r>
        <w:t xml:space="preserve">son:</w:t>
      </w:r>
      <w:r>
        <w:t xml:space="preserve"> </w:t>
      </w:r>
      <ns1:oMath>
        <ns1:r>
          <ns1:t>N</ns1:t>
        </ns1:r>
        <ns1:r>
          <ns1:rPr>
            <ns1:sty ns1:val="p"/>
          </ns1:rPr>
          <ns1:t>=</ns1:t>
        </ns1:r>
        <ns1:r>
          <ns1:t>50</ns1:t>
        </ns1:r>
      </ns1:oMath>
      <w:r>
        <w:t xml:space="preserve">: 0.809,</w:t>
      </w:r>
      <w:r>
        <w:t xml:space="preserve"> </w:t>
      </w:r>
      <ns1:oMath>
        <ns1:r>
          <ns1:t>N</ns1:t>
        </ns1:r>
        <ns1:r>
          <ns1:rPr>
            <ns1:sty ns1:val="p"/>
          </ns1:rPr>
          <ns1:t>=</ns1:t>
        </ns1:r>
        <ns1:r>
          <ns1:t>100</ns1:t>
        </ns1:r>
      </ns1:oMath>
      <w:r>
        <w:t xml:space="preserve">: 0.809,</w:t>
      </w:r>
      <w:r>
        <w:t xml:space="preserve"> </w:t>
      </w:r>
      <ns1:oMath>
        <ns1:r>
          <ns1:t>N</ns1:t>
        </ns1:r>
        <ns1:r>
          <ns1:rPr>
            <ns1:sty ns1:val="p"/>
          </ns1:rPr>
          <ns1:t>=</ns1:t>
        </ns1:r>
        <ns1:r>
          <ns1:t>200</ns1:t>
        </ns1:r>
      </ns1:oMath>
      <w:r>
        <w:t xml:space="preserve">: 0.807,</w:t>
      </w:r>
      <w:r>
        <w:t xml:space="preserve"> </w:t>
      </w:r>
      <w:r>
        <w:t xml:space="preserve">con diferencias absolutas inferiores a 0.002. Para LIME:</w:t>
      </w:r>
      <w:r>
        <w:t xml:space="preserve"> </w:t>
      </w:r>
      <ns1:oMath>
        <ns1:r>
          <ns1:t>N</ns1:t>
        </ns1:r>
        <ns1:r>
          <ns1:rPr>
            <ns1:sty ns1:val="p"/>
          </ns1:rPr>
          <ns1:t>=</ns1:t>
        </ns1:r>
        <ns1:r>
          <ns1:t>50</ns1:t>
        </ns1:r>
      </ns1:oMath>
      <w:r>
        <w:t xml:space="preserve">: 0.559,</w:t>
      </w:r>
      <w:r>
        <w:t xml:space="preserve"> </w:t>
      </w:r>
      <ns1:oMath>
        <ns1:r>
          <ns1:t>N</ns1:t>
        </ns1:r>
        <ns1:r>
          <ns1:rPr>
            <ns1:sty ns1:val="p"/>
          </ns1:rPr>
          <ns1:t>=</ns1:t>
        </ns1:r>
        <ns1:r>
          <ns1:t>100</ns1:t>
        </ns1:r>
      </ns1:oMath>
      <w:r>
        <w:t xml:space="preserve">: 0.561,</w:t>
      </w:r>
      <w:r>
        <w:t xml:space="preserve"> </w:t>
      </w:r>
      <ns1:oMath>
        <ns1:r>
          <ns1:t>N</ns1:t>
        </ns1:r>
        <ns1:r>
          <ns1:rPr>
            <ns1:sty ns1:val="p"/>
          </ns1:rPr>
          <ns1:t>=</ns1:t>
        </ns1:r>
        <ns1:r>
          <ns1:t>200</ns1:t>
        </ns1:r>
      </ns1:oMath>
      <w:r>
        <w:t xml:space="preserve">: 0.562. Estas diferencias son inferiores a un punto</w:t>
      </w:r>
      <w:r>
        <w:t xml:space="preserve"> </w:t>
      </w:r>
      <w:r>
        <w:t xml:space="preserve">porcentual y no muestran tendencia monótona.</w:t>
      </w:r>
    </w:p>
    <w:p>
      <w:pPr>
        <w:pStyle w:val="Textoindependiente"/>
        <w:spacing w:line="360" w:lineRule="auto"/>
        <w:jc w:val="both"/>
      </w:pPr>
      <w:r>
        <w:t xml:space="preserve">La invarianza de las métricas ante el tamaño de muestra tiene dos implicaciones:</w:t>
      </w:r>
      <w:r>
        <w:t xml:space="preserve"> </w:t>
      </w:r>
      <w:r>
        <w:t xml:space="preserve">(1) la estimación por estrato converge rápidamente, de modo que</w:t>
      </w:r>
      <w:r>
        <w:t xml:space="preserve"> </w:t>
      </w:r>
      <ns1:oMath>
        <ns1:r>
          <ns1:t>N</ns1:t>
        </ns1:r>
        <ns1:r>
          <ns1:rPr>
            <ns1:sty ns1:val="p"/>
          </ns1:rPr>
          <ns1:t>=</ns1:t>
        </ns1:r>
        <ns1:r>
          <ns1:t>50</ns1:t>
        </ns1:r>
      </ns1: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ns1:oMath>
        <ns1:r>
          <ns1:t>N</ns1:t>
        </ns1:r>
      </ns1:oMath>
      <w:r>
        <w:t xml:space="preserve"> </w:t>
      </w:r>
      <w:r>
        <w:t xml:space="preserve">en LIME (estructura lineal)</w:t>
      </w:r>
      <w:r>
        <w:t xml:space="preserve"> </w:t>
      </w:r>
      <w:r>
        <w:t xml:space="preserve">pero no en SHAP para modelos de árbol (TreeSHAP escala logarítmicamente).</w:t>
      </w:r>
    </w:p>
    <w:bookmarkEnd w:id="123"/>
    <w:bookmarkEnd w:id="124"/>
    <w:bookmarkStart w:id="126" w:name="sec-trazabilidad-resultados"/>
    <w:p>
      <w:pPr>
        <w:pStyle w:val="Ttulo2"/>
        <w:spacing w:line="360" w:lineRule="auto"/>
        <w:jc w:val="both"/>
      </w:pPr>
      <w:r>
        <w:t xml:space="preserve">Trazabilidad de claims principales</w:t>
      </w:r>
    </w:p>
    <w:p>
      <w:pPr>
        <w:pStyle w:val="FirstParagraph"/>
        <w:spacing w:line="360" w:lineRule="auto"/>
        <w:jc w:val="both"/>
      </w:pPr>
      <w:r>
        <w:t xml:space="preserve">La Tabla</w:t>
      </w:r>
      <w:r>
        <w:t xml:space="preserve"> </w:t>
      </w:r>
      <w:hyperlink w:anchor="tbl-claim-traceability">
        <w:r>
          <w:rPr>
            <w:rStyle w:val="Hipervnculo"/>
          </w:rPr>
          <w:t xml:space="preserve">Table 5.7</w:t>
        </w:r>
      </w:hyperlink>
      <w:r>
        <w:t xml:space="preserve"> </w:t>
      </w:r>
      <w:r>
        <w:t xml:space="preserve">vincula las afirmaciones principales con los</w:t>
      </w:r>
      <w:r>
        <w:t xml:space="preserve"> </w:t>
      </w:r>
      <w:r>
        <w:t xml:space="preserve">artefactos que las sostienen. Esta tabla implementa la puerta 7 de FOM-7 dentro</w:t>
      </w:r>
      <w:r>
        <w:t xml:space="preserve"> </w:t>
      </w:r>
      <w:r>
        <w:t xml:space="preserve">del capítulo de resultados.</w:t>
      </w:r>
    </w:p>
    <w:tbl>
      <w:tblPr>
        <w:tblStyle w:val="Table"/>
        <w:tblW w:type="pct" w:w="5000"/>
        <w:tblLayout w:type="fixed"/>
        <w:tblLook w:firstRow="0" w:lastRow="0" w:firstColumn="0" w:lastColumn="0" w:noHBand="0" w:noVBand="0" w:val="0000"/>
      </w:tblPr>
      <w:tblGrid>
        <w:gridCol w:w="7920"/>
      </w:tblGrid>
      <w:tr>
        <w:tc>
          <w:tcPr/>
          <w:bookmarkStart w:id="125" w:name="tbl-claim-traceability"/>
          <w:p>
            <w:pPr>
              <w:jc w:val="both"/>
              <w:spacing w:line="360" w:lineRule="auto"/>
            </w:pPr>
            <w:pPr>
              <w:jc w:val="left"/>
              <w:spacing w:before="200"/>
              <w:pStyle w:val="ImageCaption"/>
            </w:pPr>
            <w:r>
              <w:t xml:space="preserve">Table 5.7: Trazabilidad de claims, artefactos y alcance inferencial.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Evidencia en tesis</w:t>
                  </w:r>
                </w:p>
              </w:tc>
              <w:tc>
                <w:tcPr/>
                <w:p>
                  <w:pPr>
                    <w:pStyle w:val="Compact"/>
                    <w:jc w:val="both"/>
                    <w:jc w:val="center"/>
                    <w:spacing w:line="360" w:lineRule="auto"/>
                  </w:pPr>
                  <w:r>
                    <w:t xml:space="preserve">Artefacto fuente</w:t>
                  </w:r>
                </w:p>
              </w:tc>
              <w:tc>
                <w:tcPr/>
                <w:p>
                  <w:pPr>
                    <w:pStyle w:val="Compact"/>
                    <w:jc w:val="both"/>
                    <w:jc w:val="center"/>
                    <w:spacing w:line="360" w:lineRule="auto"/>
                  </w:pPr>
                  <w:r>
                    <w:t xml:space="preserve">Script / proceso</w:t>
                  </w:r>
                </w:p>
              </w:tc>
              <w:tc>
                <w:tcPr/>
                <w:p>
                  <w:pPr>
                    <w:pStyle w:val="Compact"/>
                    <w:jc w:val="both"/>
                    <w:jc w:val="center"/>
                    <w:spacing w:line="360" w:lineRule="auto"/>
                  </w:pPr>
                  <w:r>
                    <w:t xml:space="preserve">Alcance</w:t>
                  </w:r>
                </w:p>
              </w:tc>
            </w:tr>
            <w:tr>
              <w:tc>
                <w:tcPr/>
                <w:p>
                  <w:pPr>
                    <w:pStyle w:val="Compact"/>
                    <w:jc w:val="both"/>
                    <w:jc w:val="center"/>
                    <w:spacing w:line="360" w:lineRule="auto"/>
                  </w:pPr>
                  <w:r>
                    <w:t xml:space="preserve">Existen diferencias globales entre métodos en fidelidad</w:t>
                  </w:r>
                </w:p>
              </w:tc>
              <w:tc>
                <w:tcPr/>
                <w:p>
                  <w:pPr>
                    <w:pStyle w:val="Compact"/>
                    <w:jc w:val="both"/>
                    <w:jc w:val="center"/>
                    <w:spacing w:line="360" w:lineRule="auto"/>
                  </w:pPr>
                  <w:r>
                    <w:t xml:space="preserve">Tablas</w:t>
                  </w:r>
                  <w:r>
                    <w:t xml:space="preserve"> </w:t>
                  </w:r>
                  <w:hyperlink w:anchor="tbl-friedman-fidelity">
                    <w:r>
                      <w:rPr>
                        <w:rStyle w:val="Hipervnculo"/>
                      </w:rPr>
                      <w:t xml:space="preserve">Table 5.2</w:t>
                    </w:r>
                  </w:hyperlink>
                  <w:r>
                    <w:t xml:space="preserve"> </w:t>
                  </w:r>
                  <w:r>
                    <w:t xml:space="preserve">y</w:t>
                  </w:r>
                  <w:r>
                    <w:t xml:space="preserve"> </w:t>
                  </w:r>
                  <w:hyperlink w:anchor="tbl-nemenyi-fidelity">
                    <w:r>
                      <w:rPr>
                        <w:rStyle w:val="Hipervnculo"/>
                      </w:rPr>
                      <w:t xml:space="preserve">Table 5.3</w:t>
                    </w:r>
                  </w:hyperlink>
                </w:p>
              </w:tc>
              <w:tc>
                <w:tcPr/>
                <w:p>
                  <w:pPr>
                    <w:pStyle w:val="Compact"/>
                    <w:jc w:val="both"/>
                    <w:jc w:val="center"/>
                    <w:spacing w:line="360" w:lineRule="auto"/>
                  </w:pPr>
                  <w:r>
                    <w:rPr>
                      <w:rStyle w:val="VerbatimChar"/>
                    </w:rPr>
                    <w:t xml:space="preserve">outputs/analysis/paper_a_exp2_stats/friedman_results.csv</w:t>
                  </w:r>
                  <w:r>
                    <w:t xml:space="preserve">,</w:t>
                  </w:r>
                  <w:r>
                    <w:t xml:space="preserve"> </w:t>
                  </w:r>
                  <w:r>
                    <w:rPr>
                      <w:rStyle w:val="VerbatimChar"/>
                    </w:rPr>
                    <w:t xml:space="preserve">nemenyi_fidelity.csv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15 bloques Adult Income, cuatro métodos, cinco modelos</w:t>
                  </w:r>
                </w:p>
              </w:tc>
            </w:tr>
            <w:tr>
              <w:tc>
                <w:tcPr/>
                <w:p>
                  <w:pPr>
                    <w:pStyle w:val="Compact"/>
                    <w:jc w:val="both"/>
                    <w:jc w:val="center"/>
                    <w:spacing w:line="360" w:lineRule="auto"/>
                  </w:pPr>
                  <w:r>
                    <w:t xml:space="preserve">Existen diferencias globales entre métodos en estabilidad</w:t>
                  </w:r>
                </w:p>
              </w:tc>
              <w:tc>
                <w:tcPr/>
                <w:p>
                  <w:pPr>
                    <w:pStyle w:val="Compact"/>
                    <w:jc w:val="both"/>
                    <w:jc w:val="center"/>
                    <w:spacing w:line="360" w:lineRule="auto"/>
                  </w:pPr>
                  <w:r>
                    <w:t xml:space="preserve">Tabla</w:t>
                  </w:r>
                  <w:r>
                    <w:t xml:space="preserve"> </w:t>
                  </w:r>
                  <w:hyperlink w:anchor="tbl-friedman-stability">
                    <w:r>
                      <w:rPr>
                        <w:rStyle w:val="Hipervnculo"/>
                      </w:rPr>
                      <w:t xml:space="preserve">Table 5.4</w:t>
                    </w:r>
                  </w:hyperlink>
                  <w:r>
                    <w:t xml:space="preserve"> </w:t>
                  </w:r>
                  <w:r>
                    <w:t xml:space="preserve">y localización Nemenyi en texto</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nemenyi_stability.csv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Mismo diseño de bloques; estabilidad como similitud coseno</w:t>
                  </w:r>
                </w:p>
              </w:tc>
            </w:tr>
            <w:tr>
              <w:tc>
                <w:tcPr/>
                <w:p>
                  <w:pPr>
                    <w:pStyle w:val="Compact"/>
                    <w:jc w:val="both"/>
                    <w:jc w:val="center"/>
                    <w:spacing w:line="360" w:lineRule="auto"/>
                  </w:pPr>
                  <w:r>
                    <w:t xml:space="preserve">SHAP supera a LIME en fidelidad y estabilidad pero aumenta el coste medio</w:t>
                  </w:r>
                </w:p>
              </w:tc>
              <w:tc>
                <w:tcPr/>
                <w:p>
                  <w:pPr>
                    <w:pStyle w:val="Compact"/>
                    <w:jc w:val="both"/>
                    <w:jc w:val="center"/>
                    <w:spacing w:line="360" w:lineRule="auto"/>
                  </w:pPr>
                  <w:r>
                    <w:t xml:space="preserve">Tabla</w:t>
                  </w:r>
                  <w:r>
                    <w:t xml:space="preserve"> </w:t>
                  </w:r>
                  <w:hyperlink w:anchor="tbl-paired-shap-lime">
                    <w:r>
                      <w:rPr>
                        <w:rStyle w:val="Hipervnculo"/>
                      </w:rPr>
                      <w:t xml:space="preserve">Table 5.5</w:t>
                    </w:r>
                  </w:hyperlink>
                </w:p>
              </w:tc>
              <w:tc>
                <w:tcPr/>
                <w:p>
                  <w:pPr>
                    <w:pStyle w:val="Compact"/>
                    <w:jc w:val="both"/>
                    <w:jc w:val="center"/>
                    <w:spacing w:line="360" w:lineRule="auto"/>
                  </w:pPr>
                  <w:r>
                    <w:rPr>
                      <w:rStyle w:val="VerbatimChar"/>
                    </w:rPr>
                    <w:t xml:space="preserve">wilcoxon_shap_lime_all_models.csv</w:t>
                  </w:r>
                  <w:r>
                    <w:t xml:space="preserve">,</w:t>
                  </w:r>
                  <w:r>
                    <w:t xml:space="preserve"> </w:t>
                  </w:r>
                  <w:r>
                    <w:rPr>
                      <w:rStyle w:val="VerbatimChar"/>
                    </w:rPr>
                    <w:t xml:space="preserve">paired_cells_shap_lime_all_models.csv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75 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no generaliza fuera de Adult/tabular</w:t>
                  </w:r>
                </w:p>
              </w:tc>
            </w:tr>
            <w:tr>
              <w:tc>
                <w:tcPr/>
                <w:p>
                  <w:pPr>
                    <w:pStyle w:val="Compact"/>
                    <w:jc w:val="both"/>
                    <w:jc w:val="center"/>
                    <w:spacing w:line="360" w:lineRule="auto"/>
                  </w:pPr>
                  <w:r>
                    <w:t xml:space="preserve">FOM-7 produce señales reproducibles para métricas principales</w:t>
                  </w:r>
                </w:p>
              </w:tc>
              <w:tc>
                <w:tcPr/>
                <w:p>
                  <w:pPr>
                    <w:pStyle w:val="Compact"/>
                    <w:jc w:val="both"/>
                    <w:jc w:val="center"/>
                    <w:spacing w:line="360" w:lineRule="auto"/>
                  </w:pPr>
                  <w:r>
                    <w:t xml:space="preserve">Tabla</w:t>
                  </w:r>
                  <w:r>
                    <w:t xml:space="preserve"> </w:t>
                  </w:r>
                  <w:hyperlink w:anchor="tbl-cv-p1">
                    <w:r>
                      <w:rPr>
                        <w:rStyle w:val="Hipervnculo"/>
                      </w:rPr>
                      <w:t xml:space="preserve">Table 5.6</w:t>
                    </w:r>
                  </w:hyperlink>
                </w:p>
              </w:tc>
              <w:tc>
                <w:tcPr/>
                <w:p>
                  <w:pPr>
                    <w:pStyle w:val="Compact"/>
                    <w:jc w:val="both"/>
                    <w:jc w:val="center"/>
                    <w:spacing w:line="360" w:lineRule="auto"/>
                  </w:pPr>
                  <w:r>
                    <w:rPr>
                      <w:rStyle w:val="VerbatimChar"/>
                    </w:rPr>
                    <w:t xml:space="preserve">outputs/analysis/paper_a_exp2_stats/exp2_run_level_metrics.csv</w:t>
                  </w:r>
                  <w:r>
                    <w:t xml:space="preserve"> </w:t>
                  </w:r>
                  <w:r>
                    <w:t xml:space="preserve">(estrato RF/</w:t>
                  </w:r>
                  <ns1:oMath>
                    <ns1:r>
                      <ns1:t>N</ns1:t>
                    </ns1:r>
                    <ns1:r>
                      <ns1:rPr>
                        <ns1:sty ns1:val="p"/>
                      </ns1:rPr>
                      <ns1:t>=</ns1:t>
                    </ns1:r>
                    <ns1:r>
                      <ns1:t>100</ns1:t>
                    </ns1:r>
                  </ns1:oMath>
                  <w:r>
                    <w:t xml:space="preserve">, cinco semillas); perfil complementario en</w:t>
                  </w:r>
                  <w:r>
                    <w:t xml:space="preserve"> </w:t>
                  </w:r>
                  <w:r>
                    <w:rPr>
                      <w:rStyle w:val="VerbatimChar"/>
                    </w:rPr>
                    <w:t xml:space="preserve">experiments/exp1_adult/reproducibility/reproducibility_report.csv</w:t>
                  </w:r>
                </w:p>
              </w:tc>
              <w:tc>
                <w:tcPr/>
                <w:p>
                  <w:pPr>
                    <w:pStyle w:val="Compact"/>
                    <w:jc w:val="both"/>
                    <w:jc w:val="center"/>
                    <w:spacing w:line="360" w:lineRule="auto"/>
                  </w:pPr>
                  <w:r>
                    <w:t xml:space="preserve">Agregación por celda desde el nivel de ejecución</w:t>
                  </w:r>
                </w:p>
              </w:tc>
              <w:tc>
                <w:tcPr/>
                <w:p>
                  <w:pPr>
                    <w:pStyle w:val="Compact"/>
                    <w:jc w:val="both"/>
                    <w:jc w:val="center"/>
                    <w:spacing w:line="360" w:lineRule="auto"/>
                  </w:pPr>
                  <w:r>
                    <w:t xml:space="preserve">Confirmación parcial; LIME-estabilidad queda limitada por media cercana a cero</w:t>
                  </w:r>
                </w:p>
              </w:tc>
            </w:tr>
            <w:tr>
              <w:tc>
                <w:tcPr/>
                <w:p>
                  <w:pPr>
                    <w:pStyle w:val="Compact"/>
                    <w:jc w:val="both"/>
                    <w:jc w:val="center"/>
                    <w:spacing w:line="360" w:lineRule="auto"/>
                  </w:pPr>
                  <w:r>
                    <w:t xml:space="preserve">La cobertura faltante no invalida las pruebas confirmativas principales</w:t>
                  </w:r>
                </w:p>
              </w:tc>
              <w:tc>
                <w:tcPr/>
                <w:p>
                  <w:pPr>
                    <w:pStyle w:val="Compact"/>
                    <w:jc w:val="both"/>
                    <w:jc w:val="center"/>
                    <w:spacing w:line="360" w:lineRule="auto"/>
                  </w:pPr>
                  <w:r>
                    <w:t xml:space="preserve">Capítulo 3, tablas de cobertura</w:t>
                  </w:r>
                </w:p>
              </w:tc>
              <w:tc>
                <w:tcPr/>
                <w:p>
                  <w:pPr>
                    <w:pStyle w:val="Compact"/>
                    <w:jc w:val="both"/>
                    <w:jc w:val="center"/>
                    <w:spacing w:line="360" w:lineRule="auto"/>
                  </w:pPr>
                  <w:r>
                    <w:rPr>
                      <w:rStyle w:val="VerbatimChar"/>
                    </w:rPr>
                    <w:t xml:space="preserve">exp2_run_inventory.csv</w:t>
                  </w:r>
                  <w:r>
                    <w:t xml:space="preserve">, árbol</w:t>
                  </w:r>
                  <w:r>
                    <w:t xml:space="preserve"> </w:t>
                  </w:r>
                  <w:r>
                    <w:rPr>
                      <w:rStyle w:val="VerbatimChar"/>
                    </w:rPr>
                    <w:t xml:space="preserve">experiments/exp2_scaled/results/</w:t>
                  </w:r>
                </w:p>
              </w:tc>
              <w:tc>
                <w:tcPr/>
                <w:p>
                  <w:pPr>
                    <w:pStyle w:val="Compact"/>
                    <w:jc w:val="both"/>
                    <w:jc w:val="center"/>
                    <w:spacing w:line="360" w:lineRule="auto"/>
                  </w:pPr>
                  <w:r>
                    <w:t xml:space="preserve">Auditoría FOM-7 puerta 3</w:t>
                  </w:r>
                </w:p>
              </w:tc>
              <w:tc>
                <w:tcPr/>
                <w:p>
                  <w:pPr>
                    <w:pStyle w:val="Compact"/>
                    <w:jc w:val="both"/>
                    <w:jc w:val="center"/>
                    <w:spacing w:line="360" w:lineRule="auto"/>
                  </w:pPr>
                  <w:r>
                    <w:t xml:space="preserve">Afecta precisión de Anchors/DiCE; no afecta SHAP-LIME pareado</w:t>
                  </w:r>
                </w:p>
              </w:tc>
            </w:tr>
          </w:tbl>
          <w:bookmarkEnd w:id="125"/>
          <w:p>
            <w:pPr>
              <w:spacing w:line="360" w:lineRule="auto"/>
              <w:jc w:val="both"/>
            </w:pPr>
          </w:p>
        </w:tc>
      </w:tr>
    </w:tbl>
    <w:bookmarkEnd w:id="126"/>
    <w:bookmarkStart w:id="155" w:name="sec-visualizaciones-resultados"/>
    <w:p>
      <w:pPr>
        <w:pStyle w:val="Ttulo2"/>
        <w:spacing w:line="360" w:lineRule="auto"/>
        <w:jc w:val="both"/>
      </w:pPr>
      <w:r>
        <w:t xml:space="preserve">Visualizaciones complementarias</w:t>
      </w:r>
    </w:p>
    <w:p>
      <w:pPr>
        <w:pStyle w:val="FirstParagraph"/>
        <w:spacing w:line="360" w:lineRule="auto"/>
        <w:jc w:val="both"/>
      </w:pPr>
      <w:r>
        <w:t xml:space="preserve">Las tablas inferenciales son la evidencia primaria del capítulo. Las figuras</w:t>
      </w:r>
      <w:r>
        <w:t xml:space="preserve"> </w:t>
      </w:r>
      <w:r>
        <w:t xml:space="preserve">siguientes se incluyen como apoyo visual para inspeccionar patrones</w:t>
      </w:r>
      <w:r>
        <w:t xml:space="preserve"> </w:t>
      </w:r>
      <w:r>
        <w:t xml:space="preserve">multimétricos y relaciones entre constructos. No sustituyen las pruebas</w:t>
      </w:r>
      <w:r>
        <w:t xml:space="preserve"> </w:t>
      </w:r>
      <w:r>
        <w:t xml:space="preserve">estadísticas, pero ayudan a detectar si los resultados tabulares son coherentes</w:t>
      </w:r>
      <w:r>
        <w:t xml:space="preserve"> </w:t>
      </w:r>
      <w:r>
        <w:t xml:space="preserve">con la estructura global de los datos.</w:t>
      </w:r>
    </w:p>
    <w:tbl>
      <w:tblPr>
        <w:tblStyle w:val="Table"/>
        <w:tblW w:type="pct" w:w="5000"/>
        <w:tblLayout w:type="fixed"/>
        <w:tblLook w:firstRow="0" w:lastRow="0" w:firstColumn="0" w:lastColumn="0" w:noHBand="0" w:noVBand="0" w:val="0000"/>
      </w:tblPr>
      <w:tblGrid>
        <w:gridCol w:w="7920"/>
      </w:tblGrid>
      <w:tr>
        <w:tc>
          <w:tcPr/>
          <w:bookmarkStart w:id="130" w:name="fig-estabilidad-coste"/>
          <w:p>
            <w:pPr>
              <w:pStyle w:val="Compact"/>
              <w:jc w:val="both"/>
              <w:spacing w:line="360" w:lineRule="auto"/>
            </w:pPr>
            <w:r>
              <w:drawing>
                <ns2:inline>
                  <ns2:extent cx="5052060" cy="3154709"/>
                  <ns2:effectExtent b="0" l="0" r="0" t="0"/>
                  <ns2:docPr descr="" title="" id="128" name="Picture"/>
                  <ns3:graphic>
                    <ns3:graphicData uri="http://schemas.openxmlformats.org/drawingml/2006/picture">
                      <ns4:pic>
                        <ns4:nvPicPr>
                          <ns4:cNvPr descr="assets/figures/fig_estabilidad_coste_es.png" id="129" name="Picture"/>
                          <ns4:cNvPicPr>
                            <ns3:picLocks noChangeArrowheads="1" noChangeAspect="1"/>
                          </ns4:cNvPicPr>
                        </ns4:nvPicPr>
                        <ns4:blipFill>
                          <ns3:blip ns5:embed="rId127"/>
                          <ns3:stretch>
                            <ns3:fillRect/>
                          </ns3:stretch>
                        </ns4:blipFill>
                        <ns4:spPr bwMode="auto">
                          <ns3:xfrm>
                            <ns3:off x="0" y="0"/>
                            <ns3:ext cx="5052060" cy="3154709"/>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5.1: Relación entre estabilidad y coste por método. La figura muestra la relación</w:t>
            </w:r>
            <w:r>
              <w:t xml:space="preserve"> </w:t>
            </w:r>
            <w:r>
              <w:t xml:space="preserve">entre consistencia explicativa y coste computacional bajo las condiciones del</w:t>
            </w:r>
            <w:r>
              <w:t xml:space="preserve"> </w:t>
            </w:r>
            <w:r>
              <w:t xml:space="preserve">banco de pruebas.</w:t>
            </w:r>
          </w:p>
          <w:bookmarkEnd w:id="130"/>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fig-correlacion-metricas"/>
          <w:p>
            <w:pPr>
              <w:pStyle w:val="Compact"/>
              <w:jc w:val="both"/>
              <w:spacing w:line="360" w:lineRule="auto"/>
            </w:pPr>
            <w:r>
              <w:drawing>
                <ns2:inline>
                  <ns2:extent cx="5052060" cy="3860951"/>
                  <ns2:effectExtent b="0" l="0" r="0" t="0"/>
                  <ns2:docPr descr="" title="" id="132" name="Picture"/>
                  <ns3:graphic>
                    <ns3:graphicData uri="http://schemas.openxmlformats.org/drawingml/2006/picture">
                      <ns4:pic>
                        <ns4:nvPicPr>
                          <ns4:cNvPr descr="assets/figures/fig_correlacion_metricas_es.png" id="133" name="Picture"/>
                          <ns4:cNvPicPr>
                            <ns3:picLocks noChangeArrowheads="1" noChangeAspect="1"/>
                          </ns4:cNvPicPr>
                        </ns4:nvPicPr>
                        <ns4:blipFill>
                          <ns3:blip ns5:embed="rId131"/>
                          <ns3:stretch>
                            <ns3:fillRect/>
                          </ns3:stretch>
                        </ns4:blipFill>
                        <ns4:spPr bwMode="auto">
                          <ns3:xfrm>
                            <ns3:off x="0" y="0"/>
                            <ns3:ext cx="5052060" cy="3860951"/>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5.2: Correlación entre métricas del banco de pruebas. La matriz permite inspeccionar</w:t>
            </w:r>
            <w:r>
              <w:t xml:space="preserve"> </w:t>
            </w:r>
            <w:r>
              <w:t xml:space="preserve">relaciones empíricas entre constructos y refuerza la necesidad de evitar una</w:t>
            </w:r>
            <w:r>
              <w:t xml:space="preserve"> </w:t>
            </w:r>
            <w:r>
              <w:t xml:space="preserve">lectura mono-métrica de la calidad</w:t>
            </w:r>
            <w:r>
              <w:t xml:space="preserve"> </w:t>
            </w:r>
            <w:r>
              <w:t xml:space="preserve">explicativa.</w:t>
            </w:r>
          </w:p>
          <w:bookmarkEnd w:id="134"/>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8" w:name="fig-cobertura-exp2"/>
          <w:p>
            <w:pPr>
              <w:pStyle w:val="Compact"/>
              <w:jc w:val="both"/>
              <w:spacing w:line="360" w:lineRule="auto"/>
            </w:pPr>
            <w:r>
              <w:drawing>
                <ns2:inline>
                  <ns2:extent cx="5052060" cy="3412866"/>
                  <ns2:effectExtent b="0" l="0" r="0" t="0"/>
                  <ns2:docPr descr="" title="" id="136" name="Picture"/>
                  <ns3:graphic>
                    <ns3:graphicData uri="http://schemas.openxmlformats.org/drawingml/2006/picture">
                      <ns4:pic>
                        <ns4:nvPicPr>
                          <ns4:cNvPr descr="assets/figures/fig_cobertura_exp2_es.png" id="137" name="Picture"/>
                          <ns4:cNvPicPr>
                            <ns3:picLocks noChangeArrowheads="1" noChangeAspect="1"/>
                          </ns4:cNvPicPr>
                        </ns4:nvPicPr>
                        <ns4:blipFill>
                          <ns3:blip ns5:embed="rId135"/>
                          <ns3:stretch>
                            <ns3:fillRect/>
                          </ns3:stretch>
                        </ns4:blipFill>
                        <ns4:spPr bwMode="auto">
                          <ns3:xfrm>
                            <ns3:off x="0" y="0"/>
                            <ns3:ext cx="5052060" cy="341286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5.3: Cobertura analítica EXP2 por modelo y método. La figura muestra cuántas de</w:t>
            </w:r>
            <w:r>
              <w:t xml:space="preserve"> </w:t>
            </w:r>
            <w:r>
              <w:t xml:space="preserve">las 15 celdas planificadas por combinación superan la auditoría de integridad</w:t>
            </w:r>
            <w:r>
              <w:t xml:space="preserve"> </w:t>
            </w:r>
            <w:r>
              <w:t xml:space="preserve">FOM-7.</w:t>
            </w:r>
          </w:p>
          <w:bookmarkEnd w:id="138"/>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2" w:name="fig-cd-diagram"/>
          <w:p>
            <w:pPr>
              <w:pStyle w:val="Compact"/>
              <w:jc w:val="both"/>
              <w:spacing w:line="360" w:lineRule="auto"/>
            </w:pPr>
            <w:r>
              <w:drawing>
                <ns2:inline>
                  <ns2:extent cx="5646420" cy="1801452"/>
                  <ns2:effectExtent b="0" l="0" r="0" t="0"/>
                  <ns2:docPr descr="" title="" id="140" name="Picture"/>
                  <ns3:graphic>
                    <ns3:graphicData uri="http://schemas.openxmlformats.org/drawingml/2006/picture">
                      <ns4:pic>
                        <ns4:nvPicPr>
                          <ns4:cNvPr descr="assets/figures/fig_cd_diagram_es.png" id="141" name="Picture"/>
                          <ns4:cNvPicPr>
                            <ns3:picLocks noChangeArrowheads="1" noChangeAspect="1"/>
                          </ns4:cNvPicPr>
                        </ns4:nvPicPr>
                        <ns4:blipFill>
                          <ns3:blip ns5:embed="rId139"/>
                          <ns3:stretch>
                            <ns3:fillRect/>
                          </ns3:stretch>
                        </ns4:blipFill>
                        <ns4:spPr bwMode="auto">
                          <ns3:xfrm>
                            <ns3:off x="0" y="0"/>
                            <ns3:ext cx="5646420" cy="1801452"/>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5.4: Diagrama de diferencia crítica de Nemenyi para fidelidad (izquierda) y</w:t>
            </w:r>
            <w:r>
              <w:t xml:space="preserve"> </w:t>
            </w:r>
            <w:r>
              <w:t xml:space="preserve">estabilidad (derecha). El eje horizontal muestra los rangos medios; las barras</w:t>
            </w:r>
            <w:r>
              <w:t xml:space="preserve"> </w:t>
            </w:r>
            <w:r>
              <w:t xml:space="preserve">horizontales gruesas conectan métodos no significativamente distintos (diferencia</w:t>
            </w:r>
            <w:r>
              <w:t xml:space="preserve"> </w:t>
            </w:r>
            <w:r>
              <w:t xml:space="preserve">&lt; DC = 1.211, k=4, n=15, α=0.05). En fidelidad, SHAP y LIME forman un grupo</w:t>
            </w:r>
            <w:r>
              <w:t xml:space="preserve"> </w:t>
            </w:r>
            <w:r>
              <w:t xml:space="preserve">indistinguible entre sí, al igual que Anchors y DiCE; ambos grupos son</w:t>
            </w:r>
            <w:r>
              <w:t xml:space="preserve"> </w:t>
            </w:r>
            <w:r>
              <w:t xml:space="preserve">mutuamente distintos. En estabilidad, el reordenamiento es notable: SHAP y DiCE</w:t>
            </w:r>
            <w:r>
              <w:t xml:space="preserve"> </w:t>
            </w:r>
            <w:r>
              <w:t xml:space="preserve">forman el grupo estable, mientras LIME y Anchors son indistinguibles entre sí</w:t>
            </w:r>
            <w:r>
              <w:t xml:space="preserve"> </w:t>
            </w:r>
            <w:r>
              <w:t xml:space="preserve">pero claramente inferiores.</w:t>
            </w:r>
          </w:p>
          <w:bookmarkEnd w:id="142"/>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6" w:name="fig-boxplots-metricas"/>
          <w:p>
            <w:pPr>
              <w:pStyle w:val="Compact"/>
              <w:jc w:val="both"/>
              <w:spacing w:line="360" w:lineRule="auto"/>
            </w:pPr>
            <w:r>
              <w:drawing>
                <ns2:inline>
                  <ns2:extent cx="5646420" cy="2662237"/>
                  <ns2:effectExtent b="0" l="0" r="0" t="0"/>
                  <ns2:docPr descr="" title="" id="144" name="Picture"/>
                  <ns3:graphic>
                    <ns3:graphicData uri="http://schemas.openxmlformats.org/drawingml/2006/picture">
                      <ns4:pic>
                        <ns4:nvPicPr>
                          <ns4:cNvPr descr="assets/figures/fig_boxplots_metricas_es.png" id="145" name="Picture"/>
                          <ns4:cNvPicPr>
                            <ns3:picLocks noChangeArrowheads="1" noChangeAspect="1"/>
                          </ns4:cNvPicPr>
                        </ns4:nvPicPr>
                        <ns4:blipFill>
                          <ns3:blip ns5:embed="rId143"/>
                          <ns3:stretch>
                            <ns3:fillRect/>
                          </ns3:stretch>
                        </ns4:blipFill>
                        <ns4:spPr bwMode="auto">
                          <ns3:xfrm>
                            <ns3:off x="0" y="0"/>
                            <ns3:ext cx="5646420" cy="2662237"/>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5.5: Distribución de fidelidad (izquierda) y estabilidad (derecha) por método</w:t>
            </w:r>
            <w:r>
              <w:t xml:space="preserve"> </w:t>
            </w:r>
            <w:r>
              <w:t xml:space="preserve">sobre los 15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del diseño factorial. Cada punto representa un</w:t>
            </w:r>
            <w:r>
              <w:t xml:space="preserve"> </w:t>
            </w:r>
            <w:r>
              <w:t xml:space="preserve">bloque; la caja muestra el rango intercuartílico; la línea interna, la mediana.</w:t>
            </w:r>
            <w:r>
              <w:t xml:space="preserve"> </w:t>
            </w:r>
            <w:r>
              <w:t xml:space="preserve">Para fidelidad, las cajas de SHAP y LIME no se solapan con las de Anchors y</w:t>
            </w:r>
            <w:r>
              <w:t xml:space="preserve"> </w:t>
            </w:r>
            <w:r>
              <w:t xml:space="preserve">DiCE. Para estabilidad, la caja de LIME colapsa casi en cero (mediana ≈ 0.014),</w:t>
            </w:r>
            <w:r>
              <w:t xml:space="preserve"> </w:t>
            </w:r>
            <w:r>
              <w:t xml:space="preserve">confirmando que la inestabilidad afecta a todos los bloques del</w:t>
            </w:r>
            <w:r>
              <w:t xml:space="preserve"> </w:t>
            </w:r>
            <w:r>
              <w:t xml:space="preserve">benchmark y no a un subconjunto de modelos.</w:t>
            </w:r>
          </w:p>
          <w:bookmarkEnd w:id="146"/>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0" w:name="fig-diferencias-pareadas"/>
          <w:p>
            <w:pPr>
              <w:pStyle w:val="Compact"/>
              <w:jc w:val="both"/>
              <w:spacing w:line="360" w:lineRule="auto"/>
            </w:pPr>
            <w:r>
              <w:drawing>
                <ns2:inline>
                  <ns2:extent cx="5646420" cy="2357586"/>
                  <ns2:effectExtent b="0" l="0" r="0" t="0"/>
                  <ns2:docPr descr="" title="" id="148" name="Picture"/>
                  <ns3:graphic>
                    <ns3:graphicData uri="http://schemas.openxmlformats.org/drawingml/2006/picture">
                      <ns4:pic>
                        <ns4:nvPicPr>
                          <ns4:cNvPr descr="assets/figures/fig_diferencias_pareadas_es.png" id="149" name="Picture"/>
                          <ns4:cNvPicPr>
                            <ns3:picLocks noChangeArrowheads="1" noChangeAspect="1"/>
                          </ns4:cNvPicPr>
                        </ns4:nvPicPr>
                        <ns4:blipFill>
                          <ns3:blip ns5:embed="rId147"/>
                          <ns3:stretch>
                            <ns3:fillRect/>
                          </ns3:stretch>
                        </ns4:blipFill>
                        <ns4:spPr bwMode="auto">
                          <ns3:xfrm>
                            <ns3:off x="0" y="0"/>
                            <ns3:ext cx="5646420" cy="235758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5.6: Diferencias pareadas</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w:t>
            </w:r>
            <w:r>
              <w:t xml:space="preserve">para fidelidad</w:t>
            </w:r>
            <w:r>
              <w:t xml:space="preserve"> </w:t>
            </w:r>
            <w:r>
              <w:t xml:space="preserve">(izquierda) y estabilidad (derecha)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del</w:t>
            </w:r>
            <w:r>
              <w:t xml:space="preserve"> </w:t>
            </w:r>
            <w:r>
              <w:t xml:space="preserve">análisis pareado. Las barras azules indican ventaja de SHAP; las rojas, ventaja</w:t>
            </w:r>
            <w:r>
              <w:t xml:space="preserve"> </w:t>
            </w:r>
            <w:r>
              <w:t xml:space="preserve">de LIME. Para fidelidad, las 75/75 diferencias son positivas (media = +0.248;</w:t>
            </w:r>
            <w:r>
              <w:t xml:space="preserve"> </w:t>
            </w:r>
            <ns1:oMath>
              <ns1:sSub>
                <ns1:e>
                  <ns1:r>
                    <ns1:t>d</ns1:t>
                  </ns1:r>
                </ns1:e>
                <ns1:sub>
                  <ns1:r>
                    <ns1:t>z</ns1:t>
                  </ns1:r>
                </ns1:sub>
              </ns1:sSub>
              <ns1:r>
                <ns1:rPr>
                  <ns1:sty ns1:val="p"/>
                </ns1:rPr>
                <ns1:t>=</ns1:t>
              </ns1:r>
              <ns1:r>
                <ns1:t>4.82</ns1:t>
              </ns1:r>
            </ns1:oMath>
            <w:r>
              <w:t xml:space="preserve">); para estabilidad, las 75/75 diferencias también son positivas</w:t>
            </w:r>
            <w:r>
              <w:t xml:space="preserve"> </w:t>
            </w:r>
            <w:r>
              <w:t xml:space="preserve">(media = +0.718;</w:t>
            </w:r>
            <w:r>
              <w:t xml:space="preserve"> </w:t>
            </w:r>
            <ns1:oMath>
              <ns1:sSub>
                <ns1:e>
                  <ns1:r>
                    <ns1:t>d</ns1:t>
                  </ns1:r>
                </ns1:e>
                <ns1:sub>
                  <ns1:r>
                    <ns1:t>z</ns1:t>
                  </ns1:r>
                </ns1:sub>
              </ns1:sSub>
              <ns1:r>
                <ns1:rPr>
                  <ns1:sty ns1:val="p"/>
                </ns1:rPr>
                <ns1:t>=</ns1:t>
              </ns1:r>
              <ns1:r>
                <ns1:t>3.00</ns1:t>
              </ns1:r>
            </ns1:oMath>
            <w:r>
              <w:t xml:space="preserve">). La ausencia de barras rojas confirma que la</w:t>
            </w:r>
            <w:r>
              <w:t xml:space="preserve"> </w:t>
            </w:r>
            <w:r>
              <w:t xml:space="preserve">ventaja de SHAP no es un artefacto de valores</w:t>
            </w:r>
            <w:r>
              <w:t xml:space="preserve"> </w:t>
            </w:r>
            <w:r>
              <w:t xml:space="preserve">atípicos.</w:t>
            </w:r>
          </w:p>
          <w:bookmarkEnd w:id="150"/>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4" w:name="fig-radar-metodos"/>
          <w:p>
            <w:pPr>
              <w:pStyle w:val="Compact"/>
              <w:jc w:val="both"/>
              <w:spacing w:line="360" w:lineRule="auto"/>
            </w:pPr>
            <w:r>
              <w:drawing>
                <ns2:inline>
                  <ns2:extent cx="4160520" cy="3582746"/>
                  <ns2:effectExtent b="0" l="0" r="0" t="0"/>
                  <ns2:docPr descr="" title="" id="152" name="Picture"/>
                  <ns3:graphic>
                    <ns3:graphicData uri="http://schemas.openxmlformats.org/drawingml/2006/picture">
                      <ns4:pic>
                        <ns4:nvPicPr>
                          <ns4:cNvPr descr="assets/figures/fig_radar_metodos_es.png" id="153" name="Picture"/>
                          <ns4:cNvPicPr>
                            <ns3:picLocks noChangeArrowheads="1" noChangeAspect="1"/>
                          </ns4:cNvPicPr>
                        </ns4:nvPicPr>
                        <ns4:blipFill>
                          <ns3:blip ns5:embed="rId151"/>
                          <ns3:stretch>
                            <ns3:fillRect/>
                          </ns3:stretch>
                        </ns4:blipFill>
                        <ns4:spPr bwMode="auto">
                          <ns3:xfrm>
                            <ns3:off x="0" y="0"/>
                            <ns3:ext cx="4160520" cy="358274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5.7: Perfil multidimensional normalizado por método en cinco ejes (radio mayor =</w:t>
            </w:r>
            <w:r>
              <w:t xml:space="preserve"> </w:t>
            </w:r>
            <w:r>
              <w:t xml:space="preserve">mejor desempeño). Fidelidad y estabilidad se normalizan directamente; parsimonia</w:t>
            </w:r>
            <w:r>
              <w:t xml:space="preserve"> </w:t>
            </w:r>
            <w:r>
              <w:t xml:space="preserve">y eficiencia de coste se invierten para que el exterior represente en todos los</w:t>
            </w:r>
            <w:r>
              <w:t xml:space="preserve"> </w:t>
            </w:r>
            <w:r>
              <w:t xml:space="preserve">ejes la posición más favorable. Ningún método domina en todos los ejes</w:t>
            </w:r>
            <w:r>
              <w:t xml:space="preserve"> </w:t>
            </w:r>
            <w:r>
              <w:t xml:space="preserve">simultáneamente: SHAP lidera en fidelidad, estabilidad y brecha de fidelidad;</w:t>
            </w:r>
            <w:r>
              <w:t xml:space="preserve"> </w:t>
            </w:r>
            <w:r>
              <w:t xml:space="preserve">LIME en parsimonia y eficiencia de coste; DiCE es intermedio en estabilidad</w:t>
            </w:r>
            <w:r>
              <w:t xml:space="preserve"> </w:t>
            </w:r>
            <w:r>
              <w:t xml:space="preserve">pero muy bajo en fidelidad. Este patrón valida la necesidad del enfoque</w:t>
            </w:r>
            <w:r>
              <w:t xml:space="preserve"> </w:t>
            </w:r>
            <w:r>
              <w:t xml:space="preserve">multi-métrico de FOM-7.</w:t>
            </w:r>
          </w:p>
          <w:bookmarkEnd w:id="154"/>
        </w:tc>
      </w:tr>
    </w:tbl>
    <w:bookmarkEnd w:id="155"/>
    <w:bookmarkStart w:id="159" w:name="sec-discusion"/>
    <w:p>
      <w:pPr>
        <w:pStyle w:val="Ttulo2"/>
        <w:spacing w:line="360" w:lineRule="auto"/>
        <w:jc w:val="both"/>
      </w:pPr>
      <w:r>
        <w:t xml:space="preserve">Discusión</w:t>
      </w:r>
    </w:p>
    <w:bookmarkStart w:id="156" w:name="interpretación-conjunta-de-h1-h2-y-h3"/>
    <w:p>
      <w:pPr>
        <w:pStyle w:val="Ttulo3"/>
        <w:spacing w:line="360" w:lineRule="auto"/>
        <w:jc w:val="both"/>
      </w:pPr>
      <w:r>
        <w:t xml:space="preserve">Interpretación conjunta de H1, H2 y H3</w:t>
      </w:r>
    </w:p>
    <w:p>
      <w:pPr>
        <w:pStyle w:val="FirstParagraph"/>
        <w:spacing w:line="360" w:lineRule="auto"/>
        <w:jc w:val="bot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spacing w:line="360" w:lineRule="auto"/>
        <w:jc w:val="both"/>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spacing w:line="360" w:lineRule="auto"/>
        <w:jc w:val="both"/>
      </w:pPr>
      <w:r>
        <w:t xml:space="preserve">Los tamaños de efecto en las comparaciones SHAP-LIME (</w:t>
      </w:r>
      <ns1:oMath>
        <ns1:sSub>
          <ns1:e>
            <ns1:r>
              <ns1:t>d</ns1:t>
            </ns1:r>
          </ns1:e>
          <ns1:sub>
            <ns1:r>
              <ns1:t>z</ns1:t>
            </ns1:r>
          </ns1:sub>
        </ns1:sSub>
        <ns1:r>
          <ns1:rPr>
            <ns1:sty ns1:val="p"/>
          </ns1:rPr>
          <ns1:t>=</ns1:t>
        </ns1:r>
        <ns1:r>
          <ns1:t>4.820</ns1:t>
        </ns1:r>
      </ns1:oMath>
      <w:r>
        <w:t xml:space="preserve"> </w:t>
      </w:r>
      <w:r>
        <w:t xml:space="preserve">para</w:t>
      </w:r>
      <w:r>
        <w:t xml:space="preserve"> </w:t>
      </w:r>
      <w:r>
        <w:t xml:space="preserve">fidelidad,</w:t>
      </w:r>
      <w:r>
        <w:t xml:space="preserve"> </w:t>
      </w:r>
      <ns1:oMath>
        <ns1:sSub>
          <ns1:e>
            <ns1:r>
              <ns1:t>d</ns1:t>
            </ns1:r>
          </ns1:e>
          <ns1:sub>
            <ns1:r>
              <ns1:t>z</ns1:t>
            </ns1:r>
          </ns1:sub>
        </ns1:sSub>
        <ns1:r>
          <ns1:rPr>
            <ns1:sty ns1:val="p"/>
          </ns1:rPr>
          <ns1:t>=</ns1:t>
        </ns1:r>
        <ns1:r>
          <ns1:t>3.002</ns1:t>
        </ns1:r>
      </ns1:oMath>
      <w:r>
        <w:t xml:space="preserve"> </w:t>
      </w:r>
      <w:r>
        <w:t xml:space="preserve">para estabilidad) son notables en el contexto de</w:t>
      </w:r>
      <w:r>
        <w:t xml:space="preserve"> </w:t>
      </w:r>
      <w:r>
        <w:t xml:space="preserve">experimentos de benchmarking XAI. Trabajos de referencia en el campo</w:t>
      </w:r>
      <w:r>
        <w:t xml:space="preserve"> </w:t>
      </w:r>
      <w:r>
        <w:t xml:space="preserve">(Hedström et al. 2023; Agarwal et al. 2022)</w:t>
      </w:r>
      <w:r>
        <w:t xml:space="preserve"> </w:t>
      </w:r>
      <w:r>
        <w:t xml:space="preserve">reportan diferencias entre métodos, aunque con</w:t>
      </w:r>
      <w:r>
        <w:t xml:space="preserve"> </w:t>
      </w:r>
      <w:r>
        <w:t xml:space="preserve">diseños y métricas que no siempre permiten comparación directa. La consistencia</w:t>
      </w:r>
      <w:r>
        <w:t xml:space="preserve"> </w:t>
      </w:r>
      <w:r>
        <w:t xml:space="preserve">direccional en los 75 pares de fidelidad y estabilidad refuerza la conclusión</w:t>
      </w:r>
      <w:r>
        <w:t xml:space="preserve"> </w:t>
      </w:r>
      <w:r>
        <w:t xml:space="preserve">operacional: bajo este diseño y estas condiciones experimentales, la ventaja</w:t>
      </w:r>
      <w:r>
        <w:t xml:space="preserve"> </w:t>
      </w:r>
      <w:r>
        <w:t xml:space="preserve">de SHAP responde a un patrón sistemático en las celdas pareadas, no a una</w:t>
      </w:r>
      <w:r>
        <w:t xml:space="preserve"> </w:t>
      </w:r>
      <w:r>
        <w:t xml:space="preserve">fluctuación estadística marginal.</w:t>
      </w:r>
    </w:p>
    <w:bookmarkEnd w:id="156"/>
    <w:bookmarkStart w:id="157" w:name="Xbd024e4a7bd7bf8de011157bde8f5cf667c76a0"/>
    <w:p>
      <w:pPr>
        <w:pStyle w:val="Ttulo3"/>
        <w:spacing w:line="360" w:lineRule="auto"/>
        <w:jc w:val="both"/>
      </w:pPr>
      <w:r>
        <w:t xml:space="preserve">Relación calidad-coste y criterios de selección operativa</w:t>
      </w:r>
    </w:p>
    <w:p>
      <w:pPr>
        <w:pStyle w:val="FirstParagraph"/>
        <w:spacing w:line="360" w:lineRule="auto"/>
        <w:jc w:val="bot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spacing w:line="360" w:lineRule="auto"/>
        <w:jc w:val="both"/>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opción con mejor</w:t>
      </w:r>
      <w:r>
        <w:t xml:space="preserve"> </w:t>
      </w:r>
      <w:r>
        <w:t xml:space="preserve">evidencia empírica en ambas dimensiones, pero el umbral operativo debe</w:t>
      </w:r>
      <w:r>
        <w:t xml:space="preserve"> </w:t>
      </w:r>
      <w:r>
        <w:t xml:space="preserve">verificarse por familia de modelo y no sobre la media global. La media de</w:t>
      </w:r>
      <w:r>
        <w:t xml:space="preserve"> </w:t>
      </w:r>
      <w:r>
        <w:t xml:space="preserve">fidelidad de SHAP (0.808) supera 0.80, y la de estabilidad (0.732) supera 0.70;</w:t>
      </w:r>
      <w:r>
        <w:t xml:space="preserve"> </w:t>
      </w:r>
      <w:r>
        <w:t xml:space="preserve">por familia, sin embargo, solo logreg (0.946) y SVM (0.882) alcanzan</w:t>
      </w:r>
      <w:r>
        <w:t xml:space="preserve"> </w:t>
      </w:r>
      <w:r>
        <w:t xml:space="preserve">fidelidad ≥ 0.80, y solo logreg (0.880), RF (0.949) y SVM (0.925) alcanzan</w:t>
      </w:r>
      <w:r>
        <w:t xml:space="preserve"> </w:t>
      </w:r>
      <w:r>
        <w:t xml:space="preserve">estabilidad ≥ 0.70. En XGBoost la estabilidad desciende a 0.575 y en MLP a</w:t>
      </w:r>
      <w:r>
        <w:t xml:space="preserve"> </w:t>
      </w:r>
      <w:r>
        <w:t xml:space="preserve">0.331, de modo que un requisito de consistencia explicativa no queda garantizado</w:t>
      </w:r>
      <w:r>
        <w:t xml:space="preserve"> </w:t>
      </w:r>
      <w:r>
        <w:t xml:space="preserve">en esas dos familias por el mero hecho de elegir SHAP. Para modelos</w:t>
      </w:r>
      <w:r>
        <w:t xml:space="preserve"> </w:t>
      </w:r>
      <w:r>
        <w:t xml:space="preserve">basados en árboles, el coste de TreeSHAP hace esta elección también</w:t>
      </w:r>
      <w:r>
        <w:t xml:space="preserve"> </w:t>
      </w:r>
      <w:r>
        <w:t xml:space="preserve">eficiente. Para SVM y redes neuronales, la latencia de KernelSHAP</w:t>
      </w:r>
      <w:r>
        <w:t xml:space="preserve"> </w:t>
      </w:r>
      <w:r>
        <w:t xml:space="preserve">puede requerir infraestructura de cómputo dedicada o ejecución asíncrona.</w:t>
      </w:r>
    </w:p>
    <w:p>
      <w:pPr>
        <w:pStyle w:val="Textoindependiente"/>
        <w:spacing w:line="360" w:lineRule="auto"/>
        <w:jc w:val="both"/>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cuyas medias por familia de modelo</w:t>
      </w:r>
      <w:r>
        <w:t xml:space="preserve"> </w:t>
      </w:r>
      <w:r>
        <w:t xml:space="preserve">—52 ms (mlp), 73 ms (logreg) y 122 ms (xgb) por instancia, agregadas a nivel de</w:t>
      </w:r>
      <w:r>
        <w:t xml:space="preserve"> </w:t>
      </w:r>
      <w:r>
        <w:t xml:space="preserve">ejecución— se mantienen dos órdenes de magnitud por debajo de las de SVM</w:t>
      </w:r>
      <w:r>
        <w:t xml:space="preserve"> </w:t>
      </w:r>
      <w:r>
        <w:t xml:space="preserve">(17,620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spacing w:line="360" w:lineRule="auto"/>
        <w:jc w:val="both"/>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spacing w:line="360" w:lineRule="auto"/>
        <w:jc w:val="both"/>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57"/>
    <w:bookmarkStart w:id="158" w:name="X99626a17a471bd5fb48825a2c4d4fcdcb69bcee"/>
    <w:p>
      <w:pPr>
        <w:pStyle w:val="Ttulo3"/>
        <w:spacing w:line="360" w:lineRule="auto"/>
        <w:jc w:val="both"/>
      </w:pPr>
      <w:r>
        <w:t xml:space="preserve">Contribuciones, limitaciones y extensiones</w:t>
      </w:r>
    </w:p>
    <w:p>
      <w:pPr>
        <w:pStyle w:val="FirstParagraph"/>
        <w:spacing w:line="360" w:lineRule="auto"/>
        <w:jc w:val="bot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de LIME bajo la configuración de</w:t>
      </w:r>
      <w:r>
        <w:t xml:space="preserve"> </w:t>
      </w:r>
      <w:r>
        <w:t xml:space="preserve">referencia, un hallazgo</w:t>
      </w:r>
      <w:r>
        <w:t xml:space="preserve"> </w:t>
      </w:r>
      <w:r>
        <w:t xml:space="preserve">que los estudios basados en fidelidad exclusiva sistemáticamente omiten</w:t>
      </w:r>
      <w:r>
        <w:t xml:space="preserve"> </w:t>
      </w:r>
      <w:r>
        <w:t xml:space="preserve">(Bhattacharya and Verbert 2024)</w:t>
      </w:r>
      <w:r>
        <w:t xml:space="preserve">. En tercer lugar, demuestran que el protocolo FOM-7</w:t>
      </w:r>
      <w:r>
        <w:t xml:space="preserve"> </w:t>
      </w:r>
      <w:r>
        <w:t xml:space="preserve">produce resultados reproducibles (CV &lt; 3% en fidelidad para el subgrupo</w:t>
      </w:r>
      <w:r>
        <w:t xml:space="preserve"> </w:t>
      </w:r>
      <w:r>
        <w:t xml:space="preserve">replicado RF/</w:t>
      </w:r>
      <ns1:oMath>
        <ns1:r>
          <ns1:t>N</ns1:t>
        </ns1:r>
        <ns1:r>
          <ns1:rPr>
            <ns1:sty ns1:val="p"/>
          </ns1:rPr>
          <ns1:t>=</ns1:t>
        </ns1:r>
        <ns1:r>
          <ns1:t>100</ns1:t>
        </ns1:r>
      </ns1:oMath>
      <w:r>
        <w:t xml:space="preserve">, y CV agrupado de 11.4% para SHAP y 12.0% para LIME sobre</w:t>
      </w:r>
      <w:r>
        <w:t xml:space="preserve"> </w:t>
      </w:r>
      <w:r>
        <w:t xml:space="preserve">el conjunto completo de ejecuciones, todos dentro del umbral del 15% fijado en</w:t>
      </w:r>
      <w:r>
        <w:t xml:space="preserve"> </w:t>
      </w:r>
      <w:r>
        <w:t xml:space="preserve">P1)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spacing w:line="360" w:lineRule="auto"/>
        <w:jc w:val="both"/>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capturable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p>
      <w:pPr>
        <w:pStyle w:val="Textoindependiente"/>
        <w:spacing w:line="360" w:lineRule="auto"/>
        <w:jc w:val="both"/>
      </w:pPr>
      <w:r>
        <w:t xml:space="preserve">Este capítulo ha presentado la evidencia empírica del benchmark con trazabilidad</w:t>
      </w:r>
      <w:r>
        <w:t xml:space="preserve"> </w:t>
      </w:r>
      <w:r>
        <w:t xml:space="preserve">completa de afirmaciones: los resultados de H1, H2 y H3 son estadísticamente</w:t>
      </w:r>
      <w:r>
        <w:t xml:space="preserve"> </w:t>
      </w:r>
      <w:r>
        <w:t xml:space="preserve">robustos con márgenes de seguridad que superan el umbral crítico en más de</w:t>
      </w:r>
      <w:r>
        <w:t xml:space="preserve"> </w:t>
      </w:r>
      <w:r>
        <w:t xml:space="preserve">cuatro veces, y los perfiles de método revelan que ningún método domina en</w:t>
      </w:r>
      <w:r>
        <w:t xml:space="preserve"> </w:t>
      </w:r>
      <w:r>
        <w:t xml:space="preserve">todas las dimensiones simultáneamente. El Capítulo 5 construye sobre esta base</w:t>
      </w:r>
      <w:r>
        <w:t xml:space="preserve"> </w:t>
      </w:r>
      <w:r>
        <w:t xml:space="preserve">en dos planos: desarrolla la taxonomía de cuatro ejes que organiza el espacio de</w:t>
      </w:r>
      <w:r>
        <w:t xml:space="preserve"> </w:t>
      </w:r>
      <w:r>
        <w:t xml:space="preserve">métricas de evaluación XAI y hace explícitos los cuadrantes cubiertos y los</w:t>
      </w:r>
      <w:r>
        <w:t xml:space="preserve"> </w:t>
      </w:r>
      <w:r>
        <w:t xml:space="preserve">que quedan como agenda; e incorpora los resultados del Estudio EXP4 como</w:t>
      </w:r>
      <w:r>
        <w:t xml:space="preserve"> </w:t>
      </w:r>
      <w:r>
        <w:t xml:space="preserve">fundamento empírico de la brecha de evaluación semántica que la taxonomía</w:t>
      </w:r>
      <w:r>
        <w:t xml:space="preserve"> </w:t>
      </w:r>
      <w:r>
        <w:t xml:space="preserve">identifica como la más urgente de resolver.</w:t>
      </w:r>
    </w:p>
    <w:bookmarkEnd w:id="158"/>
    <w:bookmarkEnd w:id="159"/>
    <w:bookmarkEnd w:id="160"/>
    <w:bookmarkStart w:id="172" w:name="Xa967782ce714a135dc69dc69099ccfe835ec70b"/>
    <w:p>
      <w:pPr>
        <w:pStyle w:val="Ttulo1"/>
        <w:spacing w:line="360" w:lineRule="auto"/>
        <w:jc w:val="both"/>
      </w:pPr>
      <w:r>
        <w:t xml:space="preserve">Taxonomía de métricas y síntesis conceptual</w:t>
      </w:r>
    </w:p>
    <w:p>
      <w:pPr>
        <w:pStyle w:val="FirstParagraph"/>
        <w:spacing w:line="360" w:lineRule="auto"/>
        <w:jc w:val="both"/>
      </w:pPr>
      <w:r>
        <w:t xml:space="preserve">El Capítulo 4 produjo un resultado que no era predecible a priori y que tiene</w:t>
      </w:r>
      <w:r>
        <w:t xml:space="preserve"> </w:t>
      </w:r>
      <w:r>
        <w:t xml:space="preserve">consecuencias metodológicas directas sobre cómo debe organizarse el espacio de</w:t>
      </w:r>
      <w:r>
        <w:t xml:space="preserve"> </w:t>
      </w:r>
      <w:r>
        <w:t xml:space="preserve">métricas XAI. LIME obtuvo una fidelidad media de 0.560 —por encima del umbral</w:t>
      </w:r>
      <w:r>
        <w:t xml:space="preserve"> </w:t>
      </w:r>
      <w:r>
        <w:t xml:space="preserve">de uso en producción para muchos equipos de datos— y al mismo tiempo una</w:t>
      </w:r>
      <w:r>
        <w:t xml:space="preserve"> </w:t>
      </w:r>
      <w:r>
        <w:t xml:space="preserve">estabilidad prácticamente nula bajo la configuración de referencia del</w:t>
      </w:r>
      <w:r>
        <w:t xml:space="preserve"> </w:t>
      </w:r>
      <w:r>
        <w:t xml:space="preserve">benchmark: similitud coseno media de 0.014 y coeficiente de variación del 86.2%</w:t>
      </w:r>
      <w:r>
        <w:t xml:space="preserve"> </w:t>
      </w:r>
      <w:r>
        <w:t xml:space="preserve">entre explicaciones generadas para la misma instancia con distintas semillas</w:t>
      </w:r>
      <w:r>
        <w:t xml:space="preserve"> </w:t>
      </w:r>
      <w:r>
        <w:t xml:space="preserve">(el Capítulo 6 delimita el alcance de este resultado, que depende del espacio</w:t>
      </w:r>
      <w:r>
        <w:t xml:space="preserve"> </w:t>
      </w:r>
      <w:r>
        <w:t xml:space="preserve">de características y del ancho del kernel). SHAP, en cambio, mantuvo fidelidad de 0.808</w:t>
      </w:r>
      <w:r>
        <w:t xml:space="preserve"> </w:t>
      </w:r>
      <w:r>
        <w:t xml:space="preserve">y estabilidad de 0.732, con d</w:t>
      </w:r>
      <w:r>
        <w:rPr>
          <w:vertAlign w:val="subscript"/>
        </w:rPr>
        <w:t xml:space="preserve">z</w:t>
      </w:r>
      <w:r>
        <w:t xml:space="preserve">=4.82 y d</w:t>
      </w:r>
      <w:r>
        <w:rPr>
          <w:vertAlign w:val="subscript"/>
        </w:rPr>
        <w:t xml:space="preserve">z</w:t>
      </w:r>
      <w:r>
        <w:t xml:space="preserve">=3.00 respectivamente. La</w:t>
      </w:r>
      <w:r>
        <w:t xml:space="preserve"> </w:t>
      </w:r>
      <w:r>
        <w:t xml:space="preserve">correlación empírica entre fidelidad y estabilidad —visible en la</w:t>
      </w:r>
      <w:r>
        <w:t xml:space="preserve"> </w:t>
      </w:r>
      <w:hyperlink w:anchor="fig-correlacion-metricas">
        <w:r>
          <w:rPr>
            <w:rStyle w:val="Hipervnculo"/>
          </w:rPr>
          <w:t xml:space="preserve">Figure 5.2</w:t>
        </w:r>
      </w:hyperlink>
      <w:r>
        <w:t xml:space="preserve">— es baja, lo que significa que ambas dimensiones</w:t>
      </w:r>
      <w:r>
        <w:t xml:space="preserve"> </w:t>
      </w:r>
      <w:r>
        <w:t xml:space="preserve">aportan información no redundante sobre la calidad de una explicación. Un</w:t>
      </w:r>
      <w:r>
        <w:t xml:space="preserve"> </w:t>
      </w:r>
      <w:r>
        <w:t xml:space="preserve">benchmark que solo reportara fidelidad habría concluido que LIME es aceptable</w:t>
      </w:r>
      <w:r>
        <w:t xml:space="preserve"> </w:t>
      </w:r>
      <w:r>
        <w:t xml:space="preserve">para uso en auditoría. Un benchmark que solo reportara estabilidad habría</w:t>
      </w:r>
      <w:r>
        <w:t xml:space="preserve"> </w:t>
      </w:r>
      <w:r>
        <w:t xml:space="preserve">eliminado LIME sin valorar su ventaja en coste y parsimonia. Ningún escalar</w:t>
      </w:r>
      <w:r>
        <w:t xml:space="preserve"> </w:t>
      </w:r>
      <w:r>
        <w:t xml:space="preserve">único captura el perfil completo.</w:t>
      </w:r>
    </w:p>
    <w:p>
      <w:pPr>
        <w:pStyle w:val="Textoindependiente"/>
        <w:spacing w:line="360" w:lineRule="auto"/>
        <w:jc w:val="both"/>
      </w:pPr>
      <w:r>
        <w:t xml:space="preserve">Esta disociación no es un artefacto del diseño. La parsimonia media de DiCE</w:t>
      </w:r>
      <w:r>
        <w:t xml:space="preserve"> </w:t>
      </w:r>
      <w:r>
        <w:t xml:space="preserve">(0.017 de ratio activo, la más concisa del benchmark) y su fidelidad baja</w:t>
      </w:r>
      <w:r>
        <w:t xml:space="preserve"> </w:t>
      </w:r>
      <w:r>
        <w:t xml:space="preserve">(0.172) responden a una lógica distinta a la de SHAP o LIME: DiCE minimiza la</w:t>
      </w:r>
      <w:r>
        <w:t xml:space="preserve"> </w:t>
      </w:r>
      <w:r>
        <w:t xml:space="preserve">perturbación del contrafactual, no la aproximación local al modelo. Que DiCE</w:t>
      </w:r>
      <w:r>
        <w:t xml:space="preserve"> </w:t>
      </w:r>
      <w:r>
        <w:t xml:space="preserve">tenga perfil óptimo en parsimonia —aunque no en coste, donde su media de</w:t>
      </w:r>
      <w:r>
        <w:t xml:space="preserve"> </w:t>
      </w:r>
      <w:r>
        <w:t xml:space="preserve">28,209 ms solo mejora a la de Anchors— pero deficiente en fidelidad técnica,</w:t>
      </w:r>
      <w:r>
        <w:t xml:space="preserve"> </w:t>
      </w:r>
      <w:r>
        <w:t xml:space="preserve">indica que los ejes de calidad no colapsan sobre un único factor latente. La</w:t>
      </w:r>
      <w:r>
        <w:t xml:space="preserve"> </w:t>
      </w:r>
      <w:hyperlink w:anchor="fig-radar-metodos">
        <w:r>
          <w:rPr>
            <w:rStyle w:val="Hipervnculo"/>
          </w:rPr>
          <w:t xml:space="preserve">Figure 5.7</w:t>
        </w:r>
      </w:hyperlink>
      <w:r>
        <w:t xml:space="preserve"> </w:t>
      </w:r>
      <w:r>
        <w:t xml:space="preserve">hace visible esta estructura: ningún método domina simultáneamente en todas las</w:t>
      </w:r>
      <w:r>
        <w:t xml:space="preserve"> </w:t>
      </w:r>
      <w:r>
        <w:t xml:space="preserve">dimensiones, y los cuellos de botella difieren por método. Este patrón solo es</w:t>
      </w:r>
      <w:r>
        <w:t xml:space="preserve"> </w:t>
      </w:r>
      <w:r>
        <w:t xml:space="preserve">observable si las métricas están conceptualmente separadas antes de la medición,</w:t>
      </w:r>
      <w:r>
        <w:t xml:space="preserve"> </w:t>
      </w:r>
      <w:r>
        <w:t xml:space="preserve">no consolidadas post-hoc en un índice compuesto.</w:t>
      </w:r>
    </w:p>
    <w:p>
      <w:pPr>
        <w:pStyle w:val="Textoindependiente"/>
        <w:spacing w:line="360" w:lineRule="auto"/>
        <w:jc w:val="both"/>
      </w:pPr>
      <w:r>
        <w:t xml:space="preserve">La pregunta que emerge de esos resultados no es cuál método gana, sino</w:t>
      </w:r>
      <w:r>
        <w:t xml:space="preserve"> </w:t>
      </w:r>
      <w:r>
        <w:rPr>
          <w:i/>
          <w:iCs/>
        </w:rPr>
        <w:t xml:space="preserve">qué</w:t>
      </w:r>
      <w:r>
        <w:rPr>
          <w:i/>
          <w:iCs/>
        </w:rPr>
        <w:t xml:space="preserve"> </w:t>
      </w:r>
      <w:r>
        <w:rPr>
          <w:i/>
          <w:iCs/>
        </w:rPr>
        <w:t xml:space="preserve">dimensiones de calidad son genuinamente ortogonales, cuál fuente de evidencia</w:t>
      </w:r>
      <w:r>
        <w:rPr>
          <w:i/>
          <w:iCs/>
        </w:rPr>
        <w:t xml:space="preserve"> </w:t>
      </w:r>
      <w:r>
        <w:rPr>
          <w:i/>
          <w:iCs/>
        </w:rPr>
        <w:t xml:space="preserve">mide cada una, y para qué contexto de tarea resulta relevante cada perfil</w:t>
      </w:r>
      <w:r>
        <w:t xml:space="preserve">. Sin</w:t>
      </w:r>
      <w:r>
        <w:t xml:space="preserve"> </w:t>
      </w:r>
      <w:r>
        <w:t xml:space="preserve">un marco conceptual que responda esas tres preguntas de forma articulada, el</w:t>
      </w:r>
      <w:r>
        <w:t xml:space="preserve"> </w:t>
      </w:r>
      <w:r>
        <w:t xml:space="preserve">benchmark produce números correctos pero no produce orientación. Un evaluador</w:t>
      </w:r>
      <w:r>
        <w:t xml:space="preserve"> </w:t>
      </w:r>
      <w:r>
        <w:t xml:space="preserve">que conozca solo los rangos de fidelidad (SHAP: 0.808, LIME: 0.560,</w:t>
      </w:r>
      <w:r>
        <w:t xml:space="preserve"> </w:t>
      </w:r>
      <w:r>
        <w:t xml:space="preserve">Anchors: 0.388, DiCE: 0.172) no sabe si una diferencia de 0.05 puntos en</w:t>
      </w:r>
      <w:r>
        <w:t xml:space="preserve"> </w:t>
      </w:r>
      <w:r>
        <w:t xml:space="preserve">parsimonia es sustantiva o trivial, ni si la brecha de fidelidad justifica el</w:t>
      </w:r>
      <w:r>
        <w:t xml:space="preserve"> </w:t>
      </w:r>
      <w:r>
        <w:t xml:space="preserve">coste adicional de SHAP en un sistema de tiempo real. La taxonomía de este</w:t>
      </w:r>
      <w:r>
        <w:t xml:space="preserve"> </w:t>
      </w:r>
      <w:r>
        <w:t xml:space="preserve">capítulo es, por tanto, una respuesta necesaria a lo que el benchmark demostró</w:t>
      </w:r>
      <w:r>
        <w:t xml:space="preserve"> </w:t>
      </w:r>
      <w:r>
        <w:t xml:space="preserve">empíricamente: que el espacio de métricas es multidimensional, que las</w:t>
      </w:r>
      <w:r>
        <w:t xml:space="preserve"> </w:t>
      </w:r>
      <w:r>
        <w:t xml:space="preserve">dimensiones son operativamente independientes, y que la selección de método</w:t>
      </w:r>
      <w:r>
        <w:t xml:space="preserve"> </w:t>
      </w:r>
      <w:r>
        <w:t xml:space="preserve">requiere un lenguaje conceptual que articule cuál dimensión importa según el</w:t>
      </w:r>
      <w:r>
        <w:t xml:space="preserve"> </w:t>
      </w:r>
      <w:r>
        <w:t xml:space="preserve">contexto de uso.</w:t>
      </w:r>
    </w:p>
    <w:p>
      <w:pPr>
        <w:pStyle w:val="Textoindependiente"/>
        <w:spacing w:line="360" w:lineRule="auto"/>
        <w:jc w:val="both"/>
      </w:pPr>
      <w:r>
        <w:t xml:space="preserve">Este capítulo desarrolla el Estudio C de la tesis: una taxonomía estructurada</w:t>
      </w:r>
      <w:r>
        <w:t xml:space="preserve"> </w:t>
      </w:r>
      <w:r>
        <w:t xml:space="preserve">del espacio de métricas de evaluación XAI. Su función es dar peso conceptual</w:t>
      </w:r>
      <w:r>
        <w:t xml:space="preserve"> </w:t>
      </w:r>
      <w:r>
        <w:t xml:space="preserve">propio a la tercera contribución doctoral. Los capítulos anteriores mostraron</w:t>
      </w:r>
      <w:r>
        <w:t xml:space="preserve"> </w:t>
      </w:r>
      <w:r>
        <w:t xml:space="preserve">que FOM-7 necesita distinguir objetos explicativos, constructos de calidad,</w:t>
      </w:r>
      <w:r>
        <w:t xml:space="preserve"> </w:t>
      </w:r>
      <w:r>
        <w:t xml:space="preserve">fuentes de evidencia y contextos de uso. Este capítulo convierte esa necesidad</w:t>
      </w:r>
      <w:r>
        <w:t xml:space="preserve"> </w:t>
      </w:r>
      <w:r>
        <w:t xml:space="preserve">en una matriz de clasificación que permite interpretar el benchmark y, al mismo</w:t>
      </w:r>
      <w:r>
        <w:t xml:space="preserve"> </w:t>
      </w:r>
      <w:r>
        <w:t xml:space="preserve">tiempo, orientar evaluaciones futuras.</w:t>
      </w:r>
    </w:p>
    <w:p>
      <w:pPr>
        <w:pStyle w:val="Textoindependiente"/>
        <w:spacing w:line="360" w:lineRule="auto"/>
        <w:jc w:val="both"/>
      </w:pPr>
      <w:r>
        <w:t xml:space="preserve">La taxonomía se presenta como una</w:t>
      </w:r>
      <w:r>
        <w:t xml:space="preserve"> </w:t>
      </w:r>
      <w:r>
        <w:rPr>
          <w:b/>
          <w:bCs/>
        </w:rPr>
        <w:t xml:space="preserve">síntesis integradora y operacional</w:t>
      </w:r>
      <w:r>
        <w:t xml:space="preserve">, no</w:t>
      </w:r>
      <w:r>
        <w:t xml:space="preserve"> </w:t>
      </w:r>
      <w:r>
        <w:t xml:space="preserve">como una taxonomía completamente nueva en sentido fuerte. Integra distinciones</w:t>
      </w:r>
      <w:r>
        <w:t xml:space="preserve"> </w:t>
      </w:r>
      <w:r>
        <w:t xml:space="preserve">ya presentes en la literatura —por ejemplo, evaluación functionally-grounded,</w:t>
      </w:r>
      <w:r>
        <w:t xml:space="preserve"> </w:t>
      </w:r>
      <w:r>
        <w:t xml:space="preserve">human-grounded y application-grounded; fidelidad, robustez, plausibilidad,</w:t>
      </w:r>
      <w:r>
        <w:t xml:space="preserve"> </w:t>
      </w:r>
      <w:r>
        <w:t xml:space="preserve">complejidad y utilidad— y las reorganiza en una estructura práctica para</w:t>
      </w:r>
      <w:r>
        <w:t xml:space="preserve"> </w:t>
      </w:r>
      <w:r>
        <w:t xml:space="preserve">benchmarks comparativos de XAI</w:t>
      </w:r>
      <w:r>
        <w:t xml:space="preserve"> </w:t>
      </w:r>
      <w:r>
        <w:t xml:space="preserve">(Doshi-Velez 2017; Schwalbe 2023; Abdul Kadir et al. 2023; Pawlicki et al. 2024; Nauta et al. 2023)</w:t>
      </w:r>
      <w:r>
        <w:t xml:space="preserve">. Su contribución específica es</w:t>
      </w:r>
      <w:r>
        <w:t xml:space="preserve"> </w:t>
      </w:r>
      <w:r>
        <w:t xml:space="preserve">hacer explícita la conexión entre métrica, fuente de evidencia, propiedad de</w:t>
      </w:r>
      <w:r>
        <w:t xml:space="preserve"> </w:t>
      </w:r>
      <w:r>
        <w:t xml:space="preserve">calidad, contexto de tarea y claim admisible dentro del protocolo FOM-7.</w:t>
      </w:r>
    </w:p>
    <w:bookmarkStart w:id="161" w:name="sec-taxonomia-metodo"/>
    <w:p>
      <w:pPr>
        <w:pStyle w:val="Ttulo2"/>
        <w:spacing w:line="360" w:lineRule="auto"/>
        <w:jc w:val="both"/>
      </w:pPr>
      <w:r>
        <w:t xml:space="preserve">Método de construcción de la taxonomía</w:t>
      </w:r>
    </w:p>
    <w:p>
      <w:pPr>
        <w:pStyle w:val="FirstParagraph"/>
        <w:spacing w:line="360" w:lineRule="auto"/>
        <w:jc w:val="both"/>
      </w:pPr>
      <w:r>
        <w:t xml:space="preserve">La construcción siguió una revisión estructurada de alcance narrativo. No se</w:t>
      </w:r>
      <w:r>
        <w:t xml:space="preserve"> </w:t>
      </w:r>
      <w:r>
        <w:t xml:space="preserve">presenta como revisión sistemática PRISMA, porque su objetivo no fue estimar</w:t>
      </w:r>
      <w:r>
        <w:t xml:space="preserve"> </w:t>
      </w:r>
      <w:r>
        <w:t xml:space="preserve">prevalencias bibliométricas ni agotar todo el universo de publicaciones, sino</w:t>
      </w:r>
      <w:r>
        <w:t xml:space="preserve"> </w:t>
      </w:r>
      <w:r>
        <w:t xml:space="preserve">organizar constructos recurrentes que ya estaban documentados en encuestas,</w:t>
      </w:r>
      <w:r>
        <w:t xml:space="preserve"> </w:t>
      </w:r>
      <w:r>
        <w:t xml:space="preserve">toolkits, benchmarks y trabajos metodológicos relevantes para la evaluación</w:t>
      </w:r>
      <w:r>
        <w:t xml:space="preserve"> </w:t>
      </w:r>
      <w:r>
        <w:t xml:space="preserve">XAI. La taxonomía resultante se clasifica como una</w:t>
      </w:r>
      <w:r>
        <w:t xml:space="preserve"> </w:t>
      </w:r>
      <w:r>
        <w:rPr>
          <w:b/>
          <w:bCs/>
        </w:rPr>
        <w:t xml:space="preserve">operacionalización</w:t>
      </w:r>
      <w:r>
        <w:rPr>
          <w:b/>
          <w:bCs/>
        </w:rPr>
        <w:t xml:space="preserve"> </w:t>
      </w:r>
      <w:r>
        <w:rPr>
          <w:b/>
          <w:bCs/>
        </w:rPr>
        <w:t xml:space="preserve">doctoral integradora</w:t>
      </w:r>
      <w:r>
        <w:t xml:space="preserve">: integra y reorganiza distinciones ya presentes en la</w:t>
      </w:r>
      <w:r>
        <w:t xml:space="preserve"> </w:t>
      </w:r>
      <w:r>
        <w:t xml:space="preserve">literatura en una estructura práctica, y añade el eje de contexto de tarea como</w:t>
      </w:r>
      <w:r>
        <w:t xml:space="preserve"> </w:t>
      </w:r>
      <w:r>
        <w:t xml:space="preserve">dimensión operativa no explícita en los marcos previos. No es una taxonomía</w:t>
      </w:r>
      <w:r>
        <w:t xml:space="preserve"> </w:t>
      </w:r>
      <w:r>
        <w:t xml:space="preserve">completamente nueva en sentido fuerte (no propone dimensiones sin antecedentes</w:t>
      </w:r>
      <w:r>
        <w:t xml:space="preserve"> </w:t>
      </w:r>
      <w:r>
        <w:t xml:space="preserve">en la literatura) ni una mera síntesis descriptiva (la estructura de cuatro ejes</w:t>
      </w:r>
      <w:r>
        <w:t xml:space="preserve"> </w:t>
      </w:r>
      <w:r>
        <w:t xml:space="preserve">y su mapeo al benchmark es una contribución propia).</w:t>
      </w:r>
    </w:p>
    <w:p>
      <w:pPr>
        <w:pStyle w:val="Textoindependiente"/>
        <w:spacing w:line="360" w:lineRule="auto"/>
        <w:jc w:val="both"/>
      </w:pPr>
      <w:r>
        <w:t xml:space="preserve">El corpus de apoyo combina cuatro tipos de fuentes. Primero, revisiones y</w:t>
      </w:r>
      <w:r>
        <w:t xml:space="preserve"> </w:t>
      </w:r>
      <w:r>
        <w:t xml:space="preserve">taxonomías de interpretabilidad y XAI que establecen el vocabulario conceptual</w:t>
      </w:r>
      <w:r>
        <w:t xml:space="preserve"> </w:t>
      </w:r>
      <w:r>
        <w:t xml:space="preserve">del campo, incluyendo las revisiones fundacionales de</w:t>
      </w:r>
      <w:r>
        <w:t xml:space="preserve"> </w:t>
      </w:r>
      <w:r>
        <w:t xml:space="preserve">Arrieta (2019)</w:t>
      </w:r>
      <w:r>
        <w:t xml:space="preserve">,</w:t>
      </w:r>
      <w:r>
        <w:t xml:space="preserve"> </w:t>
      </w:r>
      <w:r>
        <w:t xml:space="preserve">Lipton (2018)</w:t>
      </w:r>
      <w:r>
        <w:t xml:space="preserve">,</w:t>
      </w:r>
      <w:r>
        <w:t xml:space="preserve"> </w:t>
      </w:r>
      <w:r>
        <w:t xml:space="preserve">Linardatos (2020)</w:t>
      </w:r>
      <w:r>
        <w:t xml:space="preserve">, la historia breve del campo de</w:t>
      </w:r>
      <w:r>
        <w:t xml:space="preserve"> </w:t>
      </w:r>
      <w:r>
        <w:t xml:space="preserve">Molnar et al. (2020)</w:t>
      </w:r>
      <w:r>
        <w:t xml:space="preserve"> </w:t>
      </w:r>
      <w:r>
        <w:t xml:space="preserve">y la taxonomía sistemática de</w:t>
      </w:r>
      <w:r>
        <w:t xml:space="preserve"> </w:t>
      </w:r>
      <w:r>
        <w:t xml:space="preserve">Schwalbe (2023)</w:t>
      </w:r>
      <w:r>
        <w:t xml:space="preserve">. Segundo, trabajos sobre evaluación y benchmarking que distinguen</w:t>
      </w:r>
      <w:r>
        <w:t xml:space="preserve"> </w:t>
      </w:r>
      <w:r>
        <w:t xml:space="preserve">niveles de evidencia, métricas functionally-grounded y reproducibilidad,</w:t>
      </w:r>
      <w:r>
        <w:t xml:space="preserve"> </w:t>
      </w:r>
      <w:r>
        <w:t xml:space="preserve">incluyendo la taxonomía de niveles de</w:t>
      </w:r>
      <w:r>
        <w:t xml:space="preserve"> </w:t>
      </w:r>
      <w:r>
        <w:t xml:space="preserve">Doshi-Velez (2017)</w:t>
      </w:r>
      <w:r>
        <w:t xml:space="preserve">, el toolkit</w:t>
      </w:r>
      <w:r>
        <w:t xml:space="preserve"> </w:t>
      </w:r>
      <w:r>
        <w:t xml:space="preserve">Quantus</w:t>
      </w:r>
      <w:r>
        <w:t xml:space="preserve"> </w:t>
      </w:r>
      <w:r>
        <w:t xml:space="preserve">(Hedström et al. 2023)</w:t>
      </w:r>
      <w:r>
        <w:t xml:space="preserve">, la plataforma OpenXAI</w:t>
      </w:r>
      <w:r>
        <w:t xml:space="preserve"> </w:t>
      </w:r>
      <w:r>
        <w:t xml:space="preserve">(Agarwal et al. 2022)</w:t>
      </w:r>
      <w:r>
        <w:t xml:space="preserve">, el banco de</w:t>
      </w:r>
      <w:r>
        <w:t xml:space="preserve"> </w:t>
      </w:r>
      <w:r>
        <w:t xml:space="preserve">pruebas de</w:t>
      </w:r>
      <w:r>
        <w:t xml:space="preserve"> </w:t>
      </w:r>
      <w:r>
        <w:t xml:space="preserve">Sithakoul et al. (2024)</w:t>
      </w:r>
      <w:r>
        <w:t xml:space="preserve"> </w:t>
      </w:r>
      <w:r>
        <w:t xml:space="preserve">y la revisión de</w:t>
      </w:r>
      <w:r>
        <w:t xml:space="preserve"> </w:t>
      </w:r>
      <w:r>
        <w:t xml:space="preserve">propiedades de evaluación de</w:t>
      </w:r>
      <w:r>
        <w:t xml:space="preserve"> </w:t>
      </w:r>
      <w:r>
        <w:t xml:space="preserve">Nauta et al. (2023)</w:t>
      </w:r>
      <w:r>
        <w:t xml:space="preserve">. Tercero, artículos metodológicos sobre</w:t>
      </w:r>
      <w:r>
        <w:t xml:space="preserve"> </w:t>
      </w:r>
      <w:r>
        <w:t xml:space="preserve">los cuatro explicadores evaluados, necesarios para ubicar qué objeto produce</w:t>
      </w:r>
      <w:r>
        <w:t xml:space="preserve"> </w:t>
      </w:r>
      <w:r>
        <w:t xml:space="preserve">cada método y qué métricas le son adecuadas</w:t>
      </w:r>
      <w:r>
        <w:t xml:space="preserve"> </w:t>
      </w:r>
      <w:r>
        <w:t xml:space="preserve">(Ribeiro 2016, 2018; Lundberg 2017; Mothilal 2020; Guidotti et al. 2018; Carvalho et al. 2019; Karimi et al. 2022; Poyiadzi et al. 2020)</w:t>
      </w:r>
      <w:r>
        <w:t xml:space="preserve">. Cuarto, revisiones recientes</w:t>
      </w:r>
      <w:r>
        <w:t xml:space="preserve"> </w:t>
      </w:r>
      <w:r>
        <w:t xml:space="preserve">centradas en métricas, robustez, reproducibilidad y evaluación human-centered,</w:t>
      </w:r>
      <w:r>
        <w:t xml:space="preserve"> </w:t>
      </w:r>
      <w:r>
        <w:t xml:space="preserve">incluyendo las revisiones de métricas de</w:t>
      </w:r>
      <w:r>
        <w:t xml:space="preserve"> </w:t>
      </w:r>
      <w:r>
        <w:t xml:space="preserve">Abdul Kadir et al. (2023)</w:t>
      </w:r>
      <w:r>
        <w:t xml:space="preserve"> </w:t>
      </w:r>
      <w:r>
        <w:t xml:space="preserve">y</w:t>
      </w:r>
      <w:r>
        <w:t xml:space="preserve"> </w:t>
      </w:r>
      <w:r>
        <w:t xml:space="preserve">Pawlicki et al. (2024)</w:t>
      </w:r>
      <w:r>
        <w:t xml:space="preserve">, el estudio de comprehensibilidad de</w:t>
      </w:r>
      <w:r>
        <w:t xml:space="preserve"> </w:t>
      </w:r>
      <w:r>
        <w:t xml:space="preserve">Bhattacharya and Verbert (2024)</w:t>
      </w:r>
      <w:r>
        <w:t xml:space="preserve">, la agenda</w:t>
      </w:r>
      <w:r>
        <w:t xml:space="preserve"> </w:t>
      </w:r>
      <w:r>
        <w:t xml:space="preserve">de</w:t>
      </w:r>
      <w:r>
        <w:t xml:space="preserve"> </w:t>
      </w:r>
      <w:r>
        <w:t xml:space="preserve">Ehsan et al. (2023)</w:t>
      </w:r>
      <w:r>
        <w:t xml:space="preserve"> </w:t>
      </w:r>
      <w:r>
        <w:t xml:space="preserve">y trabajos</w:t>
      </w:r>
      <w:r>
        <w:t xml:space="preserve"> </w:t>
      </w:r>
      <w:r>
        <w:t xml:space="preserve">sobre utilidad y confianza</w:t>
      </w:r>
      <w:r>
        <w:t xml:space="preserve"> </w:t>
      </w:r>
      <w:r>
        <w:t xml:space="preserve">(Rong et al. 2024; Miller 2019; Hoffman et al. 2023; Mohseni et al. 2021)</w:t>
      </w:r>
      <w:r>
        <w:t xml:space="preserve">.</w:t>
      </w:r>
    </w:p>
    <w:p>
      <w:pPr>
        <w:pStyle w:val="Textoindependiente"/>
        <w:spacing w:line="360" w:lineRule="auto"/>
        <w:jc w:val="both"/>
      </w:pPr>
      <w:r>
        <w:t xml:space="preserve">El corpus se amplió durante la revisión hasta las</w:t>
      </w:r>
      <w:r>
        <w:t xml:space="preserve"> </w:t>
      </w:r>
      <w:r>
        <w:rPr>
          <w:b/>
          <w:bCs/>
        </w:rPr>
        <w:t xml:space="preserve">127 referencias de contenido</w:t>
      </w:r>
      <w:r>
        <w:rPr>
          <w:b/>
          <w:bCs/>
        </w:rPr>
        <w:t xml:space="preserve"> </w:t>
      </w:r>
      <w:r>
        <w:rPr>
          <w:b/>
          <w:bCs/>
        </w:rPr>
        <w:t xml:space="preserve">XAI</w:t>
      </w:r>
      <w:r>
        <w:t xml:space="preserve"> </w:t>
      </w:r>
      <w:r>
        <w:t xml:space="preserve">que sostienen esta tesis —la bibliografía completa suma 140 entradas, de</w:t>
      </w:r>
      <w:r>
        <w:t xml:space="preserve"> </w:t>
      </w:r>
      <w:r>
        <w:t xml:space="preserve">las cuales 13 corresponden a infraestructura estadística, conjuntos de datos y</w:t>
      </w:r>
      <w:r>
        <w:t xml:space="preserve"> </w:t>
      </w:r>
      <w:r>
        <w:t xml:space="preserve">familias de modelo, no al objeto de la taxonomía—. De ese corpus,</w:t>
      </w:r>
      <w:r>
        <w:t xml:space="preserve"> </w:t>
      </w:r>
      <w:r>
        <w:rPr>
          <w:b/>
          <w:bCs/>
        </w:rPr>
        <w:t xml:space="preserve">107</w:t>
      </w:r>
      <w:r>
        <w:rPr>
          <w:b/>
          <w:bCs/>
        </w:rPr>
        <w:t xml:space="preserve"> </w:t>
      </w:r>
      <w:r>
        <w:rPr>
          <w:b/>
          <w:bCs/>
        </w:rPr>
        <w:t xml:space="preserve">documentos se conservan a texto completo</w:t>
      </w:r>
      <w:r>
        <w:t xml:space="preserve"> </w:t>
      </w:r>
      <w:r>
        <w:t xml:space="preserve">en el repositorio público de la tesis</w:t>
      </w:r>
      <w:r>
        <w:t xml:space="preserve"> </w:t>
      </w:r>
      <w:r>
        <w:t xml:space="preserve">(</w:t>
      </w:r>
      <w:r>
        <w:rPr>
          <w:rStyle w:val="VerbatimChar"/>
        </w:rPr>
        <w:t xml:space="preserve">thesis/papers/</w:t>
      </w:r>
      <w:r>
        <w:t xml:space="preserve">), de modo que la base documental de la taxonomía es auditable</w:t>
      </w:r>
      <w:r>
        <w:t xml:space="preserve"> </w:t>
      </w:r>
      <w:r>
        <w:t xml:space="preserve">y no solamente declarada: cada entrada de la bibliografía está citada en el</w:t>
      </w:r>
      <w:r>
        <w:t xml:space="preserve"> </w:t>
      </w:r>
      <w:r>
        <w:t xml:space="preserve">cuerpo del texto, y no existen referencias registradas sin uso.</w:t>
      </w:r>
    </w:p>
    <w:p>
      <w:pPr>
        <w:pStyle w:val="Textoindependiente"/>
        <w:spacing w:line="360" w:lineRule="auto"/>
        <w:jc w:val="both"/>
      </w:pPr>
      <w:r>
        <w:t xml:space="preserve">Los criterios de inclusión fueron: (i) fuentes con relación directa con</w:t>
      </w:r>
      <w:r>
        <w:t xml:space="preserve"> </w:t>
      </w:r>
      <w:r>
        <w:t xml:space="preserve">interpretabilidad, explicabilidad o evaluación XAI; (ii) trabajos que definieran</w:t>
      </w:r>
      <w:r>
        <w:t xml:space="preserve"> </w:t>
      </w:r>
      <w:r>
        <w:t xml:space="preserve">o usaran métricas de calidad explicativa; (iii) artículos que permitieran</w:t>
      </w:r>
      <w:r>
        <w:t xml:space="preserve"> </w:t>
      </w:r>
      <w:r>
        <w:t xml:space="preserve">clasificar métricas por fuente de evidencia o contexto de uso; y (iv) fuentes</w:t>
      </w:r>
      <w:r>
        <w:t xml:space="preserve"> </w:t>
      </w:r>
      <w:r>
        <w:t xml:space="preserve">con metadatos bibliográficos verificados en</w:t>
      </w:r>
      <w:r>
        <w:t xml:space="preserve"> </w:t>
      </w:r>
      <w:r>
        <w:rPr>
          <w:rStyle w:val="VerbatimChar"/>
        </w:rPr>
        <w:t xml:space="preserve">references.bib</w:t>
      </w:r>
      <w:r>
        <w:t xml:space="preserve">. Se excluyeron</w:t>
      </w:r>
      <w:r>
        <w:t xml:space="preserve"> </w:t>
      </w:r>
      <w:r>
        <w:t xml:space="preserve">fuentes meramente divulgativas, trabajos sin relación con evaluación de</w:t>
      </w:r>
      <w:r>
        <w:t xml:space="preserve"> </w:t>
      </w:r>
      <w:r>
        <w:t xml:space="preserve">explicaciones y referencias no verificadas.</w:t>
      </w:r>
    </w:p>
    <w:p>
      <w:pPr>
        <w:pStyle w:val="Textoindependiente"/>
        <w:spacing w:line="360" w:lineRule="auto"/>
        <w:jc w:val="both"/>
      </w:pPr>
      <w:r>
        <w:t xml:space="preserve">La codificación se realizó sobre cuatro dimensiones: objetivo de evaluación,</w:t>
      </w:r>
      <w:r>
        <w:t xml:space="preserve"> </w:t>
      </w:r>
      <w:r>
        <w:t xml:space="preserve">fuente de evidencia, propiedad de calidad y contexto de tarea. Cuando una</w:t>
      </w:r>
      <w:r>
        <w:t xml:space="preserve"> </w:t>
      </w:r>
      <w:r>
        <w:t xml:space="preserve">métrica admitía múltiples lecturas, se codificó según su uso dominante en la</w:t>
      </w:r>
      <w:r>
        <w:t xml:space="preserve"> </w:t>
      </w:r>
      <w:r>
        <w:t xml:space="preserve">literatura y se registró la ambigüedad como riesgo de constructo. Por ejemplo,</w:t>
      </w:r>
      <w:r>
        <w:t xml:space="preserve"> </w:t>
      </w:r>
      <w:r>
        <w:rPr>
          <w:i/>
          <w:iCs/>
        </w:rPr>
        <w:t xml:space="preserve">fidelity</w:t>
      </w:r>
      <w:r>
        <w:t xml:space="preserve"> </w:t>
      </w:r>
      <w:r>
        <w:t xml:space="preserve">puede funcionar como acuerdo local entre modelo y sustituto, como</w:t>
      </w:r>
      <w:r>
        <w:t xml:space="preserve"> </w:t>
      </w:r>
      <w:r>
        <w:t xml:space="preserve">cambio de predicción ante enmascaramiento o como proxy de faithfulness; la</w:t>
      </w:r>
      <w:r>
        <w:t xml:space="preserve"> </w:t>
      </w:r>
      <w:r>
        <w:t xml:space="preserve">taxonomía separa esas lecturas para evitar que una misma palabra sostenga claims</w:t>
      </w:r>
      <w:r>
        <w:t xml:space="preserve"> </w:t>
      </w:r>
      <w:r>
        <w:t xml:space="preserve">no equivalentes. Los 15 constructos métricos de la Tabla</w:t>
      </w:r>
      <w:r>
        <w:t xml:space="preserve"> </w:t>
      </w:r>
      <w:hyperlink w:anchor="tbl-taxonomia-ampliada">
        <w:r>
          <w:rPr>
            <w:rStyle w:val="Hipervnculo"/>
          </w:rPr>
          <w:t xml:space="preserve">Table 6.1</w:t>
        </w:r>
      </w:hyperlink>
      <w:r>
        <w:t xml:space="preserve"> </w:t>
      </w:r>
      <w:r>
        <w:t xml:space="preserve">son el resultado de consolidar y desambiguar los constructos identificados en el</w:t>
      </w:r>
      <w:r>
        <w:t xml:space="preserve"> </w:t>
      </w:r>
      <w:r>
        <w:t xml:space="preserve">corpus descrito; se reportan como una selección representativa, no como</w:t>
      </w:r>
      <w:r>
        <w:t xml:space="preserve"> </w:t>
      </w:r>
      <w:r>
        <w:t xml:space="preserve">un catálogo exhaustivo.</w:t>
      </w:r>
    </w:p>
    <w:bookmarkEnd w:id="161"/>
    <w:bookmarkStart w:id="162" w:name="sec-taxonomia-motivacion"/>
    <w:p>
      <w:pPr>
        <w:pStyle w:val="Ttulo2"/>
        <w:spacing w:line="360" w:lineRule="auto"/>
        <w:jc w:val="both"/>
      </w:pPr>
      <w:r>
        <w:t xml:space="preserve">Motivación y posicionamiento</w:t>
      </w:r>
    </w:p>
    <w:p>
      <w:pPr>
        <w:pStyle w:val="FirstParagraph"/>
        <w:spacing w:line="360" w:lineRule="auto"/>
        <w:jc w:val="bot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and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un mismo constructo puede</w:t>
      </w:r>
      <w:r>
        <w:t xml:space="preserve"> </w:t>
      </w:r>
      <w:r>
        <w:t xml:space="preserve">aparecer bajo nombres distintos, y un mismo nombre puede aplicarse a</w:t>
      </w:r>
      <w:r>
        <w:t xml:space="preserve"> </w:t>
      </w:r>
      <w:r>
        <w:t xml:space="preserve">operacionalizaciones diferentes.</w:t>
      </w:r>
    </w:p>
    <w:p>
      <w:pPr>
        <w:pStyle w:val="Textoindependiente"/>
        <w:spacing w:line="360" w:lineRule="auto"/>
        <w:jc w:val="both"/>
      </w:pPr>
      <w:r>
        <w:t xml:space="preserve">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distinguir métricas calculadas sin</w:t>
      </w:r>
      <w:r>
        <w:t xml:space="preserve"> </w:t>
      </w:r>
      <w:r>
        <w:t xml:space="preserve">participantes humanos de métricas basadas en estudios de usuario. Esta distinción</w:t>
      </w:r>
      <w:r>
        <w:t xml:space="preserve"> </w:t>
      </w:r>
      <w:r>
        <w:t xml:space="preserve">es central para la tesis porque los Estudios A y B producen evidencia</w:t>
      </w:r>
      <w:r>
        <w:t xml:space="preserve"> </w:t>
      </w:r>
      <w:r>
        <w:t xml:space="preserve">functionally-grounded: cuantifican propiedades computacionales de artefactos</w:t>
      </w:r>
      <w:r>
        <w:t xml:space="preserve"> </w:t>
      </w:r>
      <w:r>
        <w:t xml:space="preserve">explicativos, pero no miden directamente utilidad humana, satisfacción,</w:t>
      </w:r>
      <w:r>
        <w:t xml:space="preserve"> </w:t>
      </w:r>
      <w:r>
        <w:t xml:space="preserve">calibración de confianza o calidad de decisión.</w:t>
      </w:r>
    </w:p>
    <w:p>
      <w:pPr>
        <w:pStyle w:val="Textoindependiente"/>
        <w:spacing w:line="360" w:lineRule="auto"/>
        <w:jc w:val="both"/>
      </w:pPr>
      <w:r>
        <w:t xml:space="preserve">La taxonomía propuesta organiza el espacio en cuatro ejes ortogonales. Los ejes</w:t>
      </w:r>
      <w:r>
        <w:t xml:space="preserve"> </w:t>
      </w:r>
      <w:r>
        <w:t xml:space="preserve">responden a preguntas distintas y complementarias: qué se evalúa, con qué</w:t>
      </w:r>
      <w:r>
        <w:t xml:space="preserve"> </w:t>
      </w:r>
      <w:r>
        <w:t xml:space="preserve">evidencia, qué propiedad de calidad se operacionaliza y para qué tarea es</w:t>
      </w:r>
      <w:r>
        <w:t xml:space="preserve"> </w:t>
      </w:r>
      <w:r>
        <w:t xml:space="preserve">relevante. La ortogonalidad evita que una métrica se interprete como evaluación</w:t>
      </w:r>
      <w:r>
        <w:t xml:space="preserve"> </w:t>
      </w:r>
      <w:r>
        <w:t xml:space="preserve">total de una explicación. Una métrica puede ser válida para medir estabilidad,</w:t>
      </w:r>
      <w:r>
        <w:t xml:space="preserve"> </w:t>
      </w:r>
      <w:r>
        <w:t xml:space="preserve">pero débil para inferir utilidad humana; puede ser adecuada para auditoría</w:t>
      </w:r>
      <w:r>
        <w:t xml:space="preserve"> </w:t>
      </w:r>
      <w:r>
        <w:t xml:space="preserve">técnica, pero insuficiente para soporte a usuario final.</w:t>
      </w:r>
    </w:p>
    <w:bookmarkEnd w:id="162"/>
    <w:bookmarkStart w:id="163" w:name="sec-taxonomia-ejes"/>
    <w:p>
      <w:pPr>
        <w:pStyle w:val="Ttulo2"/>
        <w:spacing w:line="360" w:lineRule="auto"/>
        <w:jc w:val="both"/>
      </w:pPr>
      <w:r>
        <w:t xml:space="preserve">Los cuatro ejes de la taxonomía</w:t>
      </w:r>
    </w:p>
    <w:p>
      <w:pPr>
        <w:pStyle w:val="FirstParagraph"/>
        <w:spacing w:line="360" w:lineRule="auto"/>
        <w:jc w:val="both"/>
      </w:pPr>
      <w:r>
        <w:rPr>
          <w:b/>
          <w:bCs/>
        </w:rPr>
        <w:t xml:space="preserve">Eje 1 — Objetivo de evaluación.</w:t>
      </w:r>
      <w:r>
        <w:t xml:space="preserve"> </w:t>
      </w:r>
      <w:r>
        <w:t xml:space="preserve">Este eje clasifica la dimensión de la</w:t>
      </w:r>
      <w:r>
        <w:t xml:space="preserve"> </w:t>
      </w:r>
      <w:r>
        <w:t xml:space="preserve">explicación que la métrica interroga. Se identifican cinco objetivos primarios:</w:t>
      </w:r>
    </w:p>
    <w:p>
      <w:pPr>
        <w:pStyle w:val="Compact"/>
        <w:numPr>
          <w:ilvl w:val="0"/>
          <w:numId w:val="1014"/>
        </w:numPr>
        <w:spacing w:line="360" w:lineRule="auto"/>
        <w:jc w:val="both"/>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 operan en este objetivo</w:t>
      </w:r>
      <w:r>
        <w:t xml:space="preserve"> </w:t>
      </w:r>
      <w:r>
        <w:t xml:space="preserve">(Abdul Kadir et al. 2023)</w:t>
      </w:r>
      <w:r>
        <w:t xml:space="preserve">.</w:t>
      </w:r>
    </w:p>
    <w:p>
      <w:pPr>
        <w:pStyle w:val="Compact"/>
        <w:numPr>
          <w:ilvl w:val="0"/>
          <w:numId w:val="1014"/>
        </w:numPr>
        <w:spacing w:line="360" w:lineRule="auto"/>
        <w:jc w:val="both"/>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 operan en este objetivo</w:t>
      </w:r>
      <w:r>
        <w:t xml:space="preserve"> </w:t>
      </w:r>
      <w:r>
        <w:t xml:space="preserve">(Schwalbe 2023; Pawlicki et al. 2024)</w:t>
      </w:r>
      <w:r>
        <w:t xml:space="preserve">.</w:t>
      </w:r>
    </w:p>
    <w:p>
      <w:pPr>
        <w:pStyle w:val="Compact"/>
        <w:numPr>
          <w:ilvl w:val="0"/>
          <w:numId w:val="1014"/>
        </w:numPr>
        <w:spacing w:line="360" w:lineRule="auto"/>
        <w:jc w:val="both"/>
      </w:pPr>
      <w:r>
        <w:rPr>
          <w:i/>
          <w:iCs/>
        </w:rPr>
        <w:t xml:space="preserve">Compacidad explicativa</w:t>
      </w:r>
      <w:r>
        <w:t xml:space="preserve">: en qué medida la explicación es concisa y no</w:t>
      </w:r>
      <w:r>
        <w:t xml:space="preserve"> </w:t>
      </w:r>
      <w:r>
        <w:t xml:space="preserve">redundante. Parsimonia, sparsity y complejidad efectiva pertenecen a este</w:t>
      </w:r>
      <w:r>
        <w:t xml:space="preserve"> </w:t>
      </w:r>
      <w:r>
        <w:t xml:space="preserve">objetivo</w:t>
      </w:r>
      <w:r>
        <w:t xml:space="preserve"> </w:t>
      </w:r>
      <w:r>
        <w:t xml:space="preserve">(Pawlicki et al. 2024)</w:t>
      </w:r>
      <w:r>
        <w:t xml:space="preserve">.</w:t>
      </w:r>
    </w:p>
    <w:p>
      <w:pPr>
        <w:pStyle w:val="Compact"/>
        <w:numPr>
          <w:ilvl w:val="0"/>
          <w:numId w:val="1014"/>
        </w:numPr>
        <w:spacing w:line="360" w:lineRule="auto"/>
        <w:jc w:val="both"/>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y métricas de eliminación/perturbación top-k operan aquí</w:t>
      </w:r>
      <w:r>
        <w:t xml:space="preserve"> </w:t>
      </w:r>
      <w:r>
        <w:t xml:space="preserve">(Abdul Kadir et al. 2023; Zheng et al. 2025)</w:t>
      </w:r>
      <w:r>
        <w:t xml:space="preserve">.</w:t>
      </w:r>
    </w:p>
    <w:p>
      <w:pPr>
        <w:pStyle w:val="Compact"/>
        <w:numPr>
          <w:ilvl w:val="0"/>
          <w:numId w:val="1014"/>
        </w:numPr>
        <w:spacing w:line="360" w:lineRule="auto"/>
        <w:jc w:val="both"/>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spacing w:line="360" w:lineRule="auto"/>
        <w:jc w:val="both"/>
      </w:pPr>
      <w:r>
        <w:rPr>
          <w:b/>
          <w:bCs/>
        </w:rPr>
        <w:t xml:space="preserve">Eje 2 — Fuente de evidencia.</w:t>
      </w:r>
      <w:r>
        <w:t xml:space="preserve"> </w:t>
      </w:r>
      <w:r>
        <w:t xml:space="preserve">Las métricas también se diferencian por la</w:t>
      </w:r>
      <w:r>
        <w:t xml:space="preserve"> </w:t>
      </w:r>
      <w:r>
        <w:t xml:space="preserve">operación que genera la señal de evaluación:</w:t>
      </w:r>
    </w:p>
    <w:p>
      <w:pPr>
        <w:pStyle w:val="Compact"/>
        <w:numPr>
          <w:ilvl w:val="0"/>
          <w:numId w:val="1015"/>
        </w:numPr>
        <w:spacing w:line="360" w:lineRule="auto"/>
        <w:jc w:val="both"/>
      </w:pPr>
      <w:r>
        <w:rPr>
          <w:i/>
          <w:iCs/>
        </w:rPr>
        <w:t xml:space="preserve">Enmascaramiento de características</w:t>
      </w:r>
      <w:r>
        <w:t xml:space="preserve">: se eliminan o reemplazan características</w:t>
      </w:r>
      <w:r>
        <w:t xml:space="preserve"> </w:t>
      </w:r>
      <w:r>
        <w:t xml:space="preserve">del input y se mide el cambio en la salida del modelo. Incluye fidelidad por</w:t>
      </w:r>
      <w:r>
        <w:t xml:space="preserve"> </w:t>
      </w:r>
      <w:r>
        <w:t xml:space="preserve">correlación de importancias, faithfulness gap, ROAR o MoRF</w:t>
      </w:r>
      <w:r>
        <w:t xml:space="preserve"> </w:t>
      </w:r>
      <w:r>
        <w:t xml:space="preserve">(Zheng et al. 2025; Abdul Kadir et al. 2023)</w:t>
      </w:r>
      <w:r>
        <w:t xml:space="preserve">.</w:t>
      </w:r>
    </w:p>
    <w:p>
      <w:pPr>
        <w:pStyle w:val="Compact"/>
        <w:numPr>
          <w:ilvl w:val="0"/>
          <w:numId w:val="1015"/>
        </w:numPr>
        <w:spacing w:line="360" w:lineRule="auto"/>
        <w:jc w:val="both"/>
      </w:pPr>
      <w:r>
        <w:rPr>
          <w:i/>
          <w:iCs/>
        </w:rPr>
        <w:t xml:space="preserve">Perturbación del input</w:t>
      </w:r>
      <w:r>
        <w:t xml:space="preserve">: se añade ruido o transformación a la instancia y se</w:t>
      </w:r>
      <w:r>
        <w:t xml:space="preserve"> </w:t>
      </w:r>
      <w:r>
        <w:t xml:space="preserve">mide la similitud entre las explicaciones resultantes. Incluye estabilidad</w:t>
      </w:r>
      <w:r>
        <w:t xml:space="preserve"> </w:t>
      </w:r>
      <w:r>
        <w:t xml:space="preserve">como similitud coseno y estimaciones locales tipo Lipschitz</w:t>
      </w:r>
      <w:r>
        <w:t xml:space="preserve"> </w:t>
      </w:r>
      <w:r>
        <w:t xml:space="preserve">(Pawlicki et al. 2024; Canha et al. 2025)</w:t>
      </w:r>
      <w:r>
        <w:t xml:space="preserve">.</w:t>
      </w:r>
    </w:p>
    <w:p>
      <w:pPr>
        <w:pStyle w:val="Compact"/>
        <w:numPr>
          <w:ilvl w:val="0"/>
          <w:numId w:val="1015"/>
        </w:numPr>
        <w:spacing w:line="360" w:lineRule="auto"/>
        <w:jc w:val="both"/>
      </w:pPr>
      <w:r>
        <w:rPr>
          <w:i/>
          <w:iCs/>
        </w:rPr>
        <w:t xml:space="preserve">Comparación con verdad-terreno</w:t>
      </w:r>
      <w:r>
        <w:t xml:space="preserve">: la explicación se compara con explicaciones</w:t>
      </w:r>
      <w:r>
        <w:t xml:space="preserve"> </w:t>
      </w:r>
      <w:r>
        <w:t xml:space="preserve">de referencia conocidas, disponibles en benchmarks sintéticos o anotaciones</w:t>
      </w:r>
      <w:r>
        <w:t xml:space="preserve"> </w:t>
      </w:r>
      <w:r>
        <w:t xml:space="preserve">especializadas</w:t>
      </w:r>
      <w:r>
        <w:t xml:space="preserve"> </w:t>
      </w:r>
      <w:r>
        <w:t xml:space="preserve">(Pawlicki et al. 2024)</w:t>
      </w:r>
      <w:r>
        <w:t xml:space="preserve">.</w:t>
      </w:r>
    </w:p>
    <w:p>
      <w:pPr>
        <w:pStyle w:val="Compact"/>
        <w:numPr>
          <w:ilvl w:val="0"/>
          <w:numId w:val="1015"/>
        </w:numPr>
        <w:spacing w:line="360" w:lineRule="auto"/>
        <w:jc w:val="both"/>
      </w:pPr>
      <w:r>
        <w:rPr>
          <w:i/>
          <w:iCs/>
        </w:rPr>
        <w:t xml:space="preserve">Estudio con usuario</w:t>
      </w:r>
      <w:r>
        <w:t xml:space="preserve">: la explicación se evalúa mediante comprensión,</w:t>
      </w:r>
      <w:r>
        <w:t xml:space="preserve"> </w:t>
      </w:r>
      <w:r>
        <w:t xml:space="preserve">confianza, satisfacción, utilidad percibida o desempeño humano</w:t>
      </w:r>
      <w:r>
        <w:t xml:space="preserve"> </w:t>
      </w:r>
      <w:r>
        <w:t xml:space="preserve">(Bhattacharya and Verbert 2024; Arrieta 2019; Rong et al. 2024)</w:t>
      </w:r>
      <w:r>
        <w:t xml:space="preserve">.</w:t>
      </w:r>
    </w:p>
    <w:p>
      <w:pPr>
        <w:pStyle w:val="FirstParagraph"/>
        <w:spacing w:line="360" w:lineRule="auto"/>
        <w:jc w:val="both"/>
      </w:pPr>
      <w:r>
        <w:rPr>
          <w:b/>
          <w:bCs/>
        </w:rPr>
        <w:t xml:space="preserve">Eje 3 — Propiedad de calidad.</w:t>
      </w:r>
      <w:r>
        <w:t xml:space="preserve"> </w:t>
      </w:r>
      <w:r>
        <w:t xml:space="preserve">Siguiendo las sistematizaciones recientes, se</w:t>
      </w:r>
      <w:r>
        <w:t xml:space="preserve"> </w:t>
      </w:r>
      <w:r>
        <w:t xml:space="preserve">identifican seis propiedades primarias:</w:t>
      </w:r>
    </w:p>
    <w:p>
      <w:pPr>
        <w:pStyle w:val="Compact"/>
        <w:numPr>
          <w:ilvl w:val="0"/>
          <w:numId w:val="1016"/>
        </w:numPr>
        <w:spacing w:line="360" w:lineRule="auto"/>
        <w:jc w:val="both"/>
      </w:pPr>
      <w:r>
        <w:rPr>
          <w:i/>
          <w:iCs/>
        </w:rPr>
        <w:t xml:space="preserve">Faithfulness / fidelidad</w:t>
      </w:r>
      <w:r>
        <w:t xml:space="preserve">: correspondencia entre la importancia asignada por</w:t>
      </w:r>
      <w:r>
        <w:t xml:space="preserve"> </w:t>
      </w:r>
      <w:r>
        <w:t xml:space="preserve">el explicador y el efecto real sobre la salida del modelo</w:t>
      </w:r>
      <w:r>
        <w:t xml:space="preserve"> </w:t>
      </w:r>
      <w:r>
        <w:t xml:space="preserve">(Pawlicki et al. 2024)</w:t>
      </w:r>
      <w:r>
        <w:t xml:space="preserve">.</w:t>
      </w:r>
    </w:p>
    <w:p>
      <w:pPr>
        <w:pStyle w:val="Compact"/>
        <w:numPr>
          <w:ilvl w:val="0"/>
          <w:numId w:val="1016"/>
        </w:numPr>
        <w:spacing w:line="360" w:lineRule="auto"/>
        <w:jc w:val="both"/>
      </w:pPr>
      <w:r>
        <w:rPr>
          <w:i/>
          <w:iCs/>
        </w:rPr>
        <w:t xml:space="preserve">Robustness / estabilidad</w:t>
      </w:r>
      <w:r>
        <w:t xml:space="preserve">: consistencia de las explicaciones bajo</w:t>
      </w:r>
      <w:r>
        <w:t xml:space="preserve"> </w:t>
      </w:r>
      <w:r>
        <w:t xml:space="preserve">perturbaciones del input.</w:t>
      </w:r>
    </w:p>
    <w:p>
      <w:pPr>
        <w:pStyle w:val="Compact"/>
        <w:numPr>
          <w:ilvl w:val="0"/>
          <w:numId w:val="1016"/>
        </w:numPr>
        <w:spacing w:line="360" w:lineRule="auto"/>
        <w:jc w:val="both"/>
      </w:pPr>
      <w:r>
        <w:rPr>
          <w:i/>
          <w:iCs/>
        </w:rPr>
        <w:t xml:space="preserve">Simplicity / parsimonia</w:t>
      </w:r>
      <w:r>
        <w:t xml:space="preserve">: compacidad de la representación explicativa,</w:t>
      </w:r>
      <w:r>
        <w:t xml:space="preserve"> </w:t>
      </w:r>
      <w:r>
        <w:t xml:space="preserve">inversamente relacionada con complejidad</w:t>
      </w:r>
      <w:r>
        <w:t xml:space="preserve"> </w:t>
      </w:r>
      <w:r>
        <w:t xml:space="preserve">(Schwalbe 2023)</w:t>
      </w:r>
      <w:r>
        <w:t xml:space="preserve">.</w:t>
      </w:r>
    </w:p>
    <w:p>
      <w:pPr>
        <w:pStyle w:val="Compact"/>
        <w:numPr>
          <w:ilvl w:val="0"/>
          <w:numId w:val="1016"/>
        </w:numPr>
        <w:spacing w:line="360" w:lineRule="auto"/>
        <w:jc w:val="both"/>
      </w:pPr>
      <w:r>
        <w:rPr>
          <w:i/>
          <w:iCs/>
        </w:rPr>
        <w:t xml:space="preserve">Completeness</w:t>
      </w:r>
      <w:r>
        <w:t xml:space="preserve">: cobertura de factores relevantes del modelo por la</w:t>
      </w:r>
      <w:r>
        <w:t xml:space="preserve"> </w:t>
      </w:r>
      <w:r>
        <w:t xml:space="preserve">explicación.</w:t>
      </w:r>
    </w:p>
    <w:p>
      <w:pPr>
        <w:pStyle w:val="Compact"/>
        <w:numPr>
          <w:ilvl w:val="0"/>
          <w:numId w:val="1016"/>
        </w:numPr>
        <w:spacing w:line="360" w:lineRule="auto"/>
        <w:jc w:val="both"/>
      </w:pPr>
      <w:r>
        <w:rPr>
          <w:i/>
          <w:iCs/>
        </w:rPr>
        <w:t xml:space="preserve">Efficiency</w:t>
      </w:r>
      <w:r>
        <w:t xml:space="preserve">: coste computacional de generar la explicación.</w:t>
      </w:r>
    </w:p>
    <w:p>
      <w:pPr>
        <w:pStyle w:val="Compact"/>
        <w:numPr>
          <w:ilvl w:val="0"/>
          <w:numId w:val="1016"/>
        </w:numPr>
        <w:spacing w:line="360" w:lineRule="auto"/>
        <w:jc w:val="both"/>
      </w:pPr>
      <w:r>
        <w:rPr>
          <w:i/>
          <w:iCs/>
        </w:rPr>
        <w:t xml:space="preserve">Fairness</w:t>
      </w:r>
      <w:r>
        <w:t xml:space="preserve">: equidad en la calidad explicativa entre subgrupos, dimensión</w:t>
      </w:r>
      <w:r>
        <w:t xml:space="preserve"> </w:t>
      </w:r>
      <w:r>
        <w:t xml:space="preserve">transversal identificada en benchmarks como OpenXAI</w:t>
      </w:r>
      <w:r>
        <w:t xml:space="preserve"> </w:t>
      </w:r>
      <w:r>
        <w:t xml:space="preserve">(Agarwal et al. 2022)</w:t>
      </w:r>
      <w:r>
        <w:t xml:space="preserve">.</w:t>
      </w:r>
    </w:p>
    <w:p>
      <w:pPr>
        <w:pStyle w:val="FirstParagraph"/>
        <w:spacing w:line="360" w:lineRule="auto"/>
        <w:jc w:val="both"/>
      </w:pPr>
      <w:r>
        <w:rPr>
          <w:b/>
          <w:bCs/>
        </w:rPr>
        <w:t xml:space="preserve">Eje 4 — Contexto de tarea.</w:t>
      </w:r>
      <w:r>
        <w:t xml:space="preserve"> </w:t>
      </w:r>
      <w:r>
        <w:t xml:space="preserve">El contexto determina qué propiedades son</w:t>
      </w:r>
      <w:r>
        <w:t xml:space="preserve"> </w:t>
      </w:r>
      <w:r>
        <w:t xml:space="preserve">prioritarias y qué nivel de coste es aceptable</w:t>
      </w:r>
      <w:r>
        <w:t xml:space="preserve"> </w:t>
      </w:r>
      <w:r>
        <w:t xml:space="preserve">(Arrieta 2019; Bhattacharya and Verbert 2024)</w:t>
      </w:r>
      <w:r>
        <w:t xml:space="preserve">:</w:t>
      </w:r>
    </w:p>
    <w:p>
      <w:pPr>
        <w:pStyle w:val="Compact"/>
        <w:numPr>
          <w:ilvl w:val="0"/>
          <w:numId w:val="1017"/>
        </w:numPr>
        <w:spacing w:line="360" w:lineRule="auto"/>
        <w:jc w:val="both"/>
      </w:pPr>
      <w:r>
        <w:rPr>
          <w:i/>
          <w:iCs/>
        </w:rPr>
        <w:t xml:space="preserve">Auditoría y cumplimiento regulatorio</w:t>
      </w:r>
      <w:r>
        <w:t xml:space="preserve">: requiere alta fidelidad, estabilidad</w:t>
      </w:r>
      <w:r>
        <w:t xml:space="preserve"> </w:t>
      </w:r>
      <w:r>
        <w:t xml:space="preserve">y trazabilidad; el coste computacional puede ser secundario.</w:t>
      </w:r>
    </w:p>
    <w:p>
      <w:pPr>
        <w:pStyle w:val="Compact"/>
        <w:numPr>
          <w:ilvl w:val="0"/>
          <w:numId w:val="1017"/>
        </w:numPr>
        <w:spacing w:line="360" w:lineRule="auto"/>
        <w:jc w:val="both"/>
      </w:pPr>
      <w:r>
        <w:rPr>
          <w:i/>
          <w:iCs/>
        </w:rPr>
        <w:t xml:space="preserve">Inferencia en tiempo real</w:t>
      </w:r>
      <w:r>
        <w:t xml:space="preserve">: requiere baja latencia; puede aceptar fidelidad</w:t>
      </w:r>
      <w:r>
        <w:t xml:space="preserve"> </w:t>
      </w:r>
      <w:r>
        <w:t xml:space="preserve">moderada si el objetivo es respuesta inmediata.</w:t>
      </w:r>
    </w:p>
    <w:p>
      <w:pPr>
        <w:pStyle w:val="Compact"/>
        <w:numPr>
          <w:ilvl w:val="0"/>
          <w:numId w:val="1017"/>
        </w:numPr>
        <w:spacing w:line="360" w:lineRule="auto"/>
        <w:jc w:val="both"/>
      </w:pPr>
      <w:r>
        <w:rPr>
          <w:i/>
          <w:iCs/>
        </w:rPr>
        <w:t xml:space="preserve">Soporte a usuario final</w:t>
      </w:r>
      <w:r>
        <w:t xml:space="preserve">: requiere parsimonia, comprensibilidad y</w:t>
      </w:r>
      <w:r>
        <w:t xml:space="preserve"> </w:t>
      </w:r>
      <w:r>
        <w:t xml:space="preserve">comunicación; la métrica automática no basta para demostrar utilidad.</w:t>
      </w:r>
    </w:p>
    <w:p>
      <w:pPr>
        <w:pStyle w:val="Compact"/>
        <w:numPr>
          <w:ilvl w:val="0"/>
          <w:numId w:val="1017"/>
        </w:numPr>
        <w:spacing w:line="360" w:lineRule="auto"/>
        <w:jc w:val="both"/>
      </w:pPr>
      <w:r>
        <w:rPr>
          <w:i/>
          <w:iCs/>
        </w:rPr>
        <w:t xml:space="preserve">Diagnóstico de modelos y depuración</w:t>
      </w:r>
      <w:r>
        <w:t xml:space="preserve">: requiere fidelidad local, cobertura y</w:t>
      </w:r>
      <w:r>
        <w:t xml:space="preserve"> </w:t>
      </w:r>
      <w:r>
        <w:t xml:space="preserve">sensibilidad a errores del modelo; la eficiencia es secundaria.</w:t>
      </w:r>
    </w:p>
    <w:bookmarkEnd w:id="163"/>
    <w:bookmarkStart w:id="165" w:name="sec-taxonomia-matriz"/>
    <w:p>
      <w:pPr>
        <w:pStyle w:val="Ttulo2"/>
        <w:spacing w:line="360" w:lineRule="auto"/>
        <w:jc w:val="both"/>
      </w:pPr>
      <w:r>
        <w:t xml:space="preserve">Matriz taxonómica de métricas XAI</w:t>
      </w:r>
    </w:p>
    <w:p>
      <w:pPr>
        <w:pStyle w:val="FirstParagraph"/>
        <w:spacing w:line="360" w:lineRule="auto"/>
        <w:jc w:val="both"/>
      </w:pPr>
      <w:r>
        <w:t xml:space="preserve">La Tabla</w:t>
      </w:r>
      <w:r>
        <w:t xml:space="preserve"> </w:t>
      </w:r>
      <w:hyperlink w:anchor="tbl-taxonomia-ampliada">
        <w:r>
          <w:rPr>
            <w:rStyle w:val="Hipervnculo"/>
          </w:rPr>
          <w:t xml:space="preserve">Table 6.1</w:t>
        </w:r>
      </w:hyperlink>
      <w:r>
        <w:t xml:space="preserve"> </w:t>
      </w:r>
      <w:r>
        <w:t xml:space="preserve">resume métricas frecuentes y su ubicación</w:t>
      </w:r>
      <w:r>
        <w:t xml:space="preserve"> </w:t>
      </w:r>
      <w:r>
        <w:t xml:space="preserve">dentro de la taxonomía. La columna de alcance inferencial indica qué puede</w:t>
      </w:r>
      <w:r>
        <w:t xml:space="preserve"> </w:t>
      </w:r>
      <w:r>
        <w:t xml:space="preserve">sostenerse razonablemente cuando la métrica se usa en un benchmark técnico.</w:t>
      </w:r>
    </w:p>
    <w:tbl>
      <w:tblPr>
        <w:tblStyle w:val="Table"/>
        <w:tblW w:type="pct" w:w="5000"/>
        <w:tblLayout w:type="fixed"/>
        <w:tblLook w:firstRow="0" w:lastRow="0" w:firstColumn="0" w:lastColumn="0" w:noHBand="0" w:noVBand="0" w:val="0000"/>
      </w:tblPr>
      <w:tblGrid>
        <w:gridCol w:w="7920"/>
      </w:tblGrid>
      <w:tr>
        <w:tc>
          <w:tcPr/>
          <w:bookmarkStart w:id="164" w:name="tbl-taxonomia-ampliada"/>
          <w:p>
            <w:pPr>
              <w:jc w:val="both"/>
              <w:spacing w:line="360" w:lineRule="auto"/>
            </w:pPr>
            <w:pPr>
              <w:jc w:val="left"/>
              <w:spacing w:before="200"/>
              <w:pStyle w:val="ImageCaption"/>
            </w:pPr>
            <w:r>
              <w:t xml:space="preserve">Table 6.1: Taxonomía ampliada de métricas y constructos de evaluación XAI.</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Métrica / constructo</w:t>
                  </w:r>
                </w:p>
              </w:tc>
              <w:tc>
                <w:tcPr/>
                <w:p>
                  <w:pPr>
                    <w:pStyle w:val="Compact"/>
                    <w:jc w:val="both"/>
                    <w:jc w:val="center"/>
                    <w:spacing w:line="360" w:lineRule="auto"/>
                  </w:pPr>
                  <w:r>
                    <w:t xml:space="preserve">Objetivo</w:t>
                  </w:r>
                </w:p>
              </w:tc>
              <w:tc>
                <w:tcPr/>
                <w:p>
                  <w:pPr>
                    <w:pStyle w:val="Compact"/>
                    <w:jc w:val="both"/>
                    <w:jc w:val="center"/>
                    <w:spacing w:line="360" w:lineRule="auto"/>
                  </w:pPr>
                  <w:r>
                    <w:t xml:space="preserve">Fuente de evidencia</w:t>
                  </w:r>
                </w:p>
              </w:tc>
              <w:tc>
                <w:tcPr/>
                <w:p>
                  <w:pPr>
                    <w:pStyle w:val="Compact"/>
                    <w:jc w:val="both"/>
                    <w:jc w:val="center"/>
                    <w:spacing w:line="360" w:lineRule="auto"/>
                  </w:pPr>
                  <w:r>
                    <w:t xml:space="preserve">Propiedad</w:t>
                  </w:r>
                </w:p>
              </w:tc>
              <w:tc>
                <w:tcPr/>
                <w:p>
                  <w:pPr>
                    <w:pStyle w:val="Compact"/>
                    <w:jc w:val="both"/>
                    <w:jc w:val="center"/>
                    <w:spacing w:line="360" w:lineRule="auto"/>
                  </w:pPr>
                  <w:r>
                    <w:t xml:space="preserve">Contexto típico</w:t>
                  </w:r>
                </w:p>
              </w:tc>
              <w:tc>
                <w:tcPr/>
                <w:p>
                  <w:pPr>
                    <w:pStyle w:val="Compact"/>
                    <w:jc w:val="both"/>
                    <w:jc w:val="center"/>
                    <w:spacing w:line="360" w:lineRule="auto"/>
                  </w:pPr>
                  <w:r>
                    <w:t xml:space="preserve">Alcance inferencial</w:t>
                  </w:r>
                </w:p>
              </w:tc>
            </w:tr>
            <w:tr>
              <w:tc>
                <w:tcPr/>
                <w:p>
                  <w:pPr>
                    <w:pStyle w:val="Compact"/>
                    <w:jc w:val="both"/>
                    <w:jc w:val="center"/>
                    <w:spacing w:line="360" w:lineRule="auto"/>
                  </w:pPr>
                  <w:r>
                    <w:t xml:space="preserve">Fidelidad local</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Comparación modelo-explicador</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c>
                <w:tcPr/>
                <w:p>
                  <w:pPr>
                    <w:pStyle w:val="Compact"/>
                    <w:jc w:val="both"/>
                    <w:jc w:val="center"/>
                    <w:spacing w:line="360" w:lineRule="auto"/>
                  </w:pPr>
                  <w:r>
                    <w:t xml:space="preserve">Acuerdo bajo vecindario definido</w:t>
                  </w:r>
                </w:p>
              </w:tc>
            </w:tr>
            <w:tr>
              <w:tc>
                <w:tcPr/>
                <w:p>
                  <w:pPr>
                    <w:pStyle w:val="Compact"/>
                    <w:jc w:val="both"/>
                    <w:jc w:val="center"/>
                    <w:spacing w:line="360" w:lineRule="auto"/>
                  </w:pPr>
                  <w:r>
                    <w:t xml:space="preserve">Infidelity</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Perturbación/enmascaramiento</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Sensibilidad entre explicación y cambio de salida</w:t>
                  </w:r>
                </w:p>
              </w:tc>
            </w:tr>
            <w:tr>
              <w:tc>
                <w:tcPr/>
                <w:p>
                  <w:pPr>
                    <w:pStyle w:val="Compact"/>
                    <w:jc w:val="both"/>
                    <w:jc w:val="center"/>
                    <w:spacing w:line="360" w:lineRule="auto"/>
                  </w:pPr>
                  <w:r>
                    <w:t xml:space="preserve">Faithfulness gap / top-k</w:t>
                  </w:r>
                </w:p>
              </w:tc>
              <w:tc>
                <w:tcPr/>
                <w:p>
                  <w:pPr>
                    <w:pStyle w:val="Compact"/>
                    <w:jc w:val="both"/>
                    <w:jc w:val="center"/>
                    <w:spacing w:line="360" w:lineRule="auto"/>
                  </w:pPr>
                  <w:r>
                    <w:t xml:space="preserve">Relevancia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Cambio de predicción bajo intervención operacional</w:t>
                  </w:r>
                </w:p>
              </w:tc>
            </w:tr>
            <w:tr>
              <w:tc>
                <w:tcPr/>
                <w:p>
                  <w:pPr>
                    <w:pStyle w:val="Compact"/>
                    <w:jc w:val="both"/>
                    <w:jc w:val="center"/>
                    <w:spacing w:line="360" w:lineRule="auto"/>
                  </w:pPr>
                  <w:r>
                    <w:t xml:space="preserve">Robustez</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o estrés</w:t>
                  </w:r>
                </w:p>
              </w:tc>
              <w:tc>
                <w:tcPr/>
                <w:p>
                  <w:pPr>
                    <w:pStyle w:val="Compact"/>
                    <w:jc w:val="both"/>
                    <w:jc w:val="center"/>
                    <w:spacing w:line="360" w:lineRule="auto"/>
                  </w:pPr>
                  <w:r>
                    <w:t xml:space="preserve">Robustness</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Resistencia bajo condiciones definidas</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leve</w:t>
                  </w:r>
                </w:p>
              </w:tc>
              <w:tc>
                <w:tcPr/>
                <w:p>
                  <w:pPr>
                    <w:pStyle w:val="Compact"/>
                    <w:jc w:val="both"/>
                    <w:jc w:val="center"/>
                    <w:spacing w:line="360" w:lineRule="auto"/>
                  </w:pPr>
                  <w:r>
                    <w:t xml:space="preserve">Stability</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Consistencia ante variaciones pequeñas</w:t>
                  </w:r>
                </w:p>
              </w:tc>
            </w:tr>
            <w:tr>
              <w:tc>
                <w:tcPr/>
                <w:p>
                  <w:pPr>
                    <w:pStyle w:val="Compact"/>
                    <w:jc w:val="both"/>
                    <w:jc w:val="center"/>
                    <w:spacing w:line="360" w:lineRule="auto"/>
                  </w:pPr>
                  <w:r>
                    <w:t xml:space="preserve">Sparsity / parsimonia</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de características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Interfaces, usuario final</w:t>
                  </w:r>
                </w:p>
              </w:tc>
              <w:tc>
                <w:tcPr/>
                <w:p>
                  <w:pPr>
                    <w:pStyle w:val="Compact"/>
                    <w:jc w:val="both"/>
                    <w:jc w:val="center"/>
                    <w:spacing w:line="360" w:lineRule="auto"/>
                  </w:pPr>
                  <w:r>
                    <w:t xml:space="preserve">Tamaño cognitivo aproximado</w:t>
                  </w:r>
                </w:p>
              </w:tc>
            </w:tr>
            <w:tr>
              <w:tc>
                <w:tcPr/>
                <w:p>
                  <w:pPr>
                    <w:pStyle w:val="Compact"/>
                    <w:jc w:val="both"/>
                    <w:jc w:val="center"/>
                    <w:spacing w:line="360" w:lineRule="auto"/>
                  </w:pPr>
                  <w:r>
                    <w:t xml:space="preserve">Complejidad</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longitud, reglas</w:t>
                  </w:r>
                </w:p>
              </w:tc>
              <w:tc>
                <w:tcPr/>
                <w:p>
                  <w:pPr>
                    <w:pStyle w:val="Compact"/>
                    <w:jc w:val="both"/>
                    <w:jc w:val="center"/>
                    <w:spacing w:line="360" w:lineRule="auto"/>
                  </w:pPr>
                  <w:r>
                    <w:t xml:space="preserve">Simplicity/complejidad</w:t>
                  </w:r>
                </w:p>
              </w:tc>
              <w:tc>
                <w:tcPr/>
                <w:p>
                  <w:pPr>
                    <w:pStyle w:val="Compact"/>
                    <w:jc w:val="both"/>
                    <w:jc w:val="center"/>
                    <w:spacing w:line="360" w:lineRule="auto"/>
                  </w:pPr>
                  <w:r>
                    <w:t xml:space="preserve">Comunicación</w:t>
                  </w:r>
                </w:p>
              </w:tc>
              <w:tc>
                <w:tcPr/>
                <w:p>
                  <w:pPr>
                    <w:pStyle w:val="Compact"/>
                    <w:jc w:val="both"/>
                    <w:jc w:val="center"/>
                    <w:spacing w:line="360" w:lineRule="auto"/>
                  </w:pPr>
                  <w:r>
                    <w:t xml:space="preserve">Carga estructural del artefacto</w:t>
                  </w:r>
                </w:p>
              </w:tc>
            </w:tr>
            <w:tr>
              <w:tc>
                <w:tcPr/>
                <w:p>
                  <w:pPr>
                    <w:pStyle w:val="Compact"/>
                    <w:jc w:val="both"/>
                    <w:jc w:val="center"/>
                    <w:spacing w:line="360" w:lineRule="auto"/>
                  </w:pPr>
                  <w:r>
                    <w:t xml:space="preserve">Plausibilidad</w:t>
                  </w:r>
                </w:p>
              </w:tc>
              <w:tc>
                <w:tcPr/>
                <w:p>
                  <w:pPr>
                    <w:pStyle w:val="Compact"/>
                    <w:jc w:val="both"/>
                    <w:jc w:val="center"/>
                    <w:spacing w:line="360" w:lineRule="auto"/>
                  </w:pPr>
                  <w:r>
                    <w:t xml:space="preserve">Aceptabilidad humana</w:t>
                  </w:r>
                </w:p>
              </w:tc>
              <w:tc>
                <w:tcPr/>
                <w:p>
                  <w:pPr>
                    <w:pStyle w:val="Compact"/>
                    <w:jc w:val="both"/>
                    <w:jc w:val="center"/>
                    <w:spacing w:line="360" w:lineRule="auto"/>
                  </w:pPr>
                  <w:r>
                    <w:t xml:space="preserve">Estudio con usuario o experto</w:t>
                  </w:r>
                </w:p>
              </w:tc>
              <w:tc>
                <w:tcPr/>
                <w:p>
                  <w:pPr>
                    <w:pStyle w:val="Compact"/>
                    <w:jc w:val="both"/>
                    <w:jc w:val="center"/>
                    <w:spacing w:line="360" w:lineRule="auto"/>
                  </w:pPr>
                  <w:r>
                    <w:t xml:space="preserve">Plausibility</w:t>
                  </w:r>
                </w:p>
              </w:tc>
              <w:tc>
                <w:tcPr/>
                <w:p>
                  <w:pPr>
                    <w:pStyle w:val="Compact"/>
                    <w:jc w:val="both"/>
                    <w:jc w:val="center"/>
                    <w:spacing w:line="360" w:lineRule="auto"/>
                  </w:pPr>
                  <w:r>
                    <w:t xml:space="preserve">Soporte a usuario</w:t>
                  </w:r>
                </w:p>
              </w:tc>
              <w:tc>
                <w:tcPr/>
                <w:p>
                  <w:pPr>
                    <w:pStyle w:val="Compact"/>
                    <w:jc w:val="both"/>
                    <w:jc w:val="center"/>
                    <w:spacing w:line="360" w:lineRule="auto"/>
                  </w:pPr>
                  <w:r>
                    <w:t xml:space="preserve">Coherencia percibida; no prueba verdad</w:t>
                  </w:r>
                </w:p>
              </w:tc>
            </w:tr>
            <w:tr>
              <w:tc>
                <w:tcPr/>
                <w:p>
                  <w:pPr>
                    <w:pStyle w:val="Compact"/>
                    <w:jc w:val="both"/>
                    <w:jc w:val="center"/>
                    <w:spacing w:line="360" w:lineRule="auto"/>
                  </w:pPr>
                  <w:r>
                    <w:t xml:space="preserve">Comprensibilidad</w:t>
                  </w:r>
                </w:p>
              </w:tc>
              <w:tc>
                <w:tcPr/>
                <w:p>
                  <w:pPr>
                    <w:pStyle w:val="Compact"/>
                    <w:jc w:val="both"/>
                    <w:jc w:val="center"/>
                    <w:spacing w:line="360" w:lineRule="auto"/>
                  </w:pPr>
                  <w:r>
                    <w:t xml:space="preserve">Soporte cognitivo</w:t>
                  </w:r>
                </w:p>
              </w:tc>
              <w:tc>
                <w:tcPr/>
                <w:p>
                  <w:pPr>
                    <w:pStyle w:val="Compact"/>
                    <w:jc w:val="both"/>
                    <w:jc w:val="center"/>
                    <w:spacing w:line="360" w:lineRule="auto"/>
                  </w:pPr>
                  <w:r>
                    <w:t xml:space="preserve">Estudio con usuario</w:t>
                  </w:r>
                </w:p>
              </w:tc>
              <w:tc>
                <w:tcPr/>
                <w:p>
                  <w:pPr>
                    <w:pStyle w:val="Compact"/>
                    <w:jc w:val="both"/>
                    <w:jc w:val="center"/>
                    <w:spacing w:line="360" w:lineRule="auto"/>
                  </w:pPr>
                  <w:r>
                    <w:t xml:space="preserve">Comprehensibility</w:t>
                  </w:r>
                </w:p>
              </w:tc>
              <w:tc>
                <w:tcPr/>
                <w:p>
                  <w:pPr>
                    <w:pStyle w:val="Compact"/>
                    <w:jc w:val="both"/>
                    <w:jc w:val="center"/>
                    <w:spacing w:line="360" w:lineRule="auto"/>
                  </w:pPr>
                  <w:r>
                    <w:t xml:space="preserve">Usuario final</w:t>
                  </w:r>
                </w:p>
              </w:tc>
              <w:tc>
                <w:tcPr/>
                <w:p>
                  <w:pPr>
                    <w:pStyle w:val="Compact"/>
                    <w:jc w:val="both"/>
                    <w:jc w:val="center"/>
                    <w:spacing w:line="360" w:lineRule="auto"/>
                  </w:pPr>
                  <w:r>
                    <w:t xml:space="preserve">Facilidad de comprensión observada</w:t>
                  </w:r>
                </w:p>
              </w:tc>
            </w:tr>
            <w:tr>
              <w:tc>
                <w:tcPr/>
                <w:p>
                  <w:pPr>
                    <w:pStyle w:val="Compact"/>
                    <w:jc w:val="both"/>
                    <w:jc w:val="center"/>
                    <w:spacing w:line="360" w:lineRule="auto"/>
                  </w:pPr>
                  <w:r>
                    <w:t xml:space="preserve">Satisfacción humana</w:t>
                  </w:r>
                </w:p>
              </w:tc>
              <w:tc>
                <w:tcPr/>
                <w:p>
                  <w:pPr>
                    <w:pStyle w:val="Compact"/>
                    <w:jc w:val="both"/>
                    <w:jc w:val="center"/>
                    <w:spacing w:line="360" w:lineRule="auto"/>
                  </w:pPr>
                  <w:r>
                    <w:t xml:space="preserve">Experiencia de uso</w:t>
                  </w:r>
                </w:p>
              </w:tc>
              <w:tc>
                <w:tcPr/>
                <w:p>
                  <w:pPr>
                    <w:pStyle w:val="Compact"/>
                    <w:jc w:val="both"/>
                    <w:jc w:val="center"/>
                    <w:spacing w:line="360" w:lineRule="auto"/>
                  </w:pPr>
                  <w:r>
                    <w:t xml:space="preserve">Encuesta/experimento</w:t>
                  </w:r>
                </w:p>
              </w:tc>
              <w:tc>
                <w:tcPr/>
                <w:p>
                  <w:pPr>
                    <w:pStyle w:val="Compact"/>
                    <w:jc w:val="both"/>
                    <w:jc w:val="center"/>
                    <w:spacing w:line="360" w:lineRule="auto"/>
                  </w:pPr>
                  <w:r>
                    <w:t xml:space="preserve">Usefulness</w:t>
                  </w:r>
                </w:p>
              </w:tc>
              <w:tc>
                <w:tcPr/>
                <w:p>
                  <w:pPr>
                    <w:pStyle w:val="Compact"/>
                    <w:jc w:val="both"/>
                    <w:jc w:val="center"/>
                    <w:spacing w:line="360" w:lineRule="auto"/>
                  </w:pPr>
                  <w:r>
                    <w:t xml:space="preserve">Aplicación</w:t>
                  </w:r>
                </w:p>
              </w:tc>
              <w:tc>
                <w:tcPr/>
                <w:p>
                  <w:pPr>
                    <w:pStyle w:val="Compact"/>
                    <w:jc w:val="both"/>
                    <w:jc w:val="center"/>
                    <w:spacing w:line="360" w:lineRule="auto"/>
                  </w:pPr>
                  <w:r>
                    <w:t xml:space="preserve">Preferencia o utilidad percibida</w:t>
                  </w:r>
                </w:p>
              </w:tc>
            </w:tr>
            <w:tr>
              <w:tc>
                <w:tcPr/>
                <w:p>
                  <w:pPr>
                    <w:pStyle w:val="Compact"/>
                    <w:jc w:val="both"/>
                    <w:jc w:val="center"/>
                    <w:spacing w:line="360" w:lineRule="auto"/>
                  </w:pPr>
                  <w:r>
                    <w:t xml:space="preserve">Validez contrafactual</w:t>
                  </w:r>
                </w:p>
              </w:tc>
              <w:tc>
                <w:tcPr/>
                <w:p>
                  <w:pPr>
                    <w:pStyle w:val="Compact"/>
                    <w:jc w:val="both"/>
                    <w:jc w:val="center"/>
                    <w:spacing w:line="360" w:lineRule="auto"/>
                  </w:pPr>
                  <w:r>
                    <w:t xml:space="preserve">Cambio de resultado</w:t>
                  </w:r>
                </w:p>
              </w:tc>
              <w:tc>
                <w:tcPr/>
                <w:p>
                  <w:pPr>
                    <w:pStyle w:val="Compact"/>
                    <w:jc w:val="both"/>
                    <w:jc w:val="center"/>
                    <w:spacing w:line="360" w:lineRule="auto"/>
                  </w:pPr>
                  <w:r>
                    <w:t xml:space="preserve">Evaluación de contrafactual</w:t>
                  </w:r>
                </w:p>
              </w:tc>
              <w:tc>
                <w:tcPr/>
                <w:p>
                  <w:pPr>
                    <w:pStyle w:val="Compact"/>
                    <w:jc w:val="both"/>
                    <w:jc w:val="center"/>
                    <w:spacing w:line="360" w:lineRule="auto"/>
                  </w:pPr>
                  <w:r>
                    <w:t xml:space="preserve">Validity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La alternativa cambia la predicción</w:t>
                  </w:r>
                </w:p>
              </w:tc>
            </w:tr>
            <w:tr>
              <w:tc>
                <w:tcPr/>
                <w:p>
                  <w:pPr>
                    <w:pStyle w:val="Compact"/>
                    <w:jc w:val="both"/>
                    <w:jc w:val="center"/>
                    <w:spacing w:line="360" w:lineRule="auto"/>
                  </w:pPr>
                  <w:r>
                    <w:t xml:space="preserve">Actionability</w:t>
                  </w:r>
                </w:p>
              </w:tc>
              <w:tc>
                <w:tcPr/>
                <w:p>
                  <w:pPr>
                    <w:pStyle w:val="Compact"/>
                    <w:jc w:val="both"/>
                    <w:jc w:val="center"/>
                    <w:spacing w:line="360" w:lineRule="auto"/>
                  </w:pPr>
                  <w:r>
                    <w:t xml:space="preserve">Factibilidad de cambio</w:t>
                  </w:r>
                </w:p>
              </w:tc>
              <w:tc>
                <w:tcPr/>
                <w:p>
                  <w:pPr>
                    <w:pStyle w:val="Compact"/>
                    <w:jc w:val="both"/>
                    <w:jc w:val="center"/>
                    <w:spacing w:line="360" w:lineRule="auto"/>
                  </w:pPr>
                  <w:r>
                    <w:t xml:space="preserve">Reglas de dominio/usuario</w:t>
                  </w:r>
                </w:p>
              </w:tc>
              <w:tc>
                <w:tcPr/>
                <w:p>
                  <w:pPr>
                    <w:pStyle w:val="Compact"/>
                    <w:jc w:val="both"/>
                    <w:jc w:val="center"/>
                    <w:spacing w:line="360" w:lineRule="auto"/>
                  </w:pPr>
                  <w:r>
                    <w:t xml:space="preserve">Actionability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El cambio es ejecutable bajo restricciones</w:t>
                  </w:r>
                </w:p>
              </w:tc>
            </w:tr>
            <w:tr>
              <w:tc>
                <w:tcPr/>
                <w:p>
                  <w:pPr>
                    <w:pStyle w:val="Compact"/>
                    <w:jc w:val="both"/>
                    <w:jc w:val="center"/>
                    <w:spacing w:line="360" w:lineRule="auto"/>
                  </w:pPr>
                  <w:r>
                    <w:t xml:space="preserve">Alineamiento causal</w:t>
                  </w:r>
                </w:p>
              </w:tc>
              <w:tc>
                <w:tcPr/>
                <w:p>
                  <w:pPr>
                    <w:pStyle w:val="Compact"/>
                    <w:jc w:val="both"/>
                    <w:jc w:val="center"/>
                    <w:spacing w:line="360" w:lineRule="auto"/>
                  </w:pPr>
                  <w:r>
                    <w:t xml:space="preserve">Relación explicación-dominio</w:t>
                  </w:r>
                </w:p>
              </w:tc>
              <w:tc>
                <w:tcPr/>
                <w:p>
                  <w:pPr>
                    <w:pStyle w:val="Compact"/>
                    <w:jc w:val="both"/>
                    <w:jc w:val="center"/>
                    <w:spacing w:line="360" w:lineRule="auto"/>
                  </w:pPr>
                  <w:r>
                    <w:t xml:space="preserve">Modelo causal/experto</w:t>
                  </w:r>
                </w:p>
              </w:tc>
              <w:tc>
                <w:tcPr/>
                <w:p>
                  <w:pPr>
                    <w:pStyle w:val="Compact"/>
                    <w:jc w:val="both"/>
                    <w:jc w:val="center"/>
                    <w:spacing w:line="360" w:lineRule="auto"/>
                  </w:pPr>
                  <w:r>
                    <w:t xml:space="preserve">Causal alignment</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Requiere evidencia causal externa</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w:r>
                    <w:t xml:space="preserve">Eficiencia</w:t>
                  </w:r>
                </w:p>
              </w:tc>
              <w:tc>
                <w:tcPr/>
                <w:p>
                  <w:pPr>
                    <w:pStyle w:val="Compact"/>
                    <w:jc w:val="both"/>
                    <w:jc w:val="center"/>
                    <w:spacing w:line="360" w:lineRule="auto"/>
                  </w:pPr>
                  <w:r>
                    <w:t xml:space="preserve">Tiempo/recurso</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Producción</w:t>
                  </w:r>
                </w:p>
              </w:tc>
              <w:tc>
                <w:tcPr/>
                <w:p>
                  <w:pPr>
                    <w:pStyle w:val="Compact"/>
                    <w:jc w:val="both"/>
                    <w:jc w:val="center"/>
                    <w:spacing w:line="360" w:lineRule="auto"/>
                  </w:pPr>
                  <w:r>
                    <w:t xml:space="preserve">Factibilidad operacional</w:t>
                  </w:r>
                </w:p>
              </w:tc>
            </w:tr>
            <w:tr>
              <w:tc>
                <w:tcPr/>
                <w:p>
                  <w:pPr>
                    <w:pStyle w:val="Compact"/>
                    <w:jc w:val="both"/>
                    <w:jc w:val="center"/>
                    <w:spacing w:line="360" w:lineRule="auto"/>
                  </w:pPr>
                  <w:r>
                    <w:t xml:space="preserve">Equidad explicativa</w:t>
                  </w:r>
                </w:p>
              </w:tc>
              <w:tc>
                <w:tcPr/>
                <w:p>
                  <w:pPr>
                    <w:pStyle w:val="Compact"/>
                    <w:jc w:val="both"/>
                    <w:jc w:val="center"/>
                    <w:spacing w:line="360" w:lineRule="auto"/>
                  </w:pPr>
                  <w:r>
                    <w:t xml:space="preserve">Comparación entre subgrupos</w:t>
                  </w:r>
                </w:p>
              </w:tc>
              <w:tc>
                <w:tcPr/>
                <w:p>
                  <w:pPr>
                    <w:pStyle w:val="Compact"/>
                    <w:jc w:val="both"/>
                    <w:jc w:val="center"/>
                    <w:spacing w:line="360" w:lineRule="auto"/>
                  </w:pPr>
                  <w:r>
                    <w:t xml:space="preserve">Métrica estratificada</w:t>
                  </w:r>
                </w:p>
              </w:tc>
              <w:tc>
                <w:tcPr/>
                <w:p>
                  <w:pPr>
                    <w:pStyle w:val="Compact"/>
                    <w:jc w:val="both"/>
                    <w:jc w:val="center"/>
                    <w:spacing w:line="360" w:lineRule="auto"/>
                  </w:pPr>
                  <w:r>
                    <w:t xml:space="preserve">Fairness</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Diferencias de calidad explicativa por grupo</w:t>
                  </w:r>
                </w:p>
              </w:tc>
            </w:tr>
          </w:tbl>
          <w:bookmarkEnd w:id="164"/>
          <w:p>
            <w:pPr>
              <w:spacing w:line="360" w:lineRule="auto"/>
              <w:jc w:val="both"/>
            </w:pPr>
          </w:p>
        </w:tc>
      </w:tr>
    </w:tbl>
    <w:bookmarkEnd w:id="165"/>
    <w:bookmarkStart w:id="167" w:name="sec-taxonomia-benchmark"/>
    <w:p>
      <w:pPr>
        <w:pStyle w:val="Ttulo2"/>
        <w:spacing w:line="360" w:lineRule="auto"/>
        <w:jc w:val="both"/>
      </w:pPr>
      <w:r>
        <w:t xml:space="preserve">Mapeo del benchmark a la taxonomía</w:t>
      </w:r>
    </w:p>
    <w:p>
      <w:pPr>
        <w:pStyle w:val="FirstParagraph"/>
        <w:spacing w:line="360" w:lineRule="auto"/>
        <w:jc w:val="both"/>
      </w:pPr>
      <w:r>
        <w:t xml:space="preserve">Las cinco métricas operacionalizadas en los Estudios A y B se localizan en la</w:t>
      </w:r>
      <w:r>
        <w:t xml:space="preserve"> </w:t>
      </w:r>
      <w:r>
        <w:t xml:space="preserve">taxonomía de la siguiente manera:</w:t>
      </w:r>
    </w:p>
    <w:tbl>
      <w:tblPr>
        <w:tblStyle w:val="Table"/>
        <w:tblW w:type="pct" w:w="5000"/>
        <w:tblLayout w:type="fixed"/>
        <w:tblLook w:firstRow="0" w:lastRow="0" w:firstColumn="0" w:lastColumn="0" w:noHBand="0" w:noVBand="0" w:val="0000"/>
      </w:tblPr>
      <w:tblGrid>
        <w:gridCol w:w="7920"/>
      </w:tblGrid>
      <w:tr>
        <w:tc>
          <w:tcPr/>
          <w:bookmarkStart w:id="166" w:name="tbl-taxonomia-benchmark"/>
          <w:p>
            <w:pPr>
              <w:jc w:val="both"/>
              <w:spacing w:line="360" w:lineRule="auto"/>
            </w:pPr>
            <w:pPr>
              <w:jc w:val="left"/>
              <w:spacing w:before="200"/>
              <w:pStyle w:val="ImageCaption"/>
            </w:pPr>
            <w:r>
              <w:t xml:space="preserve">Table 6.2: Mapeo de las métricas del benchmark a los cuatro ejes de la taxonomía.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Eje 1: objetivo</w:t>
                  </w:r>
                </w:p>
              </w:tc>
              <w:tc>
                <w:tcPr/>
                <w:p>
                  <w:pPr>
                    <w:pStyle w:val="Compact"/>
                    <w:jc w:val="both"/>
                    <w:jc w:val="center"/>
                    <w:spacing w:line="360" w:lineRule="auto"/>
                  </w:pPr>
                  <w:r>
                    <w:t xml:space="preserve">Eje 2: fuente de evidencia</w:t>
                  </w:r>
                </w:p>
              </w:tc>
              <w:tc>
                <w:tcPr/>
                <w:p>
                  <w:pPr>
                    <w:pStyle w:val="Compact"/>
                    <w:jc w:val="both"/>
                    <w:jc w:val="center"/>
                    <w:spacing w:line="360" w:lineRule="auto"/>
                  </w:pPr>
                  <w:r>
                    <w:t xml:space="preserve">Eje 3: propiedad</w:t>
                  </w:r>
                </w:p>
              </w:tc>
              <w:tc>
                <w:tcPr/>
                <w:p>
                  <w:pPr>
                    <w:pStyle w:val="Compact"/>
                    <w:jc w:val="both"/>
                    <w:jc w:val="center"/>
                    <w:spacing w:line="360" w:lineRule="auto"/>
                  </w:pPr>
                  <w:r>
                    <w:t xml:space="preserve">Eje 4: contexto prioritario</w:t>
                  </w:r>
                </w:p>
              </w:tc>
            </w:tr>
            <w:tr>
              <w:tc>
                <w:tcPr/>
                <w:p>
                  <w:pPr>
                    <w:pStyle w:val="Compact"/>
                    <w:jc w:val="both"/>
                    <w:jc w:val="center"/>
                    <w:spacing w:line="360" w:lineRule="auto"/>
                  </w:pPr>
                  <w:r>
                    <w:t xml:space="preserve">Fidelidad (</w:t>
                  </w:r>
                  <ns1:oMath>
                    <ns1:r>
                      <ns1:t>F</ns1:t>
                    </ns1:r>
                  </ns1:oMath>
                  <w:r>
                    <w:t xml:space="preserve">)</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Enmascaramiento de características</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r>
            <w:tr>
              <w:tc>
                <w:tcPr/>
                <w:p>
                  <w:pPr>
                    <w:pStyle w:val="Compact"/>
                    <w:jc w:val="both"/>
                    <w:jc w:val="center"/>
                    <w:spacing w:line="360" w:lineRule="auto"/>
                  </w:pPr>
                  <w:r>
                    <w:t xml:space="preserve">Estabilidad (</w:t>
                  </w:r>
                  <ns1:oMath>
                    <ns1:r>
                      <ns1:t>S</ns1:t>
                    </ns1:r>
                  </ns1:oMath>
                  <w:r>
                    <w:t xml:space="preserve">)</w:t>
                  </w:r>
                </w:p>
              </w:tc>
              <w:tc>
                <w:tcPr/>
                <w:p>
                  <w:pPr>
                    <w:pStyle w:val="Compact"/>
                    <w:jc w:val="both"/>
                    <w:jc w:val="center"/>
                    <w:spacing w:line="360" w:lineRule="auto"/>
                  </w:pPr>
                  <w:r>
                    <w:t xml:space="preserve">Consistencia bajo perturbación</w:t>
                  </w:r>
                </w:p>
              </w:tc>
              <w:tc>
                <w:tcPr/>
                <w:p>
                  <w:pPr>
                    <w:pStyle w:val="Compact"/>
                    <w:jc w:val="both"/>
                    <w:jc w:val="center"/>
                    <w:spacing w:line="360" w:lineRule="auto"/>
                  </w:pPr>
                  <w:r>
                    <w:t xml:space="preserve">Perturbación gaussiana del input</w:t>
                  </w:r>
                </w:p>
              </w:tc>
              <w:tc>
                <w:tcPr/>
                <w:p>
                  <w:pPr>
                    <w:pStyle w:val="Compact"/>
                    <w:jc w:val="both"/>
                    <w:jc w:val="center"/>
                    <w:spacing w:line="360" w:lineRule="auto"/>
                  </w:pPr>
                  <w:r>
                    <w:t xml:space="preserve">Stability / robustness</w:t>
                  </w:r>
                </w:p>
              </w:tc>
              <w:tc>
                <w:tcPr/>
                <w:p>
                  <w:pPr>
                    <w:pStyle w:val="Compact"/>
                    <w:jc w:val="both"/>
                    <w:jc w:val="center"/>
                    <w:spacing w:line="360" w:lineRule="auto"/>
                  </w:pPr>
                  <w:r>
                    <w:t xml:space="preserve">Auditoría, alto riesgo</w:t>
                  </w:r>
                </w:p>
              </w:tc>
            </w:tr>
            <w:tr>
              <w:tc>
                <w:tcPr/>
                <w:p>
                  <w:pPr>
                    <w:pStyle w:val="Compact"/>
                    <w:jc w:val="both"/>
                    <w:jc w:val="center"/>
                    <w:spacing w:line="360" w:lineRule="auto"/>
                  </w:pPr>
                  <w:r>
                    <w:t xml:space="preserve">Parsimonia (</w:t>
                  </w:r>
                  <ns1:oMath>
                    <ns1:r>
                      <ns1:t>P</ns1:t>
                    </ns1:r>
                  </ns1:oMath>
                  <w:r>
                    <w:t xml:space="preserve">)</w:t>
                  </w:r>
                </w:p>
              </w:tc>
              <w:tc>
                <w:tcPr/>
                <w:p>
                  <w:pPr>
                    <w:pStyle w:val="Compact"/>
                    <w:jc w:val="both"/>
                    <w:jc w:val="center"/>
                    <w:spacing w:line="360" w:lineRule="auto"/>
                  </w:pPr>
                  <w:r>
                    <w:t xml:space="preserve">Compacidad explicativa</w:t>
                  </w:r>
                </w:p>
              </w:tc>
              <w:tc>
                <w:tcPr/>
                <w:p>
                  <w:pPr>
                    <w:pStyle w:val="Compact"/>
                    <w:jc w:val="both"/>
                    <w:jc w:val="center"/>
                    <w:spacing w:line="360" w:lineRule="auto"/>
                  </w:pPr>
                  <w:r>
                    <w:t xml:space="preserve">Conteo de atribuciones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Usuario final, interfaces</w:t>
                  </w:r>
                </w:p>
              </w:tc>
            </w:tr>
            <w:tr>
              <w:tc>
                <w:tcPr/>
                <w:p>
                  <w:pPr>
                    <w:pStyle w:val="Compact"/>
                    <w:jc w:val="both"/>
                    <w:jc w:val="center"/>
                    <w:spacing w:line="360" w:lineRule="auto"/>
                  </w:pPr>
                  <w:r>
                    <w:t xml:space="preserve">Brecha de fidelidad (</w:t>
                  </w: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Faithfulness operacional</w:t>
                  </w:r>
                </w:p>
              </w:tc>
              <w:tc>
                <w:tcPr/>
                <w:p>
                  <w:pPr>
                    <w:pStyle w:val="Compact"/>
                    <w:jc w:val="both"/>
                    <w:jc w:val="center"/>
                    <w:spacing w:line="360" w:lineRule="auto"/>
                  </w:pPr>
                  <w:r>
                    <w:t xml:space="preserve">Diagnóstico, responsabilidad</w:t>
                  </w:r>
                </w:p>
              </w:tc>
            </w:tr>
            <w:tr>
              <w:tc>
                <w:tcPr/>
                <w:p>
                  <w:pPr>
                    <w:pStyle w:val="Compact"/>
                    <w:jc w:val="both"/>
                    <w:jc w:val="center"/>
                    <w:spacing w:line="360" w:lineRule="auto"/>
                  </w:pPr>
                  <w:r>
                    <w:t xml:space="preserve">Coste (</w:t>
                  </w:r>
                  <ns1:oMath>
                    <ns1:r>
                      <ns1:t>C</ns1:t>
                    </ns1:r>
                  </ns1:oMath>
                  <w:r>
                    <w:t xml:space="preserve">)</w:t>
                  </w:r>
                </w:p>
              </w:tc>
              <w:tc>
                <w:tcPr/>
                <w:p>
                  <w:pPr>
                    <w:pStyle w:val="Compact"/>
                    <w:jc w:val="both"/>
                    <w:jc w:val="center"/>
                    <w:spacing w:line="360" w:lineRule="auto"/>
                  </w:pPr>
                  <w:r>
                    <w:t xml:space="preserve">Eficiencia operativa</w:t>
                  </w:r>
                </w:p>
              </w:tc>
              <w:tc>
                <w:tcPr/>
                <w:p>
                  <w:pPr>
                    <w:pStyle w:val="Compact"/>
                    <w:jc w:val="both"/>
                    <w:jc w:val="center"/>
                    <w:spacing w:line="360" w:lineRule="auto"/>
                  </w:pPr>
                  <w:r>
                    <w:t xml:space="preserve">Tiempo de pared por instancia</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Despliegue en tiempo real</w:t>
                  </w:r>
                </w:p>
              </w:tc>
            </w:tr>
          </w:tbl>
          <w:bookmarkEnd w:id="166"/>
          <w:p>
            <w:pPr>
              <w:spacing w:line="360" w:lineRule="auto"/>
              <w:jc w:val="both"/>
            </w:pPr>
          </w:p>
        </w:tc>
      </w:tr>
    </w:tbl>
    <w:p>
      <w:pPr>
        <w:pStyle w:val="Textoindependiente"/>
        <w:spacing w:line="360" w:lineRule="auto"/>
        <w:jc w:val="both"/>
      </w:pPr>
      <w:r>
        <w:t xml:space="preserve">Este mapeo muestra que el benchmark cubre de forma fuerte la evaluación</w:t>
      </w:r>
      <w:r>
        <w:t xml:space="preserve"> </w:t>
      </w:r>
      <w:r>
        <w:t xml:space="preserve">functionally-grounded, pero no cubre directamente los cuadrantes human-centered:</w:t>
      </w:r>
      <w:r>
        <w:t xml:space="preserve"> </w:t>
      </w:r>
      <w:r>
        <w:t xml:space="preserve">plausibilidad, satisfacción, comprehensibilidad y utilidad en tarea humana. Esa</w:t>
      </w:r>
      <w:r>
        <w:t xml:space="preserve"> </w:t>
      </w:r>
      <w:r>
        <w:t xml:space="preserve">ausencia no es una falla del estudio; es una delimitación. La taxonomía permite</w:t>
      </w:r>
      <w:r>
        <w:t xml:space="preserve"> </w:t>
      </w:r>
      <w:r>
        <w:t xml:space="preserve">nombrar el límite con precisión y evita que el resultado estadístico se use para</w:t>
      </w:r>
      <w:r>
        <w:t xml:space="preserve"> </w:t>
      </w:r>
      <w:r>
        <w:t xml:space="preserve">claimar propiedades no medidas.</w:t>
      </w:r>
    </w:p>
    <w:bookmarkEnd w:id="167"/>
    <w:bookmarkStart w:id="168" w:name="sec-taxonomia-brechas"/>
    <w:p>
      <w:pPr>
        <w:pStyle w:val="Ttulo2"/>
        <w:spacing w:line="360" w:lineRule="auto"/>
        <w:jc w:val="both"/>
      </w:pPr>
      <w:r>
        <w:t xml:space="preserve">Brechas de constructo que la taxonomía hace explícitas</w:t>
      </w:r>
    </w:p>
    <w:p>
      <w:pPr>
        <w:pStyle w:val="FirstParagraph"/>
        <w:spacing w:line="360" w:lineRule="auto"/>
        <w:jc w:val="both"/>
      </w:pPr>
      <w:r>
        <w:t xml:space="preserve">El mapeo anterior no solo localiza lo que el benchmark mide: delimita lo que no</w:t>
      </w:r>
      <w:r>
        <w:t xml:space="preserve"> </w:t>
      </w:r>
      <w:r>
        <w:t xml:space="preserve">mide y por qué. Las tres brechas siguientes se derivan de esa delimitación y se</w:t>
      </w:r>
      <w:r>
        <w:t xml:space="preserve"> </w:t>
      </w:r>
      <w:r>
        <w:t xml:space="preserve">numeran aquí porque el resto de la tesis se refiere a ellas de forma abreviada.</w:t>
      </w:r>
      <w:r>
        <w:t xml:space="preserve"> </w:t>
      </w:r>
      <w:r>
        <w:t xml:space="preserve">No son defectos del diseño experimental, sino distancias estructurales entre lo</w:t>
      </w:r>
      <w:r>
        <w:t xml:space="preserve"> </w:t>
      </w:r>
      <w:r>
        <w:t xml:space="preserve">que una métrica computa y lo que un claim pretende afirmar.</w:t>
      </w:r>
    </w:p>
    <w:p>
      <w:pPr>
        <w:pStyle w:val="Textoindependiente"/>
        <w:spacing w:line="360" w:lineRule="auto"/>
        <w:jc w:val="both"/>
      </w:pPr>
      <w:r>
        <w:rPr>
          <w:b/>
          <w:bCs/>
        </w:rPr>
        <w:t xml:space="preserve">Brecha 1 — Distancia entre proxy y constructo.</w:t>
      </w:r>
      <w:r>
        <w:t xml:space="preserve"> </w:t>
      </w:r>
      <w:r>
        <w:t xml:space="preserve">Ninguna de las cinco métricas</w:t>
      </w:r>
      <w:r>
        <w:t xml:space="preserve"> </w:t>
      </w:r>
      <w:r>
        <w:t xml:space="preserve">del benchmark mide el constructo que su nombre sugiere en sentido pleno: la</w:t>
      </w:r>
      <w:r>
        <w:t xml:space="preserve"> </w:t>
      </w:r>
      <w:r>
        <w:t xml:space="preserve">fidelidad por correlación de importancias no autoriza a afirmar utilidad humana,</w:t>
      </w:r>
      <w:r>
        <w:t xml:space="preserve"> </w:t>
      </w:r>
      <w:r>
        <w:t xml:space="preserve">la estabilidad bajo perturbación no prueba causalidad, una regla Anchor de alta</w:t>
      </w:r>
      <w:r>
        <w:t xml:space="preserve"> </w:t>
      </w:r>
      <w:r>
        <w:t xml:space="preserve">precisión no garantiza cobertura amplia y un contrafactual válido para el modelo</w:t>
      </w:r>
      <w:r>
        <w:t xml:space="preserve"> </w:t>
      </w:r>
      <w:r>
        <w:t xml:space="preserve">no es necesariamente accionable para la persona (Capítulo 2). La brecha se</w:t>
      </w:r>
      <w:r>
        <w:t xml:space="preserve"> </w:t>
      </w:r>
      <w:r>
        <w:t xml:space="preserve">agrava cuando la métrica produce una cifra fácil de tabular, porque la forma</w:t>
      </w:r>
      <w:r>
        <w:t xml:space="preserve"> </w:t>
      </w:r>
      <w:r>
        <w:t xml:space="preserve">tabular sugiere una objetividad mayor que la disponible. La taxonomía la</w:t>
      </w:r>
      <w:r>
        <w:t xml:space="preserve"> </w:t>
      </w:r>
      <w:r>
        <w:t xml:space="preserve">gestiona obligando a que cada métrica declare su alcance inferencial admisible</w:t>
      </w:r>
      <w:r>
        <w:t xml:space="preserve"> </w:t>
      </w:r>
      <w:r>
        <w:t xml:space="preserve">en la columna correspondiente de la Tabla</w:t>
      </w:r>
      <w:r>
        <w:t xml:space="preserve"> </w:t>
      </w:r>
      <w:hyperlink w:anchor="tbl-taxonomia-ampliada">
        <w:r>
          <w:rPr>
            <w:rStyle w:val="Hipervnculo"/>
          </w:rPr>
          <w:t xml:space="preserve">Table 6.1</w:t>
        </w:r>
      </w:hyperlink>
      <w:r>
        <w:t xml:space="preserve">.</w:t>
      </w:r>
    </w:p>
    <w:p>
      <w:pPr>
        <w:pStyle w:val="Textoindependiente"/>
        <w:spacing w:line="360" w:lineRule="auto"/>
        <w:jc w:val="both"/>
      </w:pPr>
      <w:r>
        <w:rPr>
          <w:b/>
          <w:bCs/>
        </w:rPr>
        <w:t xml:space="preserve">Brecha 2 — Ausencia de evidencia human-grounded y application-grounded.</w:t>
      </w:r>
      <w:r>
        <w:t xml:space="preserve"> </w:t>
      </w:r>
      <w:r>
        <w:t xml:space="preserve">El</w:t>
      </w:r>
      <w:r>
        <w:t xml:space="preserve"> </w:t>
      </w:r>
      <w:r>
        <w:t xml:space="preserve">mapeo de la Tabla</w:t>
      </w:r>
      <w:r>
        <w:t xml:space="preserve"> </w:t>
      </w:r>
      <w:hyperlink w:anchor="tbl-taxonomia-benchmark">
        <w:r>
          <w:rPr>
            <w:rStyle w:val="Hipervnculo"/>
          </w:rPr>
          <w:t xml:space="preserve">Table 6.2</w:t>
        </w:r>
      </w:hyperlink>
      <w:r>
        <w:t xml:space="preserve"> </w:t>
      </w:r>
      <w:r>
        <w:t xml:space="preserve">muestra que las cinco métricas se</w:t>
      </w:r>
      <w:r>
        <w:t xml:space="preserve"> </w:t>
      </w:r>
      <w:r>
        <w:t xml:space="preserve">concentran en dos fuentes de evidencia —enmascaramiento y perturbación— y dejan</w:t>
      </w:r>
      <w:r>
        <w:t xml:space="preserve"> </w:t>
      </w:r>
      <w:r>
        <w:t xml:space="preserve">vacías las celdas de</w:t>
      </w:r>
      <w:r>
        <w:t xml:space="preserve"> </w:t>
      </w:r>
      <w:r>
        <w:rPr>
          <w:i/>
          <w:iCs/>
        </w:rPr>
        <w:t xml:space="preserve">estudio con usuario</w:t>
      </w:r>
      <w:r>
        <w:t xml:space="preserve"> </w:t>
      </w:r>
      <w:r>
        <w:t xml:space="preserve">y</w:t>
      </w:r>
      <w:r>
        <w:t xml:space="preserve"> </w:t>
      </w:r>
      <w:r>
        <w:rPr>
          <w:i/>
          <w:iCs/>
        </w:rPr>
        <w:t xml:space="preserve">comparación con verdad-terreno</w:t>
      </w:r>
      <w:r>
        <w:t xml:space="preserve">.</w:t>
      </w:r>
      <w:r>
        <w:t xml:space="preserve"> </w:t>
      </w:r>
      <w:r>
        <w:t xml:space="preserve">En consecuencia, plausibilidad, comprensibilidad, satisfacción y utilidad en</w:t>
      </w:r>
      <w:r>
        <w:t xml:space="preserve"> </w:t>
      </w:r>
      <w:r>
        <w:t xml:space="preserve">tarea quedan fuera del alcance de los Estudios A y B. Esta brecha es de</w:t>
      </w:r>
      <w:r>
        <w:t xml:space="preserve"> </w:t>
      </w:r>
      <w:r>
        <w:t xml:space="preserve">cobertura, no de validez: se cierra añadiendo estudios con participantes</w:t>
      </w:r>
      <w:r>
        <w:t xml:space="preserve"> </w:t>
      </w:r>
      <w:r>
        <w:t xml:space="preserve">humanos, no reinterpretando las métricas existentes.</w:t>
      </w:r>
    </w:p>
    <w:p>
      <w:pPr>
        <w:pStyle w:val="Textoindependiente"/>
        <w:spacing w:line="360" w:lineRule="auto"/>
        <w:jc w:val="both"/>
      </w:pPr>
      <w:r>
        <w:rPr>
          <w:b/>
          <w:bCs/>
        </w:rPr>
        <w:t xml:space="preserve">Brecha 3 — La evaluación semántica crece más rápido que su base de validación</w:t>
      </w:r>
      <w:r>
        <w:rPr>
          <w:b/>
          <w:bCs/>
        </w:rPr>
        <w:t xml:space="preserve"> </w:t>
      </w:r>
      <w:r>
        <w:rPr>
          <w:b/>
          <w:bCs/>
        </w:rPr>
        <w:t xml:space="preserve">empírica.</w:t>
      </w:r>
      <w:r>
        <w:t xml:space="preserve"> </w:t>
      </w:r>
      <w:r>
        <w:t xml:space="preserve">La respuesta natural a la Brecha 2 ha sido delegar el juicio</w:t>
      </w:r>
      <w:r>
        <w:t xml:space="preserve"> </w:t>
      </w:r>
      <w:r>
        <w:t xml:space="preserve">semántico en evaluadores automáticos —crecientemente, jueces LLM— que prometen</w:t>
      </w:r>
      <w:r>
        <w:t xml:space="preserve"> </w:t>
      </w:r>
      <w:r>
        <w:t xml:space="preserve">aproximar el criterio humano sin el coste de un estudio con participantes. El</w:t>
      </w:r>
      <w:r>
        <w:t xml:space="preserve"> </w:t>
      </w:r>
      <w:r>
        <w:t xml:space="preserve">problema es que esos evaluadores se adoptan como instrumento de medida antes de</w:t>
      </w:r>
      <w:r>
        <w:t xml:space="preserve"> </w:t>
      </w:r>
      <w:r>
        <w:t xml:space="preserve">que su fiabilidad haya sido establecida: se usan para puntuar explicaciones sin</w:t>
      </w:r>
      <w:r>
        <w:t xml:space="preserve"> </w:t>
      </w:r>
      <w:r>
        <w:t xml:space="preserve">que exista evidencia de que dos jueces independientes puntúan igual la misma</w:t>
      </w:r>
      <w:r>
        <w:t xml:space="preserve"> </w:t>
      </w:r>
      <w:r>
        <w:t xml:space="preserve">explicación. La brecha, por tanto, no es de cobertura sino de calibración del</w:t>
      </w:r>
      <w:r>
        <w:t xml:space="preserve"> </w:t>
      </w:r>
      <w:r>
        <w:t xml:space="preserve">instrumento, y es contrastable empíricamente. EXP4 la contrasta y la confirma en</w:t>
      </w:r>
      <w:r>
        <w:t xml:space="preserve"> </w:t>
      </w:r>
      <w:r>
        <w:t xml:space="preserve">§sec-exp4-fiabilidad.</w:t>
      </w:r>
    </w:p>
    <w:bookmarkEnd w:id="168"/>
    <w:bookmarkStart w:id="169" w:name="sec-taxonomia-contribucion"/>
    <w:p>
      <w:pPr>
        <w:pStyle w:val="Ttulo2"/>
        <w:spacing w:line="360" w:lineRule="auto"/>
        <w:jc w:val="both"/>
      </w:pPr>
      <w:r>
        <w:t xml:space="preserve">Contribución teórica de la taxonomía</w:t>
      </w:r>
    </w:p>
    <w:p>
      <w:pPr>
        <w:pStyle w:val="FirstParagraph"/>
        <w:spacing w:line="360" w:lineRule="auto"/>
        <w:jc w:val="bot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spacing w:line="360" w:lineRule="auto"/>
        <w:jc w:val="both"/>
      </w:pPr>
      <w:r>
        <w:t xml:space="preserve">Primero, las propiedades del eje de calidad no son redundantes. La evidencia</w:t>
      </w:r>
      <w:r>
        <w:t xml:space="preserve"> </w:t>
      </w:r>
      <w:r>
        <w:t xml:space="preserve">empírica de esta tesis muestra que fidelidad y estabilidad son disociables:</w:t>
      </w:r>
      <w:r>
        <w:t xml:space="preserve"> </w:t>
      </w:r>
      <w:r>
        <w:t xml:space="preserve">LIME obtiene una fidelidad media moderada y una estabilidad prácticamente nula.</w:t>
      </w:r>
      <w:r>
        <w:t xml:space="preserve"> </w:t>
      </w:r>
      <w:r>
        <w:t xml:space="preserve">Esta disociación habría sido invisible en un benchmark mono-métrico de</w:t>
      </w:r>
      <w:r>
        <w:t xml:space="preserve"> </w:t>
      </w:r>
      <w:r>
        <w:t xml:space="preserve">fidelidad, lo que confirma que la evaluación multi-métrica organizada por</w:t>
      </w:r>
      <w:r>
        <w:t xml:space="preserve"> </w:t>
      </w:r>
      <w:r>
        <w:t xml:space="preserve">constructos es necesaria para detectar perfiles de riesgo ocultos</w:t>
      </w:r>
      <w:r>
        <w:t xml:space="preserve"> </w:t>
      </w:r>
      <w:r>
        <w:t xml:space="preserve">(Bhattacharya and Verbert 2024; Pawlicki et al. 2024)</w:t>
      </w:r>
      <w:r>
        <w:t xml:space="preserve">.</w:t>
      </w:r>
    </w:p>
    <w:p>
      <w:pPr>
        <w:pStyle w:val="Textoindependiente"/>
        <w:spacing w:line="360" w:lineRule="auto"/>
        <w:jc w:val="both"/>
      </w:pPr>
      <w:r>
        <w:t xml:space="preserve">Segundo, la taxonomía convierte las limitaciones en información científica. Al</w:t>
      </w:r>
      <w:r>
        <w:t xml:space="preserve"> </w:t>
      </w:r>
      <w:r>
        <w:t xml:space="preserve">mostrar que el benchmark no incluye estudios con usuario ni validación causal</w:t>
      </w:r>
      <w:r>
        <w:t xml:space="preserve"> </w:t>
      </w:r>
      <w:r>
        <w:t xml:space="preserve">externa, evita sobreinterpretar los resultados y define qué evidencia sería</w:t>
      </w:r>
      <w:r>
        <w:t xml:space="preserve"> </w:t>
      </w:r>
      <w:r>
        <w:t xml:space="preserve">necesaria para ampliar los claims. Así, FOM-7 y la taxonomía se refuerzan</w:t>
      </w:r>
      <w:r>
        <w:t xml:space="preserve"> </w:t>
      </w:r>
      <w:r>
        <w:t xml:space="preserve">mutuamente: FOM-7 gobierna el flujo de evidencia; la taxonomía gobierna el</w:t>
      </w:r>
      <w:r>
        <w:t xml:space="preserve"> </w:t>
      </w:r>
      <w:r>
        <w:t xml:space="preserve">significado de esa evidencia.</w:t>
      </w:r>
    </w:p>
    <w:p>
      <w:pPr>
        <w:pStyle w:val="Textoindependiente"/>
        <w:spacing w:line="360" w:lineRule="auto"/>
        <w:jc w:val="both"/>
      </w:pPr>
      <w:r>
        <w:t xml:space="preserve">En consecuencia, la taxonomía debe entenderse como una operacionalización</w:t>
      </w:r>
      <w:r>
        <w:t xml:space="preserve"> </w:t>
      </w:r>
      <w:r>
        <w:t xml:space="preserve">doctoral del espacio de evaluación XAI. No reemplaza los marcos existentes; los</w:t>
      </w:r>
      <w:r>
        <w:t xml:space="preserve"> </w:t>
      </w:r>
      <w:r>
        <w:t xml:space="preserve">integra para que cada métrica usada en la tesis tenga una ubicación conceptual,</w:t>
      </w:r>
      <w:r>
        <w:t xml:space="preserve"> </w:t>
      </w:r>
      <w:r>
        <w:t xml:space="preserve">un alcance inferencial y una relación explícita con los resultados empíricos.</w:t>
      </w:r>
    </w:p>
    <w:bookmarkEnd w:id="169"/>
    <w:bookmarkStart w:id="171" w:name="sec-exp4-fiabilidad"/>
    <w:p>
      <w:pPr>
        <w:pStyle w:val="Ttulo2"/>
        <w:spacing w:line="360" w:lineRule="auto"/>
        <w:jc w:val="both"/>
      </w:pPr>
      <w:r>
        <w:t xml:space="preserve">Estudio de fiabilidad de evaluadores semánticos (EXP4)</w:t>
      </w:r>
    </w:p>
    <w:p>
      <w:pPr>
        <w:pStyle w:val="FirstParagraph"/>
        <w:spacing w:line="360" w:lineRule="auto"/>
        <w:jc w:val="both"/>
      </w:pPr>
      <w:r>
        <w:t xml:space="preserve">La Brecha 3 (§sec-taxonomia-brechas) identifica que la evaluación semántica</w:t>
      </w:r>
      <w:r>
        <w:t xml:space="preserve"> </w:t>
      </w:r>
      <w:r>
        <w:t xml:space="preserve">crece más rápido que su base de validación empírica. EXP4 (diseñado en</w:t>
      </w:r>
      <w:r>
        <w:t xml:space="preserve"> </w:t>
      </w:r>
      <w:r>
        <w:t xml:space="preserve">§sec-exp4-diseno, Capítulo 3)</w:t>
      </w:r>
      <w:r>
        <w:t xml:space="preserve"> </w:t>
      </w:r>
      <w:r>
        <w:t xml:space="preserve">cuantifica directamente esa brecha: mide si los jueces LLM actuales alcanzan la</w:t>
      </w:r>
      <w:r>
        <w:t xml:space="preserve"> </w:t>
      </w:r>
      <w:r>
        <w:t xml:space="preserve">convergencia inter-juez necesaria para operar como evidencia confirmativa.</w:t>
      </w:r>
    </w:p>
    <w:p>
      <w:pPr>
        <w:pStyle w:val="Textoindependiente"/>
        <w:spacing w:line="360" w:lineRule="auto"/>
        <w:jc w:val="both"/>
      </w:pPr>
      <w:r>
        <w:rPr>
          <w:b/>
          <w:bCs/>
        </w:rPr>
        <w:t xml:space="preserve">Resultados.</w:t>
      </w:r>
      <w:r>
        <w:t xml:space="preserve"> </w:t>
      </w:r>
      <w:r>
        <w:t xml:space="preserve">La Tabla</w:t>
      </w:r>
      <w:r>
        <w:t xml:space="preserve"> </w:t>
      </w:r>
      <w:hyperlink w:anchor="tbl-exp4-icc">
        <w:r>
          <w:rPr>
            <w:rStyle w:val="Hipervnculo"/>
          </w:rPr>
          <w:t xml:space="preserve">Table 6.3</w:t>
        </w:r>
      </w:hyperlink>
      <w:r>
        <w:t xml:space="preserve"> </w:t>
      </w:r>
      <w:r>
        <w:t xml:space="preserve">reporta ICC(1,1) y</w:t>
      </w:r>
      <w:r>
        <w:t xml:space="preserve"> </w:t>
      </w:r>
      <ns1:oMath>
        <ns1:r>
          <ns1:t>α</ns1:t>
        </ns1:r>
      </ns1:oMath>
      <w:r>
        <w:t xml:space="preserve"> </w:t>
      </w:r>
      <w:r>
        <w:t xml:space="preserve">de</w:t>
      </w:r>
      <w:r>
        <w:t xml:space="preserve"> </w:t>
      </w:r>
      <w:r>
        <w:t xml:space="preserve">Krippendorff por dimensión para los tres jueces LLM. Los dos estadísticos se</w:t>
      </w:r>
      <w:r>
        <w:t xml:space="preserve"> </w:t>
      </w:r>
      <w:r>
        <w:t xml:space="preserve">calculan sobre conjuntos de casos distintos: el ICC se obtiene de una</w:t>
      </w:r>
      <w:r>
        <w:t xml:space="preserve"> </w:t>
      </w:r>
      <w:r>
        <w:t xml:space="preserve">descomposición unidireccional de efectos aleatorios, que exige una matriz completa</w:t>
      </w:r>
      <w:r>
        <w:t xml:space="preserve"> </w:t>
      </w:r>
      <w:r>
        <w:t xml:space="preserve">de casos</w:t>
      </w:r>
      <w:r>
        <w:t xml:space="preserve"> </w:t>
      </w:r>
      <ns1:oMath>
        <ns1:r>
          <ns1:rPr>
            <ns1:sty ns1:val="p"/>
          </ns1:rPr>
          <ns1:t>×</ns1:t>
        </ns1:r>
      </ns1:oMath>
      <w:r>
        <w:t xml:space="preserve"> </w:t>
      </w:r>
      <w:r>
        <w:t xml:space="preserve">jueces y se restringe por tanto a los</w:t>
      </w:r>
      <w:r>
        <w:t xml:space="preserve"> </w:t>
      </w:r>
      <ns1:oMath>
        <ns1:r>
          <ns1:t>n</ns1:t>
        </ns1:r>
        <ns1:r>
          <ns1:rPr>
            <ns1:sty ns1:val="p"/>
          </ns1:rPr>
          <ns1:t>=</ns1:t>
        </ns1:r>
        <ns1:r>
          <ns1:t>147</ns1:t>
        </ns1:r>
      </ns1:oMath>
      <w:r>
        <w:t xml:space="preserve"> </w:t>
      </w:r>
      <w:r>
        <w:t xml:space="preserve">casos</w:t>
      </w:r>
      <w:r>
        <w:t xml:space="preserve"> </w:t>
      </w:r>
      <w:r>
        <w:t xml:space="preserve">puntuados por los tres jueces, mientras que</w:t>
      </w:r>
      <w:r>
        <w:t xml:space="preserve"> </w:t>
      </w:r>
      <ns1:oMath>
        <ns1:r>
          <ns1:t>α</ns1:t>
        </ns1:r>
      </ns1:oMath>
      <w:r>
        <w:t xml:space="preserve"> </w:t>
      </w:r>
      <w:r>
        <w:t xml:space="preserve">de Krippendorff tolera</w:t>
      </w:r>
      <w:r>
        <w:t xml:space="preserve"> </w:t>
      </w:r>
      <w:r>
        <w:t xml:space="preserve">puntuaciones ausentes y se calcula sobre el conjunto más amplio de</w:t>
      </w:r>
      <w:r>
        <w:t xml:space="preserve"> </w:t>
      </w:r>
      <ns1:oMath>
        <ns1:r>
          <ns1:t>n</ns1:t>
        </ns1:r>
        <ns1:r>
          <ns1:rPr>
            <ns1:sty ns1:val="p"/>
          </ns1:rPr>
          <ns1:t>=</ns1:t>
        </ns1:r>
        <ns1:r>
          <ns1:t>192</ns1:t>
        </ns1:r>
      </ns1:oMath>
      <w:r>
        <w:t xml:space="preserve"> </w:t>
      </w:r>
      <w:r>
        <w:t xml:space="preserve">casos, que incluye aquellos con al menos una puntuación de juez faltante.</w:t>
      </w:r>
      <w:r>
        <w:t xml:space="preserve"> </w:t>
      </w:r>
      <w:r>
        <w:t xml:space="preserve">Ninguna dimensión alcanza el umbral de fiabilidad aceptable (</w:t>
      </w:r>
      <ns1:oMath>
        <ns1:r>
          <ns1:rPr>
            <ns1:sty ns1:val="p"/>
          </ns1:rPr>
          <ns1:t>≥</ns1:t>
        </ns1:r>
        <ns1:r>
          <ns1:t>0.75</ns1:t>
        </ns1:r>
      </ns1:oMath>
      <w:r>
        <w:t xml:space="preserve">)</w:t>
      </w:r>
      <w:r>
        <w:t xml:space="preserve"> </w:t>
      </w:r>
      <w:r>
        <w:t xml:space="preserve">(Koo and Li 2016)</w:t>
      </w:r>
      <w:r>
        <w:t xml:space="preserve">.</w:t>
      </w:r>
    </w:p>
    <w:tbl>
      <w:tblPr>
        <w:tblStyle w:val="Table"/>
        <w:tblW w:type="pct" w:w="5000"/>
        <w:tblLayout w:type="fixed"/>
        <w:tblLook w:firstRow="0" w:lastRow="0" w:firstColumn="0" w:lastColumn="0" w:noHBand="0" w:noVBand="0" w:val="0000"/>
      </w:tblPr>
      <w:tblGrid>
        <w:gridCol w:w="7920"/>
      </w:tblGrid>
      <w:tr>
        <w:tc>
          <w:tcPr/>
          <w:bookmarkStart w:id="170" w:name="tbl-exp4-icc"/>
          <w:p>
            <w:pPr>
              <w:jc w:val="both"/>
              <w:spacing w:line="360" w:lineRule="auto"/>
            </w:pPr>
            <w:pPr>
              <w:jc w:val="left"/>
              <w:spacing w:before="200"/>
              <w:pStyle w:val="ImageCaption"/>
            </w:pPr>
            <w:r>
              <w:t xml:space="preserve">Table 6.3: Fiabilidad inter-juez LLM en siete dimensiones semánticas (EXP4; ICC sobre</w:t>
            </w:r>
            <w:r>
              <w:t xml:space="preserve"> </w:t>
            </w:r>
            <ns1:oMath>
              <ns1:r>
                <ns1:t>n</ns1:t>
              </ns1:r>
              <ns1:r>
                <ns1:rPr>
                  <ns1:sty ns1:val="p"/>
                </ns1:rPr>
                <ns1:t>=</ns1:t>
              </ns1:r>
              <ns1:r>
                <ns1:t>147</ns1:t>
              </ns1:r>
            </ns1:oMath>
            <w:r>
              <w:t xml:space="preserve"> </w:t>
            </w:r>
            <w:r>
              <w:t xml:space="preserve">casos con puntuación completa,</w:t>
            </w:r>
            <w:r>
              <w:t xml:space="preserve"> </w:t>
            </w:r>
            <ns1:oMath>
              <ns1:r>
                <ns1:t>α</ns1:t>
              </ns1:r>
            </ns1:oMath>
            <w:r>
              <w:t xml:space="preserve"> </w:t>
            </w:r>
            <w:r>
              <w:t xml:space="preserve">de Krippendorff sobre</w:t>
            </w:r>
            <w:r>
              <w:t xml:space="preserve"> </w:t>
            </w:r>
            <ns1:oMath>
              <ns1:r>
                <ns1:t>n</ns1:t>
              </ns1:r>
              <ns1:r>
                <ns1:rPr>
                  <ns1:sty ns1:val="p"/>
                </ns1:rPr>
                <ns1:t>=</ns1:t>
              </ns1:r>
              <ns1:r>
                <ns1:t>192</ns1:t>
              </ns1:r>
            </ns1:oMath>
            <w:r>
              <w:t xml:space="preserve"> </w:t>
            </w:r>
            <w:r>
              <w:t xml:space="preserve">casos —véase el texto—; 3 jueces LLM). ICC(1,1): modelo unidireccional</w:t>
            </w:r>
            <w:r>
              <w:t xml:space="preserve"> </w:t>
            </w:r>
            <w:r>
              <w:t xml:space="preserve">de efectos aleatorios, evaluador único. Un modelo unidireccional trata los</w:t>
            </w:r>
            <w:r>
              <w:t xml:space="preserve"> </w:t>
            </w:r>
            <w:r>
              <w:t xml:space="preserve">sesgos sistemáticos entre jueces como error y no como efecto separable, por lo</w:t>
            </w:r>
            <w:r>
              <w:t xml:space="preserve"> </w:t>
            </w:r>
            <w:r>
              <w:t xml:space="preserve">que estos valores son conservadores respecto de ICC(2,1). Ninguna dimensión alcanza el</w:t>
            </w:r>
            <w:r>
              <w:t xml:space="preserve"> </w:t>
            </w:r>
            <w:r>
              <w:t xml:space="preserve">umbral aceptable</w:t>
            </w:r>
            <w:r>
              <w:t xml:space="preserve"> </w:t>
            </w:r>
            <ns1:oMath>
              <ns1:r>
                <ns1:rPr>
                  <ns1:sty ns1:val="p"/>
                </ns1:rPr>
                <ns1:t>≥</ns1:t>
              </ns1:r>
              <ns1:r>
                <ns1:t>0.75</ns1:t>
              </ns1:r>
            </ns1:oMath>
            <w:r>
              <w:t xml:space="preserve"> </w:t>
            </w:r>
            <w:r>
              <w:t xml:space="preserve">(Koo and Li 2016)</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Dimensión</w:t>
                  </w:r>
                </w:p>
              </w:tc>
              <w:tc>
                <w:tcPr/>
                <w:p>
                  <w:pPr>
                    <w:pStyle w:val="Compact"/>
                    <w:jc w:val="both"/>
                    <w:jc w:val="center"/>
                    <w:spacing w:line="360" w:lineRule="auto"/>
                  </w:pPr>
                  <w:r>
                    <w:t xml:space="preserve">ICC(1,1)</w:t>
                  </w:r>
                </w:p>
              </w:tc>
              <w:tc>
                <w:tcPr/>
                <w:p>
                  <w:pPr>
                    <w:pStyle w:val="Compact"/>
                    <w:jc w:val="both"/>
                    <w:jc w:val="center"/>
                    <w:spacing w:line="360" w:lineRule="auto"/>
                  </w:pPr>
                  <w:r>
                    <w:t xml:space="preserve">Krippendorff</w:t>
                  </w:r>
                  <w:r>
                    <w:t xml:space="preserve"> </w:t>
                  </w:r>
                  <ns1:oMath>
                    <ns1:r>
                      <ns1:t>α</ns1:t>
                    </ns1:r>
                  </ns1:oMath>
                </w:p>
              </w:tc>
            </w:tr>
            <w:tr>
              <w:tc>
                <w:tcPr/>
                <w:p>
                  <w:pPr>
                    <w:pStyle w:val="Compact"/>
                    <w:jc w:val="both"/>
                    <w:jc w:val="center"/>
                    <w:spacing w:line="360" w:lineRule="auto"/>
                  </w:pPr>
                  <w:r>
                    <w:t xml:space="preserve">Claridad</w:t>
                  </w:r>
                </w:p>
              </w:tc>
              <w:tc>
                <w:tcPr/>
                <w:p>
                  <w:pPr>
                    <w:pStyle w:val="Compact"/>
                    <w:jc w:val="both"/>
                    <w:jc w:val="center"/>
                    <w:spacing w:line="360" w:lineRule="auto"/>
                  </w:pPr>
                  <w:r>
                    <w:t xml:space="preserve">0.321</w:t>
                  </w:r>
                </w:p>
              </w:tc>
              <w:tc>
                <w:tcPr/>
                <w:p>
                  <w:pPr>
                    <w:pStyle w:val="Compact"/>
                    <w:jc w:val="both"/>
                    <w:jc w:val="center"/>
                    <w:spacing w:line="360" w:lineRule="auto"/>
                  </w:pPr>
                  <w:r>
                    <w:t xml:space="preserve">0.278</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0.453</w:t>
                  </w:r>
                </w:p>
              </w:tc>
              <w:tc>
                <w:tcPr/>
                <w:p>
                  <w:pPr>
                    <w:pStyle w:val="Compact"/>
                    <w:jc w:val="both"/>
                    <w:jc w:val="center"/>
                    <w:spacing w:line="360" w:lineRule="auto"/>
                  </w:pPr>
                  <w:r>
                    <w:t xml:space="preserve">0.409</w:t>
                  </w:r>
                </w:p>
              </w:tc>
            </w:tr>
            <w:tr>
              <w:tc>
                <w:tcPr/>
                <w:p>
                  <w:pPr>
                    <w:pStyle w:val="Compact"/>
                    <w:jc w:val="both"/>
                    <w:jc w:val="center"/>
                    <w:spacing w:line="360" w:lineRule="auto"/>
                  </w:pPr>
                  <w:r>
                    <w:t xml:space="preserve">Accionabilidad</w:t>
                  </w:r>
                </w:p>
              </w:tc>
              <w:tc>
                <w:tcPr/>
                <w:p>
                  <w:pPr>
                    <w:pStyle w:val="Compact"/>
                    <w:jc w:val="both"/>
                    <w:jc w:val="center"/>
                    <w:spacing w:line="360" w:lineRule="auto"/>
                  </w:pPr>
                  <w:r>
                    <w:t xml:space="preserve">0.400</w:t>
                  </w:r>
                </w:p>
              </w:tc>
              <w:tc>
                <w:tcPr/>
                <w:p>
                  <w:pPr>
                    <w:pStyle w:val="Compact"/>
                    <w:jc w:val="both"/>
                    <w:jc w:val="center"/>
                    <w:spacing w:line="360" w:lineRule="auto"/>
                  </w:pPr>
                  <w:r>
                    <w:t xml:space="preserve">0.362</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0.376</w:t>
                  </w:r>
                </w:p>
              </w:tc>
              <w:tc>
                <w:tcPr/>
                <w:p>
                  <w:pPr>
                    <w:pStyle w:val="Compact"/>
                    <w:jc w:val="both"/>
                    <w:jc w:val="center"/>
                    <w:spacing w:line="360" w:lineRule="auto"/>
                  </w:pPr>
                  <w:r>
                    <w:t xml:space="preserve">0.340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0.585</w:t>
                  </w:r>
                </w:p>
              </w:tc>
              <w:tc>
                <w:tcPr/>
                <w:p>
                  <w:pPr>
                    <w:pStyle w:val="Compact"/>
                    <w:jc w:val="both"/>
                    <w:jc w:val="center"/>
                    <w:spacing w:line="360" w:lineRule="auto"/>
                  </w:pPr>
                  <w:r>
                    <w:t xml:space="preserve">0.566</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0.601</w:t>
                  </w:r>
                </w:p>
              </w:tc>
              <w:tc>
                <w:tcPr/>
                <w:p>
                  <w:pPr>
                    <w:pStyle w:val="Compact"/>
                    <w:jc w:val="both"/>
                    <w:jc w:val="center"/>
                    <w:spacing w:line="360" w:lineRule="auto"/>
                  </w:pPr>
                  <w:r>
                    <w:t xml:space="preserve">0.573</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0.431</w:t>
                  </w:r>
                </w:p>
              </w:tc>
              <w:tc>
                <w:tcPr/>
                <w:p>
                  <w:pPr>
                    <w:pStyle w:val="Compact"/>
                    <w:jc w:val="both"/>
                    <w:jc w:val="center"/>
                    <w:spacing w:line="360" w:lineRule="auto"/>
                  </w:pPr>
                  <w:r>
                    <w:t xml:space="preserve">0.394</w:t>
                  </w:r>
                </w:p>
              </w:tc>
            </w:tr>
          </w:tbl>
          <w:bookmarkEnd w:id="170"/>
          <w:p>
            <w:pPr>
              <w:spacing w:line="360" w:lineRule="auto"/>
              <w:jc w:val="both"/>
            </w:pPr>
          </w:p>
        </w:tc>
      </w:tr>
    </w:tbl>
    <w:p>
      <w:pPr>
        <w:pStyle w:val="Textoindependiente"/>
        <w:spacing w:line="360" w:lineRule="auto"/>
        <w:jc w:val="both"/>
      </w:pPr>
      <w:r>
        <w:t xml:space="preserve">Las dimensiones con mayor consistencia relativa son Completitud</w:t>
      </w:r>
      <w:r>
        <w:t xml:space="preserve"> </w:t>
      </w:r>
      <w:r>
        <w:t xml:space="preserve">(</w:t>
      </w:r>
      <ns1:oMath>
        <ns1:r>
          <ns1:t>α</ns1:t>
        </ns1:r>
        <ns1:r>
          <ns1:rPr>
            <ns1:sty ns1:val="p"/>
          </ns1:rPr>
          <ns1:t>=</ns1:t>
        </ns1:r>
        <ns1:r>
          <ns1:t>0.566</ns1:t>
        </ns1:r>
      </ns1:oMath>
      <w:r>
        <w:t xml:space="preserve">) y Plausibilidad Semántica (</w:t>
      </w:r>
      <ns1:oMath>
        <ns1:r>
          <ns1:t>α</ns1:t>
        </ns1:r>
        <ns1:r>
          <ns1:rPr>
            <ns1:sty ns1:val="p"/>
          </ns1:rPr>
          <ns1:t>=</ns1:t>
        </ns1:r>
        <ns1:r>
          <ns1:t>0.573</ns1:t>
        </ns1:r>
      </ns1:oMath>
      <w:r>
        <w:t xml:space="preserve">); las de</w:t>
      </w:r>
      <w:r>
        <w:t xml:space="preserve"> </w:t>
      </w:r>
      <w:r>
        <w:t xml:space="preserve">menor consistencia son Claridad (</w:t>
      </w:r>
      <ns1:oMath>
        <ns1:r>
          <ns1:t>α</ns1:t>
        </ns1:r>
        <ns1:r>
          <ns1:rPr>
            <ns1:sty ns1:val="p"/>
          </ns1:rPr>
          <ns1:t>=</ns1:t>
        </ns1:r>
        <ns1:r>
          <ns1:t>0.278</ns1:t>
        </ns1:r>
      </ns1:oMath>
      <w:r>
        <w:t xml:space="preserve">) y Utilidad para auditoría</w:t>
      </w:r>
      <w:r>
        <w:t xml:space="preserve"> </w:t>
      </w:r>
      <w:r>
        <w:t xml:space="preserve">(</w:t>
      </w:r>
      <ns1:oMath>
        <ns1:r>
          <ns1:t>α</ns1:t>
        </ns1:r>
        <ns1:r>
          <ns1:rPr>
            <ns1:sty ns1:val="p"/>
          </ns1:rPr>
          <ns1:t>=</ns1:t>
        </ns1:r>
        <ns1:r>
          <ns1:t>0.340</ns1:t>
        </ns1:r>
      </ns1:oMath>
      <w:r>
        <w:t xml:space="preserve">). Los valores ICC(1,1) entre 0.321 y 0.601 se clasifican</w:t>
      </w:r>
      <w:r>
        <w:t xml:space="preserve"> </w:t>
      </w:r>
      <w:r>
        <w:t xml:space="preserve">como fiabilidad</w:t>
      </w:r>
      <w:r>
        <w:t xml:space="preserve"> </w:t>
      </w:r>
      <w:r>
        <w:rPr>
          <w:i/>
          <w:iCs/>
        </w:rPr>
        <w:t xml:space="preserve">poor</w:t>
      </w:r>
      <w:r>
        <w:t xml:space="preserve"> </w:t>
      </w:r>
      <w:r>
        <w:t xml:space="preserve">a</w:t>
      </w:r>
      <w:r>
        <w:t xml:space="preserve"> </w:t>
      </w:r>
      <w:r>
        <w:rPr>
          <w:i/>
          <w:iCs/>
        </w:rPr>
        <w:t xml:space="preserve">moderate</w:t>
      </w:r>
      <w:r>
        <w:t xml:space="preserve"> </w:t>
      </w:r>
      <w:r>
        <w:t xml:space="preserve">según</w:t>
      </w:r>
      <w:r>
        <w:t xml:space="preserve"> </w:t>
      </w:r>
      <w:r>
        <w:t xml:space="preserve">Koo and Li (2016)</w:t>
      </w:r>
      <w:r>
        <w:t xml:space="preserve">, situándose en todos los</w:t>
      </w:r>
      <w:r>
        <w:t xml:space="preserve"> </w:t>
      </w:r>
      <w:r>
        <w:t xml:space="preserve">casos por debajo de la categoría</w:t>
      </w:r>
      <w:r>
        <w:t xml:space="preserve"> </w:t>
      </w:r>
      <w:r>
        <w:rPr>
          <w:i/>
          <w:iCs/>
        </w:rPr>
        <w:t xml:space="preserve">good</w:t>
      </w:r>
      <w:r>
        <w:t xml:space="preserve">.</w:t>
      </w:r>
    </w:p>
    <w:p>
      <w:pPr>
        <w:pStyle w:val="Textoindependiente"/>
        <w:spacing w:line="360" w:lineRule="auto"/>
        <w:jc w:val="both"/>
      </w:pPr>
      <w:r>
        <w:rPr>
          <w:b/>
          <w:bCs/>
        </w:rPr>
        <w:t xml:space="preserve">Interpretación.</w:t>
      </w:r>
      <w:r>
        <w:t xml:space="preserve"> </w:t>
      </w:r>
      <w:r>
        <w:t xml:space="preserve">La diferencia entre dimensiones de alta y baja consistencia</w:t>
      </w:r>
      <w:r>
        <w:t xml:space="preserve"> </w:t>
      </w:r>
      <w:r>
        <w:t xml:space="preserve">es interpretable: Completitud y Plausibilidad Semántica tienen referentes</w:t>
      </w:r>
      <w:r>
        <w:t xml:space="preserve"> </w:t>
      </w:r>
      <w:r>
        <w:t xml:space="preserve">relativamente objetivos (¿cubre los factores relevantes?, ¿es coherente con el</w:t>
      </w:r>
      <w:r>
        <w:t xml:space="preserve"> </w:t>
      </w:r>
      <w:r>
        <w:t xml:space="preserve">dominio?), mientras que Claridad y Utilidad para auditoría dependen del perfil</w:t>
      </w:r>
      <w:r>
        <w:t xml:space="preserve"> </w:t>
      </w:r>
      <w:r>
        <w:t xml:space="preserve">del destinatario y el contexto de uso, que la rúbrica no especificó. Esto</w:t>
      </w:r>
      <w:r>
        <w:t xml:space="preserve"> </w:t>
      </w:r>
      <w:r>
        <w:t xml:space="preserve">señala un déficit de formalización: el juez no tiene acceso al stakeholder ni</w:t>
      </w:r>
      <w:r>
        <w:t xml:space="preserve"> </w:t>
      </w:r>
      <w:r>
        <w:t xml:space="preserve">al contexto de tarea al calificar, lo que introduce varianza inter-juez evitable.</w:t>
      </w:r>
    </w:p>
    <w:p>
      <w:pPr>
        <w:pStyle w:val="Textoindependiente"/>
        <w:spacing w:line="360" w:lineRule="auto"/>
        <w:jc w:val="both"/>
      </w:pPr>
      <w:r>
        <w:rPr>
          <w:b/>
          <w:bCs/>
        </w:rPr>
        <w:t xml:space="preserve">Consecuencias para el diseño de evaluación semántica.</w:t>
      </w:r>
      <w:r>
        <w:t xml:space="preserve"> </w:t>
      </w:r>
      <w:r>
        <w:t xml:space="preserve">EXP4 confirma</w:t>
      </w:r>
      <w:r>
        <w:t xml:space="preserve"> </w:t>
      </w:r>
      <w:r>
        <w:t xml:space="preserve">cuantitativamente la Brecha 3: los jueces LLM actuales, bajo rúbricas sin</w:t>
      </w:r>
      <w:r>
        <w:t xml:space="preserve"> </w:t>
      </w:r>
      <w:r>
        <w:t xml:space="preserve">especificación de stakeholder ni criterio de corrección explícito, no alcanzan</w:t>
      </w:r>
      <w:r>
        <w:t xml:space="preserve"> </w:t>
      </w:r>
      <w:r>
        <w:t xml:space="preserve">la convergencia necesaria para afirmaciones confirmativas. Esto no clausura la</w:t>
      </w:r>
      <w:r>
        <w:t xml:space="preserve"> </w:t>
      </w:r>
      <w:r>
        <w:t xml:space="preserve">evaluación semántica; establece los requisitos que las rúbricas deben satisfacer:</w:t>
      </w:r>
      <w:r>
        <w:t xml:space="preserve"> </w:t>
      </w:r>
      <w:r>
        <w:t xml:space="preserve">(i) especificación de la necesidad informativa del stakeholder, (ii) definición</w:t>
      </w:r>
      <w:r>
        <w:t xml:space="preserve"> </w:t>
      </w:r>
      <w:r>
        <w:t xml:space="preserve">de un criterio de corrección o referencia verificable, (iii) separación de</w:t>
      </w:r>
      <w:r>
        <w:t xml:space="preserve"> </w:t>
      </w:r>
      <w:r>
        <w:t xml:space="preserve">desiderata secundarios de la dimensión central, y (iv) calibración contra juicios</w:t>
      </w:r>
      <w:r>
        <w:t xml:space="preserve"> </w:t>
      </w:r>
      <w:r>
        <w:t xml:space="preserve">humanos expertos antes del uso confirmativo. Estos requisitos son la</w:t>
      </w:r>
      <w:r>
        <w:t xml:space="preserve"> </w:t>
      </w:r>
      <w:r>
        <w:t xml:space="preserve">operacionalización doctoral de la Brecha 3 y constituyen la agenda de</w:t>
      </w:r>
      <w:r>
        <w:t xml:space="preserve"> </w:t>
      </w:r>
      <w:r>
        <w:t xml:space="preserve">investigación directamente derivada de esta taxonomía.</w:t>
      </w:r>
    </w:p>
    <w:p>
      <w:pPr>
        <w:pStyle w:val="Textoindependiente"/>
        <w:spacing w:line="360" w:lineRule="auto"/>
        <w:jc w:val="both"/>
      </w:pPr>
      <w:r>
        <w:t xml:space="preserve">Este capítulo ha establecido la tercera contribución doctoral: una taxonomía de</w:t>
      </w:r>
      <w:r>
        <w:t xml:space="preserve"> </w:t>
      </w:r>
      <w:r>
        <w:t xml:space="preserve">cuatro ejes que organiza el espacio de métricas XAI, localiza las cinco métricas</w:t>
      </w:r>
      <w:r>
        <w:t xml:space="preserve"> </w:t>
      </w:r>
      <w:r>
        <w:t xml:space="preserve">del benchmark en su cuadrante correspondiente y hace explícito el alcance</w:t>
      </w:r>
      <w:r>
        <w:t xml:space="preserve"> </w:t>
      </w:r>
      <w:r>
        <w:t xml:space="preserve">inferencial de cada una. La consecuencia teórica de esta revisión es que la</w:t>
      </w:r>
      <w:r>
        <w:t xml:space="preserve"> </w:t>
      </w:r>
      <w:r>
        <w:t xml:space="preserve">evaluación XAI no puede reducirse a un único criterio ni generalizarse a</w:t>
      </w:r>
      <w:r>
        <w:t xml:space="preserve"> </w:t>
      </w:r>
      <w:r>
        <w:t xml:space="preserve">dominios de usuario sin evidencia adicional: cada métrica responde a una</w:t>
      </w:r>
      <w:r>
        <w:t xml:space="preserve"> </w:t>
      </w:r>
      <w:r>
        <w:t xml:space="preserve">pregunta específica sobre un tipo de objeto explicativo en un contexto de uso</w:t>
      </w:r>
      <w:r>
        <w:t xml:space="preserve"> </w:t>
      </w:r>
      <w:r>
        <w:t xml:space="preserve">determinado. El Capítulo 6 cierra la tesis sintetizando las tres contribuciones,</w:t>
      </w:r>
      <w:r>
        <w:t xml:space="preserve"> </w:t>
      </w:r>
      <w:r>
        <w:t xml:space="preserve">posicionándolas respecto a la literatura más cercana, reconociendo las</w:t>
      </w:r>
      <w:r>
        <w:t xml:space="preserve"> </w:t>
      </w:r>
      <w:r>
        <w:t xml:space="preserve">limitaciones con precisión y trazando las líneas de investigación futura que</w:t>
      </w:r>
      <w:r>
        <w:t xml:space="preserve"> </w:t>
      </w:r>
      <w:r>
        <w:t xml:space="preserve">emergen directamente de los hallazgos y las fronteras de la taxonomía.</w:t>
      </w:r>
    </w:p>
    <w:bookmarkEnd w:id="171"/>
    <w:bookmarkEnd w:id="172"/>
    <w:bookmarkStart w:id="188" w:name="conclusiones"/>
    <w:p>
      <w:pPr>
        <w:pStyle w:val="Ttulo1"/>
        <w:spacing w:line="360" w:lineRule="auto"/>
        <w:jc w:val="both"/>
      </w:pPr>
      <w:r>
        <w:t xml:space="preserve">Conclusiones</w:t>
      </w:r>
    </w:p>
    <w:p>
      <w:pPr>
        <w:pStyle w:val="FirstParagraph"/>
        <w:spacing w:line="360" w:lineRule="auto"/>
        <w:jc w:val="both"/>
      </w:pPr>
      <w:r>
        <w:t xml:space="preserve">Esta tesis parte de una constatación empírica recurrente en la literatura: el</w:t>
      </w:r>
      <w:r>
        <w:t xml:space="preserve"> </w:t>
      </w:r>
      <w:r>
        <w:t xml:space="preserve">campo de la evaluación de métodos XAI carece de marcos operativos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vinculación</w:t>
      </w:r>
      <w:r>
        <w:t xml:space="preserve"> </w:t>
      </w:r>
      <w:r>
        <w:t xml:space="preserve">auditable entre diseño experimental, artefactos de resultado y afirmaciones</w:t>
      </w:r>
      <w:r>
        <w:t xml:space="preserve"> </w:t>
      </w:r>
      <w:r>
        <w:t xml:space="preserve">inferenciales. Esta tesis responde a ese problema con tres contribuciones</w:t>
      </w:r>
      <w:r>
        <w:t xml:space="preserve"> </w:t>
      </w:r>
      <w:r>
        <w:t xml:space="preserve">articuladas: la secuencia operativa FOM-7, un benchmark multi-métrico sobre</w:t>
      </w:r>
      <w:r>
        <w:t xml:space="preserve"> </w:t>
      </w:r>
      <w:r>
        <w:t xml:space="preserve">datos tabulares reales y una taxonomía del espacio de métricas de evaluación XAI.</w:t>
      </w:r>
    </w:p>
    <w:bookmarkStart w:id="175" w:name="sec-respuesta"/>
    <w:p>
      <w:pPr>
        <w:pStyle w:val="Ttulo2"/>
        <w:spacing w:line="360" w:lineRule="auto"/>
        <w:jc w:val="both"/>
      </w:pPr>
      <w:r>
        <w:t xml:space="preserve">Respuesta al problema de investigación e hipótesis</w:t>
      </w:r>
    </w:p>
    <w:p>
      <w:pPr>
        <w:pStyle w:val="FirstParagraph"/>
        <w:spacing w:line="360" w:lineRule="auto"/>
        <w:jc w:val="bot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spacing w:line="360" w:lineRule="auto"/>
        <w:jc w:val="both"/>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robustas bajo el protocolo FOM-7. La respuesta directa es:</w:t>
      </w:r>
      <w:r>
        <w:t xml:space="preserve"> </w:t>
      </w:r>
      <w:r>
        <w:rPr>
          <w:b/>
          <w:bCs/>
        </w:rPr>
        <w:t xml:space="preserve">SHAP presenta el mejor perfil de fidelidad y estabilidad en los contextos</w:t>
      </w:r>
      <w:r>
        <w:rPr>
          <w:b/>
          <w:bCs/>
        </w:rPr>
        <w:t xml:space="preserve"> </w:t>
      </w:r>
      <w:r>
        <w:rPr>
          <w:b/>
          <w:bCs/>
        </w:rPr>
        <w:t xml:space="preserve">modelo-muestra evaluados; LIME es una alternativa cuando el coste computacional</w:t>
      </w:r>
      <w:r>
        <w:rPr>
          <w:b/>
          <w:bCs/>
        </w:rPr>
        <w:t xml:space="preserve"> </w:t>
      </w:r>
      <w:r>
        <w:rPr>
          <w:b/>
          <w:bCs/>
        </w:rPr>
        <w:t xml:space="preserve">es crítico, con la condición de aceptar explicaciones inestables; Anchors y</w:t>
      </w:r>
      <w:r>
        <w:rPr>
          <w:b/>
          <w:bCs/>
        </w:rPr>
        <w:t xml:space="preserve"> </w:t>
      </w:r>
      <w:r>
        <w:rPr>
          <w:b/>
          <w:bCs/>
        </w:rPr>
        <w:t xml:space="preserve">DiCE atienden objetivos explicativos cualitativamente distintos que las métricas</w:t>
      </w:r>
      <w:r>
        <w:rPr>
          <w:b/>
          <w:bCs/>
        </w:rPr>
        <w:t xml:space="preserve"> </w:t>
      </w:r>
      <w:r>
        <w:rPr>
          <w:b/>
          <w:bCs/>
        </w:rPr>
        <w:t xml:space="preserve">de atribución no capturan plenamente.</w:t>
      </w:r>
      <w:r>
        <w:t xml:space="preserve"> </w:t>
      </w:r>
      <w:r>
        <w:t xml:space="preserve">Esta orientación es robusta: emerge de</w:t>
      </w:r>
      <w:r>
        <w:t xml:space="preserve"> </w:t>
      </w:r>
      <w:r>
        <w:t xml:space="preserve">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spacing w:line="360" w:lineRule="auto"/>
        <w:jc w:val="both"/>
      </w:pPr>
      <w:r>
        <w:t xml:space="preserve">La resolución formal de las hipótesis y objetivos se sintetiza en la tabla</w:t>
      </w:r>
      <w:r>
        <w:t xml:space="preserve"> </w:t>
      </w:r>
      <w:r>
        <w:t xml:space="preserve">siguiente:</w:t>
      </w:r>
    </w:p>
    <w:tbl>
      <w:tblPr>
        <w:tblStyle w:val="Table"/>
        <w:tblW w:type="pct" w:w="5000"/>
        <w:tblLayout w:type="fixed"/>
        <w:tblLook w:firstRow="0" w:lastRow="0" w:firstColumn="0" w:lastColumn="0" w:noHBand="0" w:noVBand="0" w:val="0000"/>
      </w:tblPr>
      <w:tblGrid>
        <w:gridCol w:w="7920"/>
      </w:tblGrid>
      <w:tr>
        <w:tc>
          <w:tcPr/>
          <w:bookmarkStart w:id="173" w:name="tbl-hipotesis"/>
          <w:p>
            <w:pPr>
              <w:jc w:val="both"/>
              <w:spacing w:line="360" w:lineRule="auto"/>
            </w:pPr>
            <w:pPr>
              <w:jc w:val="left"/>
              <w:spacing w:before="200"/>
              <w:pStyle w:val="ImageCaption"/>
            </w:pPr>
            <w:r>
              <w:t xml:space="preserve">Table 7.1: Síntesis de hipótesis y proposiciones de trabajo.</w:t>
            </w:r>
          </w:p>
          <w:tbl>
            <w:tblPr>
              <w:tblStyle w:val="Table"/>
              <w:tblW w:type="pct" w:w="5000"/>
              <w:tblLayout w:type="fixed"/>
              <w:tblLook w:firstRow="1" w:lastRow="0" w:firstColumn="0" w:lastColumn="0" w:noHBand="0" w:noVBand="0" w:val="0020"/>
            </w:tblPr>
            <w:tblGrid>
              <w:gridCol w:w="3600"/>
              <w:gridCol w:w="1584"/>
              <w:gridCol w:w="2736"/>
            </w:tblGrid>
            <w:tr>
              <w:trPr>
                <w:tblHeader w:val="on"/>
              </w:trPr>
              <w:tc>
                <w:tcPr/>
                <w:p>
                  <w:pPr>
                    <w:pStyle w:val="Compact"/>
                    <w:jc w:val="both"/>
                    <w:spacing w:line="360" w:lineRule="auto"/>
                  </w:pPr>
                  <w:r>
                    <w:t xml:space="preserve">Hipótesis / Proposición</w:t>
                  </w:r>
                </w:p>
              </w:tc>
              <w:tc>
                <w:tcPr/>
                <w:p>
                  <w:pPr>
                    <w:pStyle w:val="Compact"/>
                    <w:jc w:val="both"/>
                    <w:spacing w:line="360" w:lineRule="auto"/>
                  </w:pPr>
                  <w:r>
                    <w:t xml:space="preserve">Resultado</w:t>
                  </w:r>
                </w:p>
              </w:tc>
              <w:tc>
                <w:tcPr/>
                <w:p>
                  <w:pPr>
                    <w:pStyle w:val="Compact"/>
                    <w:jc w:val="both"/>
                    <w:spacing w:line="360" w:lineRule="auto"/>
                  </w:pPr>
                  <w:r>
                    <w:t xml:space="preserve">Estadístico clave</w:t>
                  </w:r>
                </w:p>
              </w:tc>
            </w:tr>
            <w:tr>
              <w:tc>
                <w:tcPr/>
                <w:p>
                  <w:pPr>
                    <w:pStyle w:val="Compact"/>
                    <w:jc w:val="both"/>
                    <w:spacing w:line="360" w:lineRule="auto"/>
                  </w:pPr>
                  <w:r>
                    <w:t xml:space="preserve">H1: diferencias en fidelidad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42.12</ns1:t>
                    </ns1:r>
                  </ns1:oMath>
                  <w:r>
                    <w:t xml:space="preserve">; margen 439%</w:t>
                  </w:r>
                </w:p>
              </w:tc>
            </w:tr>
            <w:tr>
              <w:tc>
                <w:tcPr/>
                <w:p>
                  <w:pPr>
                    <w:pStyle w:val="Compact"/>
                    <w:jc w:val="both"/>
                    <w:spacing w:line="360" w:lineRule="auto"/>
                  </w:pPr>
                  <w:r>
                    <w:t xml:space="preserve">H2: diferencias en estabilidad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40.68</ns1:t>
                    </ns1:r>
                  </ns1:oMath>
                  <w:r>
                    <w:t xml:space="preserve">; margen 421%</w:t>
                  </w:r>
                </w:p>
              </w:tc>
            </w:tr>
            <w:tr>
              <w:tc>
                <w:tcPr/>
                <w:p>
                  <w:pPr>
                    <w:pStyle w:val="Compact"/>
                    <w:jc w:val="both"/>
                    <w:spacing w:line="360" w:lineRule="auto"/>
                  </w:pPr>
                  <w:r>
                    <w:t xml:space="preserve">H3: SHAP-LIME difieren en calidad y coste</w:t>
                  </w:r>
                </w:p>
              </w:tc>
              <w:tc>
                <w:tcPr/>
                <w:p>
                  <w:pPr>
                    <w:pStyle w:val="Compact"/>
                    <w:jc w:val="both"/>
                    <w:spacing w:line="360" w:lineRule="auto"/>
                  </w:pPr>
                  <w:r>
                    <w:rPr>
                      <w:b/>
                      <w:bCs/>
                    </w:rPr>
                    <w:t xml:space="preserve">Confirmada</w:t>
                  </w:r>
                </w:p>
              </w:tc>
              <w:tc>
                <w:tcPr/>
                <w:p>
                  <w:pPr>
                    <w:pStyle w:val="Compact"/>
                    <w:jc w:val="both"/>
                    <w:spacing w:line="360" w:lineRule="auto"/>
                  </w:pPr>
                  <ns1:oMath>
                    <ns1:sSub>
                      <ns1:e>
                        <ns1:r>
                          <ns1:t>d</ns1:t>
                        </ns1:r>
                      </ns1:e>
                      <ns1:sub>
                        <ns1:r>
                          <ns1:t>z</ns1:t>
                        </ns1:r>
                      </ns1:sub>
                    </ns1:sSub>
                    <ns1:r>
                      <ns1:rPr>
                        <ns1:sty ns1:val="p"/>
                      </ns1:rPr>
                      <ns1:t>=</ns1:t>
                    </ns1:r>
                    <ns1:r>
                      <ns1:rPr>
                        <ns1:sty ns1:val="p"/>
                      </ns1:rPr>
                      <ns1:t>+</ns1:t>
                    </ns1:r>
                    <ns1:r>
                      <ns1:t>4.82</ns1:t>
                    </ns1:r>
                  </ns1:oMath>
                  <w:r>
                    <w:t xml:space="preserve"> </w:t>
                  </w:r>
                  <w:r>
                    <w:t xml:space="preserve">(fidelidad);</w:t>
                  </w:r>
                  <w:r>
                    <w:t xml:space="preserve"> </w:t>
                  </w:r>
                  <ns1:oMath>
                    <ns1:sSub>
                      <ns1:e>
                        <ns1:r>
                          <ns1:t>d</ns1:t>
                        </ns1:r>
                      </ns1:e>
                      <ns1:sub>
                        <ns1:r>
                          <ns1:t>z</ns1:t>
                        </ns1:r>
                      </ns1:sub>
                    </ns1:sSub>
                    <ns1:r>
                      <ns1:rPr>
                        <ns1:sty ns1:val="p"/>
                      </ns1:rPr>
                      <ns1:t>=</ns1:t>
                    </ns1:r>
                    <ns1:r>
                      <ns1:rPr>
                        <ns1:sty ns1:val="p"/>
                      </ns1:rPr>
                      <ns1:t>+</ns1:t>
                    </ns1:r>
                    <ns1:r>
                      <ns1:t>3.00</ns1:t>
                    </ns1:r>
                  </ns1:oMath>
                  <w:r>
                    <w:t xml:space="preserve"> </w:t>
                  </w:r>
                  <w:r>
                    <w:t xml:space="preserve">(estabilidad); 75/75 positivas</w:t>
                  </w:r>
                </w:p>
              </w:tc>
            </w:tr>
            <w:tr>
              <w:tc>
                <w:tcPr/>
                <w:p>
                  <w:pPr>
                    <w:pStyle w:val="Compact"/>
                    <w:jc w:val="both"/>
                    <w:spacing w:line="360" w:lineRule="auto"/>
                  </w:pPr>
                  <w:r>
                    <w:t xml:space="preserve">P1: CV &lt; 15% en métricas primarias</w:t>
                  </w:r>
                </w:p>
              </w:tc>
              <w:tc>
                <w:tcPr/>
                <w:p>
                  <w:pPr>
                    <w:pStyle w:val="Compact"/>
                    <w:jc w:val="both"/>
                    <w:spacing w:line="360" w:lineRule="auto"/>
                  </w:pPr>
                  <w:r>
                    <w:rPr>
                      <w:b/>
                      <w:bCs/>
                    </w:rPr>
                    <w:t xml:space="preserve">Parcialmente confirmada</w:t>
                  </w:r>
                </w:p>
              </w:tc>
              <w:tc>
                <w:tcPr/>
                <w:p>
                  <w:pPr>
                    <w:pStyle w:val="Compact"/>
                    <w:jc w:val="both"/>
                    <w:spacing w:line="360" w:lineRule="auto"/>
                  </w:pPr>
                  <w:r>
                    <w:t xml:space="preserve">SHAP-fidelidad: CV=0.8%; LIME-estabilidad: CV=86.2% (incoherencia estructural, no ruido del protocolo)</w:t>
                  </w:r>
                </w:p>
              </w:tc>
            </w:tr>
            <w:tr>
              <w:tc>
                <w:tcPr/>
                <w:p>
                  <w:pPr>
                    <w:pStyle w:val="Compact"/>
                    <w:jc w:val="both"/>
                    <w:spacing w:line="360" w:lineRule="auto"/>
                  </w:pPr>
                  <w:r>
                    <w:t xml:space="preserve">P2 (exploratoria, declarada en el Capítulo 1): Jueces LLM alcanzan fiabilidad aceptable en evaluación semántica XAI</w:t>
                  </w:r>
                </w:p>
              </w:tc>
              <w:tc>
                <w:tcPr/>
                <w:p>
                  <w:pPr>
                    <w:pStyle w:val="Compact"/>
                    <w:jc w:val="both"/>
                    <w:spacing w:line="360" w:lineRule="auto"/>
                  </w:pPr>
                  <w:r>
                    <w:rPr>
                      <w:b/>
                      <w:bCs/>
                    </w:rPr>
                    <w:t xml:space="preserve">No confirmada (resultado negativo)</w:t>
                  </w:r>
                </w:p>
              </w:tc>
              <w:tc>
                <w:tcPr/>
                <w:p>
                  <w:pPr>
                    <w:pStyle w:val="Compact"/>
                    <w:jc w:val="both"/>
                    <w:spacing w:line="360" w:lineRule="auto"/>
                  </w:pPr>
                  <w:r>
                    <w:t xml:space="preserve">ICC(1,1) entre 0.321 y 0.601; ninguna dimensión alcanza umbral</w:t>
                  </w:r>
                  <w:r>
                    <w:t xml:space="preserve"> </w:t>
                  </w:r>
                  <ns1:oMath>
                    <ns1:r>
                      <ns1:rPr>
                        <ns1:sty ns1:val="p"/>
                      </ns1:rPr>
                      <ns1:t>≥</ns1:t>
                    </ns1:r>
                    <ns1:r>
                      <ns1:t>0.75</ns1:t>
                    </ns1:r>
                  </ns1:oMath>
                  <w:r>
                    <w:t xml:space="preserve"> </w:t>
                  </w:r>
                  <w:r>
                    <w:t xml:space="preserve">(EXP4,</w:t>
                  </w:r>
                  <w:r>
                    <w:t xml:space="preserve"> </w:t>
                  </w:r>
                  <ns1:oMath>
                    <ns1:r>
                      <ns1:t>n</ns1:t>
                    </ns1:r>
                    <ns1:r>
                      <ns1:rPr>
                        <ns1:sty ns1:val="p"/>
                      </ns1:rPr>
                      <ns1:t>=</ns1:t>
                    </ns1:r>
                    <ns1:r>
                      <ns1:t>147</ns1:t>
                    </ns1:r>
                  </ns1:oMath>
                  <w:r>
                    <w:t xml:space="preserve">, 3 jueces)</w:t>
                  </w:r>
                </w:p>
              </w:tc>
            </w:tr>
          </w:tbl>
          <w:bookmarkEnd w:id="173"/>
          <w:p>
            <w:pPr>
              <w:spacing w:line="360" w:lineRule="auto"/>
              <w:jc w:val="both"/>
            </w:pPr>
          </w:p>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74" w:name="tbl-objetivos"/>
          <w:p>
            <w:pPr>
              <w:jc w:val="both"/>
              <w:spacing w:line="360" w:lineRule="auto"/>
            </w:pPr>
            <w:pPr>
              <w:jc w:val="left"/>
              <w:spacing w:before="200"/>
              <w:pStyle w:val="ImageCaption"/>
            </w:pPr>
            <w:r>
              <w:t xml:space="preserve">Table 7.2: Cierre de objetivos específicos.</w:t>
            </w:r>
          </w:p>
          <w:tbl>
            <w:tblPr>
              <w:tblStyle w:val="Table"/>
              <w:tblW w:type="pct" w:w="5000"/>
              <w:tblLayout w:type="fixed"/>
              <w:tblLook w:firstRow="1" w:lastRow="0" w:firstColumn="0" w:lastColumn="0" w:noHBand="0" w:noVBand="0" w:val="0020"/>
            </w:tblPr>
            <w:tblGrid>
              <w:gridCol w:w="5735"/>
              <w:gridCol w:w="2184"/>
            </w:tblGrid>
            <w:tr>
              <w:trPr>
                <w:tblHeader w:val="on"/>
              </w:trPr>
              <w:tc>
                <w:tcPr/>
                <w:p>
                  <w:pPr>
                    <w:pStyle w:val="Compact"/>
                    <w:jc w:val="both"/>
                    <w:spacing w:line="360" w:lineRule="auto"/>
                  </w:pPr>
                  <w:r>
                    <w:t xml:space="preserve">Objetivo específico</w:t>
                  </w:r>
                </w:p>
              </w:tc>
              <w:tc>
                <w:tcPr/>
                <w:p>
                  <w:pPr>
                    <w:pStyle w:val="Compact"/>
                    <w:jc w:val="both"/>
                    <w:spacing w:line="360" w:lineRule="auto"/>
                  </w:pPr>
                  <w:r>
                    <w:t xml:space="preserve">Estado</w:t>
                  </w:r>
                </w:p>
              </w:tc>
            </w:tr>
            <w:tr>
              <w:tc>
                <w:tcPr/>
                <w:p>
                  <w:pPr>
                    <w:pStyle w:val="Compact"/>
                    <w:jc w:val="both"/>
                    <w:spacing w:line="360" w:lineRule="auto"/>
                  </w:pPr>
                  <w:r>
                    <w:t xml:space="preserve">OE1 — Formalizar protocolo FOM-7</w:t>
                  </w:r>
                </w:p>
              </w:tc>
              <w:tc>
                <w:tcPr/>
                <w:p>
                  <w:pPr>
                    <w:pStyle w:val="Compact"/>
                    <w:jc w:val="both"/>
                    <w:spacing w:line="360" w:lineRule="auto"/>
                  </w:pPr>
                  <w:r>
                    <w:t xml:space="preserve">Completado. El protocolo opera como secuencia de 7 puertas y produjo 275 artefactos calificados con trazabilidad completa.</w:t>
                  </w:r>
                </w:p>
              </w:tc>
            </w:tr>
            <w:tr>
              <w:tc>
                <w:tcPr/>
                <w:p>
                  <w:pPr>
                    <w:pStyle w:val="Compact"/>
                    <w:jc w:val="both"/>
                    <w:spacing w:line="360" w:lineRule="auto"/>
                  </w:pPr>
                  <w:r>
                    <w:t xml:space="preserve">OE2 — Evaluar SHAP, LIME, Anchors, DiCE sobre 5 modelos</w:t>
                  </w:r>
                </w:p>
              </w:tc>
              <w:tc>
                <w:tcPr/>
                <w:p>
                  <w:pPr>
                    <w:pStyle w:val="Compact"/>
                    <w:jc w:val="both"/>
                    <w:spacing w:line="360" w:lineRule="auto"/>
                  </w:pPr>
                  <w:r>
                    <w:t xml:space="preserve">Completado. Benchmark multi-métrico sobre UCI Adult Income con 5 métricas primarias.</w:t>
                  </w:r>
                </w:p>
              </w:tc>
            </w:tr>
            <w:tr>
              <w:tc>
                <w:tcPr/>
                <w:p>
                  <w:pPr>
                    <w:pStyle w:val="Compact"/>
                    <w:jc w:val="both"/>
                    <w:spacing w:line="360" w:lineRule="auto"/>
                  </w:pPr>
                  <w:r>
                    <w:t xml:space="preserve">OE3 — Cuantificar la relación calidad-coste SHAP-LIME</w:t>
                  </w:r>
                </w:p>
              </w:tc>
              <w:tc>
                <w:tcPr/>
                <w:p>
                  <w:pPr>
                    <w:pStyle w:val="Compact"/>
                    <w:jc w:val="both"/>
                    <w:spacing w:line="360" w:lineRule="auto"/>
                  </w:pPr>
                  <w:r>
                    <w:t xml:space="preserve">Completado. Análisis pareado sobre 75 celdas coincidentes con corrección de multiplicidad Holm-Bonferroni.</w:t>
                  </w:r>
                </w:p>
              </w:tc>
            </w:tr>
            <w:tr>
              <w:tc>
                <w:tcPr/>
                <w:p>
                  <w:pPr>
                    <w:pStyle w:val="Compact"/>
                    <w:jc w:val="both"/>
                    <w:spacing w:line="360" w:lineRule="auto"/>
                  </w:pPr>
                  <w:r>
                    <w:t xml:space="preserve">OE4 — Caracterizar reproducibilidad del protocolo</w:t>
                  </w:r>
                </w:p>
              </w:tc>
              <w:tc>
                <w:tcPr/>
                <w:p>
                  <w:pPr>
                    <w:pStyle w:val="Compact"/>
                    <w:jc w:val="both"/>
                    <w:spacing w:line="360" w:lineRule="auto"/>
                  </w:pPr>
                  <w:r>
                    <w:t xml:space="preserve">Completado. CV &lt; 3% en fidelidad para el subgrupo replicado RF/</w:t>
                  </w:r>
                  <ns1:oMath>
                    <ns1:r>
                      <ns1:t>N</ns1:t>
                    </ns1:r>
                    <ns1:r>
                      <ns1:rPr>
                        <ns1:sty ns1:val="p"/>
                      </ns1:rPr>
                      <ns1:t>=</ns1:t>
                    </ns1:r>
                    <ns1:r>
                      <ns1:t>100</ns1:t>
                    </ns1:r>
                  </ns1:oMath>
                  <w:r>
                    <w:t xml:space="preserve"> </w:t>
                  </w:r>
                  <w:r>
                    <w:t xml:space="preserve">y CV agrupado de 11.4% (SHAP) y 12.0% (LIME) sobre el conjunto completo de ejecuciones, todos por debajo del umbral del 15% de P1; variabilidad del coste inherente a la heterogeneidad del hardware.</w:t>
                  </w:r>
                </w:p>
              </w:tc>
            </w:tr>
            <w:tr>
              <w:tc>
                <w:tcPr/>
                <w:p>
                  <w:pPr>
                    <w:pStyle w:val="Compact"/>
                    <w:jc w:val="both"/>
                    <w:spacing w:line="360" w:lineRule="auto"/>
                  </w:pPr>
                  <w:r>
                    <w:t xml:space="preserve">OE5 — Construir taxonomía estructurada</w:t>
                  </w:r>
                </w:p>
              </w:tc>
              <w:tc>
                <w:tcPr/>
                <w:p>
                  <w:pPr>
                    <w:pStyle w:val="Compact"/>
                    <w:jc w:val="both"/>
                    <w:spacing w:line="360" w:lineRule="auto"/>
                  </w:pPr>
                  <w:r>
                    <w:t xml:space="preserve">Completado. Véase el Capítulo 5.</w:t>
                  </w:r>
                </w:p>
              </w:tc>
            </w:tr>
            <w:tr>
              <w:tc>
                <w:tcPr/>
                <w:p>
                  <w:pPr>
                    <w:pStyle w:val="Compact"/>
                    <w:jc w:val="both"/>
                    <w:spacing w:line="360" w:lineRule="auto"/>
                  </w:pPr>
                  <w:r>
                    <w:t xml:space="preserve">OE6 — Cuantificar fiabilidad de evaluadores semánticos LLM (objetivo exploratorio, derivado de la Brecha 3)</w:t>
                  </w:r>
                </w:p>
              </w:tc>
              <w:tc>
                <w:tcPr/>
                <w:p>
                  <w:pPr>
                    <w:pStyle w:val="Compact"/>
                    <w:jc w:val="both"/>
                    <w:spacing w:line="360" w:lineRule="auto"/>
                  </w:pPr>
                  <w:r>
                    <w:t xml:space="preserve">Completado (resultado negativo). EXP4: ICC(1,1) entre 0.321 y 0.601 en 7 dimensiones; ninguna alcanza umbral</w:t>
                  </w:r>
                  <w:r>
                    <w:t xml:space="preserve"> </w:t>
                  </w:r>
                  <ns1:oMath>
                    <ns1:r>
                      <ns1:rPr>
                        <ns1:sty ns1:val="p"/>
                      </ns1:rPr>
                      <ns1:t>≥</ns1:t>
                    </ns1:r>
                    <ns1:r>
                      <ns1:t>0.75</ns1:t>
                    </ns1:r>
                  </ns1:oMath>
                  <w:r>
                    <w:t xml:space="preserve">. Véase §sec-exp4-fiabilidad.</w:t>
                  </w:r>
                </w:p>
              </w:tc>
            </w:tr>
          </w:tbl>
          <w:bookmarkEnd w:id="174"/>
          <w:p>
            <w:pPr>
              <w:spacing w:line="360" w:lineRule="auto"/>
              <w:jc w:val="both"/>
            </w:pPr>
          </w:p>
        </w:tc>
      </w:tr>
    </w:tbl>
    <w:bookmarkEnd w:id="175"/>
    <w:bookmarkStart w:id="179" w:name="sec-contribuciones"/>
    <w:p>
      <w:pPr>
        <w:pStyle w:val="Ttulo2"/>
        <w:spacing w:line="360" w:lineRule="auto"/>
        <w:jc w:val="both"/>
      </w:pPr>
      <w:r>
        <w:t xml:space="preserve">Contribuciones científicas</w:t>
      </w:r>
    </w:p>
    <w:bookmarkStart w:id="176" w:name="X2e7af289f3df14f7e31f2445fc83a79cfc8b431"/>
    <w:p>
      <w:pPr>
        <w:pStyle w:val="Ttulo3"/>
        <w:spacing w:line="360" w:lineRule="auto"/>
        <w:jc w:val="both"/>
      </w:pPr>
      <w:r>
        <w:t xml:space="preserve">Contribución metodológica: protocolo FOM-7</w:t>
      </w:r>
    </w:p>
    <w:p>
      <w:pPr>
        <w:pStyle w:val="FirstParagraph"/>
        <w:spacing w:line="360" w:lineRule="auto"/>
        <w:jc w:val="bot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spacing w:line="360" w:lineRule="auto"/>
        <w:jc w:val="both"/>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spacing w:line="360" w:lineRule="auto"/>
        <w:jc w:val="both"/>
      </w:pPr>
      <w:r>
        <w:t xml:space="preserve">FOM-7 está disponible como código fuente verificable con rastreabilidad completa</w:t>
      </w:r>
      <w:r>
        <w:t xml:space="preserve"> </w:t>
      </w:r>
      <w:r>
        <w:t xml:space="preserve">de artefactos, satisfaciendo los criterios 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76"/>
    <w:bookmarkStart w:id="177" w:name="X93d1d918ce055ba24ba9e9f0b305f424c9a5ca8"/>
    <w:p>
      <w:pPr>
        <w:pStyle w:val="Ttulo3"/>
        <w:spacing w:line="360" w:lineRule="auto"/>
        <w:jc w:val="both"/>
      </w:pPr>
      <w:r>
        <w:t xml:space="preserve">Contribución teórica: disociación fidelidad-estabilidad y taxonomía de métricas</w:t>
      </w:r>
    </w:p>
    <w:p>
      <w:pPr>
        <w:pStyle w:val="FirstParagraph"/>
        <w:spacing w:line="360" w:lineRule="auto"/>
        <w:jc w:val="both"/>
      </w:pPr>
      <w:r>
        <w:t xml:space="preserve">La disociación empírica entre fidelidad y estabilidad, documentada con</w:t>
      </w:r>
      <w:r>
        <w:t xml:space="preserve"> </w:t>
      </w:r>
      <w:r>
        <w:t xml:space="preserve">tamaños de efecto de magnitud muy grande (</w:t>
      </w:r>
      <ns1:oMath>
        <ns1:sSub>
          <ns1:e>
            <ns1:r>
              <ns1:t>d</ns1:t>
            </ns1:r>
          </ns1:e>
          <ns1:sub>
            <ns1:r>
              <ns1:t>z</ns1:t>
            </ns1:r>
          </ns1:sub>
        </ns1:sSub>
        <ns1:r>
          <ns1:rPr>
            <ns1:sty ns1:val="p"/>
          </ns1:rPr>
          <ns1:t>&gt;</ns1:t>
        </ns1:r>
        <ns1:r>
          <ns1:t>2.8</ns1:t>
        </ns1:r>
      </ns1: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and Verbert 2024; Burger et al. 2023)</w:t>
      </w:r>
      <w:r>
        <w:t xml:space="preserve">. Específicamente, la inestabilidad de LIME no</w:t>
      </w:r>
      <w:r>
        <w:t xml:space="preserve"> </w:t>
      </w:r>
      <w:r>
        <w:t xml:space="preserve">es un artefacto de escenarios extremos ni de un presupuesto de muestreo</w:t>
      </w:r>
      <w:r>
        <w:t xml:space="preserve"> </w:t>
      </w:r>
      <w:r>
        <w:t xml:space="preserve">insuficiente, sino una propiedad reproducible del método bajo las condiciones</w:t>
      </w:r>
      <w:r>
        <w:t xml:space="preserve"> </w:t>
      </w:r>
      <w:r>
        <w:t xml:space="preserve">controladas del benchmark —y, como delimitan §sec-limitaciones y §sec-exp3-nota,</w:t>
      </w:r>
      <w:r>
        <w:t xml:space="preserve"> </w:t>
      </w:r>
      <w:r>
        <w:t xml:space="preserve">una propiedad del par (configuración, espacio de características) más que del</w:t>
      </w:r>
      <w:r>
        <w:t xml:space="preserve"> </w:t>
      </w:r>
      <w:r>
        <w:t xml:space="preserve">método en abstracto. Esta demostración cuantifica el riesgo de usar LIME en</w:t>
      </w:r>
      <w:r>
        <w:t xml:space="preserve"> </w:t>
      </w:r>
      <w:r>
        <w:t xml:space="preserve">contextos donde se exija consistencia explicativa (auditoría, decisiones de alto</w:t>
      </w:r>
      <w:r>
        <w:t xml:space="preserve"> </w:t>
      </w:r>
      <w:r>
        <w:t xml:space="preserve">riesgo) sin haber medido antes su estabilidad en el espacio de despliegue, un</w:t>
      </w:r>
      <w:r>
        <w:t xml:space="preserve"> </w:t>
      </w:r>
      <w:r>
        <w:t xml:space="preserve">riesgo que los trabajos de referencia sobre LIME</w:t>
      </w:r>
      <w:r>
        <w:t xml:space="preserve"> </w:t>
      </w:r>
      <w:r>
        <w:t xml:space="preserve">(Ribeiro 2016)</w:t>
      </w:r>
      <w:r>
        <w:t xml:space="preserve"> </w:t>
      </w:r>
      <w:r>
        <w:t xml:space="preserve">no cuantifican</w:t>
      </w:r>
      <w:r>
        <w:t xml:space="preserve"> </w:t>
      </w:r>
      <w:r>
        <w:t xml:space="preserve">en benchmarks multi-métricos.</w:t>
      </w:r>
    </w:p>
    <w:p>
      <w:pPr>
        <w:pStyle w:val="Textoindependiente"/>
        <w:spacing w:line="360" w:lineRule="auto"/>
        <w:jc w:val="both"/>
      </w:pPr>
      <w:r>
        <w:t xml:space="preserve">La taxonomía desarrollada en el Capítulo 5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and Verbert 2024; Arrieta 2019)</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77"/>
    <w:bookmarkStart w:id="178" w:name="X6583905c1b1630bf3acfdae91528ca52ef61481"/>
    <w:p>
      <w:pPr>
        <w:pStyle w:val="Ttulo3"/>
        <w:spacing w:line="360" w:lineRule="auto"/>
        <w:jc w:val="both"/>
      </w:pPr>
      <w:r>
        <w:t xml:space="preserve">Contribución aplicada: criterios prescriptivos de selección de métodos XAI</w:t>
      </w:r>
    </w:p>
    <w:p>
      <w:pPr>
        <w:pStyle w:val="FirstParagraph"/>
        <w:spacing w:line="360" w:lineRule="auto"/>
        <w:jc w:val="bot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 El carácter prescriptivo se refiere a la firmeza del criterio</w:t>
      </w:r>
      <w:r>
        <w:t xml:space="preserve"> </w:t>
      </w:r>
      <w:r>
        <w:t xml:space="preserve">dada la evidencia, no a su alcance: cada criterio queda condicionado a las</w:t>
      </w:r>
      <w:r>
        <w:t xml:space="preserve"> </w:t>
      </w:r>
      <w:r>
        <w:t xml:space="preserve">condiciones del benchmark especificadas en</w:t>
      </w:r>
      <w:r>
        <w:t xml:space="preserve"> </w:t>
      </w:r>
      <w:hyperlink w:anchor="tbl-fronteras-generalizacion">
        <w:r>
          <w:rPr>
            <w:rStyle w:val="Hipervnculo"/>
          </w:rPr>
          <w:t xml:space="preserve">Table 7.4</w:t>
        </w:r>
      </w:hyperlink>
      <w:r>
        <w:t xml:space="preserve"> </w:t>
      </w:r>
      <w:r>
        <w:t xml:space="preserve">—dataset Adult Income, clasificación tabular binaria, las cinco familias de</w:t>
      </w:r>
      <w:r>
        <w:t xml:space="preserve"> </w:t>
      </w:r>
      <w:r>
        <w:t xml:space="preserve">modelo evaluadas y las operacionalizaciones métricas del Capítulo 3— y ninguno</w:t>
      </w:r>
      <w:r>
        <w:t xml:space="preserve"> </w:t>
      </w:r>
      <w:r>
        <w:t xml:space="preserve">se extiende a preferencias de usuarios finales, dominios regulados con</w:t>
      </w:r>
      <w:r>
        <w:t xml:space="preserve"> </w:t>
      </w:r>
      <w:r>
        <w:t xml:space="preserve">restricciones normativas propias ni criterios de comprehensibilidad. Con esa</w:t>
      </w:r>
      <w:r>
        <w:t xml:space="preserve"> </w:t>
      </w:r>
      <w:r>
        <w:t xml:space="preserve">delimitación:</w:t>
      </w:r>
    </w:p>
    <w:p>
      <w:pPr>
        <w:pStyle w:val="Textoindependiente"/>
        <w:spacing w:line="360" w:lineRule="auto"/>
        <w:jc w:val="both"/>
      </w:pPr>
      <w:r>
        <w:rPr>
          <w:b/>
          <w:bCs/>
        </w:rPr>
        <w:t xml:space="preserve">SHAP debe seleccionarse</w:t>
      </w:r>
      <w:r>
        <w:t xml:space="preserve"> </w:t>
      </w:r>
      <w:r>
        <w:t xml:space="preserve">como método primario en cualquier aplicación que</w:t>
      </w:r>
      <w:r>
        <w:t xml:space="preserve"> </w:t>
      </w:r>
      <w:r>
        <w:t xml:space="preserve">requiera fidelidad o consistencia explicativa verificables, con la condición de</w:t>
      </w:r>
      <w:r>
        <w:t xml:space="preserve"> </w:t>
      </w:r>
      <w:r>
        <w:t xml:space="preserve">comprobar el umbral en la familia de modelo concreta. Sobre la media global SHAP</w:t>
      </w:r>
      <w:r>
        <w:t xml:space="preserve"> </w:t>
      </w:r>
      <w:r>
        <w:t xml:space="preserve">satisface</w:t>
      </w:r>
      <w:r>
        <w:t xml:space="preserve"> </w:t>
      </w:r>
      <ns1:oMath>
        <ns1:acc>
          <ns1:accPr>
            <ns1:chr ns1:val="‾"/>
          </ns1:accPr>
          <ns1:e>
            <ns1:r>
              <ns1:t>F</ns1:t>
            </ns1:r>
          </ns1:e>
        </ns1:acc>
        <ns1:r>
          <ns1:rPr>
            <ns1:sty ns1:val="p"/>
          </ns1:rPr>
          <ns1:t>=</ns1:t>
        </ns1:r>
        <ns1:r>
          <ns1:t>0.808</ns1:t>
        </ns1:r>
        <ns1:r>
          <ns1:rPr>
            <ns1:sty ns1:val="p"/>
          </ns1:rPr>
          <ns1:t>≥</ns1:t>
        </ns1:r>
        <ns1:r>
          <ns1:t>0.80</ns1:t>
        </ns1:r>
      </ns1:oMath>
      <w:r>
        <w:t xml:space="preserve"> </w:t>
      </w:r>
      <w:r>
        <w:t xml:space="preserve">y</w:t>
      </w:r>
      <w:r>
        <w:t xml:space="preserve"> </w:t>
      </w:r>
      <ns1:oMath>
        <ns1:acc>
          <ns1:accPr>
            <ns1:chr ns1:val="‾"/>
          </ns1:accPr>
          <ns1:e>
            <ns1:r>
              <ns1:t>S</ns1:t>
            </ns1:r>
          </ns1:e>
        </ns1:acc>
        <ns1:r>
          <ns1:rPr>
            <ns1:sty ns1:val="p"/>
          </ns1:rPr>
          <ns1:t>=</ns1:t>
        </ns1:r>
        <ns1:r>
          <ns1:t>0.732</ns1:t>
        </ns1:r>
        <ns1:r>
          <ns1:rPr>
            <ns1:sty ns1:val="p"/>
          </ns1:rPr>
          <ns1:t>≥</ns1:t>
        </ns1:r>
        <ns1:r>
          <ns1:t>0.70</ns1:t>
        </ns1:r>
      </ns1:oMath>
      <w:r>
        <w:t xml:space="preserve">, pero la</w:t>
      </w:r>
      <w:r>
        <w:t xml:space="preserve"> </w:t>
      </w:r>
      <w:r>
        <w:t xml:space="preserve">media global no es el criterio operativo: por familia, la fidelidad alcanza</w:t>
      </w:r>
      <w:r>
        <w:t xml:space="preserve"> </w:t>
      </w:r>
      <ns1:oMath>
        <ns1:r>
          <ns1:rPr>
            <ns1:sty ns1:val="p"/>
          </ns1:rPr>
          <ns1:t>≥</ns1:t>
        </ns1:r>
        <ns1:r>
          <ns1:t>0.80</ns1:t>
        </ns1:r>
      </ns1:oMath>
      <w:r>
        <w:t xml:space="preserve"> </w:t>
      </w:r>
      <w:r>
        <w:t xml:space="preserve">solo en logreg (0.946) y SVM (0.882), y la estabilidad alcanza</w:t>
      </w:r>
      <w:r>
        <w:t xml:space="preserve"> </w:t>
      </w:r>
      <ns1:oMath>
        <ns1:r>
          <ns1:rPr>
            <ns1:sty ns1:val="p"/>
          </ns1:rPr>
          <ns1:t>≥</ns1:t>
        </ns1:r>
        <ns1:r>
          <ns1:t>0.70</ns1:t>
        </ns1:r>
      </ns1:oMath>
      <w:r>
        <w:t xml:space="preserve"> </w:t>
      </w:r>
      <w:r>
        <w:t xml:space="preserve">solo en logreg (0.880), RF (0.949) y SVM (0.925), descendiendo a</w:t>
      </w:r>
      <w:r>
        <w:t xml:space="preserve"> </w:t>
      </w:r>
      <w:r>
        <w:t xml:space="preserve">0.575 en XGBoost y 0.331 en MLP. Para modelos basados en árboles, TreeSHAP</w:t>
      </w:r>
      <w:r>
        <w:t xml:space="preserve"> </w:t>
      </w:r>
      <w:r>
        <w:t xml:space="preserve">reduce el coste en dos o tres órdenes de magnitud respecto a KernelSHAP —21 ms</w:t>
      </w:r>
      <w:r>
        <w:t xml:space="preserve"> </w:t>
      </w:r>
      <w:r>
        <w:t xml:space="preserve">por instancia en XGBoost y 2,820 ms en Random Forest, frente a 54,231 ms en SVM—</w:t>
      </w:r>
      <w:r>
        <w:t xml:space="preserve"> </w:t>
      </w:r>
      <w:r>
        <w:t xml:space="preserve">lo que hace esta elección también la más eficiente en XGBoost.</w:t>
      </w:r>
    </w:p>
    <w:p>
      <w:pPr>
        <w:pStyle w:val="Textoindependiente"/>
        <w:spacing w:line="360" w:lineRule="auto"/>
        <w:jc w:val="both"/>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Las medias por familia de modelo</w:t>
      </w:r>
      <w:r>
        <w:t xml:space="preserve"> </w:t>
      </w:r>
      <w:r>
        <w:t xml:space="preserve">de LIME en logreg/xgb/mlp —73 ms, 122 ms y 52 ms por instancia respectivamente—</w:t>
      </w:r>
      <w:r>
        <w:t xml:space="preserve"> </w:t>
      </w:r>
      <w:r>
        <w:t xml:space="preserve">hacen posible la explicación en tiempo real, con la condición</w:t>
      </w:r>
      <w:r>
        <w:t xml:space="preserve"> </w:t>
      </w:r>
      <w:r>
        <w:t xml:space="preserve">explícita de que las explicaciones no sean comparadas entre ejecuciones. En SVM</w:t>
      </w:r>
      <w:r>
        <w:t xml:space="preserve"> </w:t>
      </w:r>
      <w:r>
        <w:t xml:space="preserve">esa ventaja desaparece: LIME asciende a 17,620 ms de media.</w:t>
      </w:r>
    </w:p>
    <w:p>
      <w:pPr>
        <w:pStyle w:val="Textoindependiente"/>
        <w:spacing w:line="360" w:lineRule="auto"/>
        <w:jc w:val="both"/>
      </w:pPr>
      <w:r>
        <w:rPr>
          <w:b/>
          <w:bCs/>
        </w:rPr>
        <w:t xml:space="preserve">Anchors debe usarse con cautela</w:t>
      </w:r>
      <w:r>
        <w:t xml:space="preserve"> </w:t>
      </w:r>
      <w:r>
        <w:t xml:space="preserve">para modelos no-lineales (RF, SVM, MLP) en</w:t>
      </w:r>
      <w:r>
        <w:t xml:space="preserve"> </w:t>
      </w:r>
      <w:r>
        <w:t xml:space="preserve">aplicaciones de latencia crítica: sus medias por familia de modelo —15,564 ms</w:t>
      </w:r>
      <w:r>
        <w:t xml:space="preserve"> </w:t>
      </w:r>
      <w:r>
        <w:t xml:space="preserve">(MLP), 37,415 ms (SVM) y 48,955 ms (RF) por instancia— son inviables en</w:t>
      </w:r>
      <w:r>
        <w:t xml:space="preserve"> </w:t>
      </w:r>
      <w:r>
        <w:t xml:space="preserve">producción, y su cobertura analítica cae al 76.0% por no convergencia. Su uso es</w:t>
      </w:r>
      <w:r>
        <w:t xml:space="preserve"> </w:t>
      </w:r>
      <w:r>
        <w:t xml:space="preserve">justificable exclusivamente cuando la</w:t>
      </w:r>
      <w:r>
        <w:t xml:space="preserve"> </w:t>
      </w:r>
      <w:r>
        <w:t xml:space="preserve">forma semántica IF-THEN es un requisito regulatorio o de usuario y el modelo</w:t>
      </w:r>
      <w:r>
        <w:t xml:space="preserve"> </w:t>
      </w:r>
      <w:r>
        <w:t xml:space="preserve">es de complejidad baja (logreg, 2,918 ms).</w:t>
      </w:r>
    </w:p>
    <w:p>
      <w:pPr>
        <w:pStyle w:val="Textoindependiente"/>
        <w:spacing w:line="360" w:lineRule="auto"/>
        <w:jc w:val="both"/>
      </w:pPr>
      <w:r>
        <w:rPr>
          <w:b/>
          <w:bCs/>
        </w:rPr>
        <w:t xml:space="preserve">DiCE es la opción de esta comparación orientada a acciones correctivas</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puesto que la métrica de atribución no</w:t>
      </w:r>
      <w:r>
        <w:t xml:space="preserve"> </w:t>
      </w:r>
      <w:r>
        <w:t xml:space="preserve">mide lo que DiCE optimiza. Su coste, en cambio, sí es una restricción real y no</w:t>
      </w:r>
      <w:r>
        <w:t xml:space="preserve"> </w:t>
      </w:r>
      <w:r>
        <w:t xml:space="preserve">debe presentarse como moderado: con una media de 28,209 ms por instancia</w:t>
      </w:r>
      <w:r>
        <w:t xml:space="preserve"> </w:t>
      </w:r>
      <w:r>
        <w:t xml:space="preserve">(mediana 11,880 ms) es el segundo más elevado del benchmark, solo por debajo de</w:t>
      </w:r>
      <w:r>
        <w:t xml:space="preserve"> </w:t>
      </w:r>
      <w:r>
        <w:t xml:space="preserve">Anchors (38,159 ms), y varía entre 12,634 ms (MLP) y 66,266 ms (SVM) según la</w:t>
      </w:r>
      <w:r>
        <w:t xml:space="preserve"> </w:t>
      </w:r>
      <w:r>
        <w:t xml:space="preserve">familia de modelo. DiCE se justifica cuando el recourse es el objetivo y no</w:t>
      </w:r>
      <w:r>
        <w:t xml:space="preserve"> </w:t>
      </w:r>
      <w:r>
        <w:t xml:space="preserve">existe sustituto, no por eficiencia.</w:t>
      </w:r>
    </w:p>
    <w:bookmarkEnd w:id="178"/>
    <w:bookmarkEnd w:id="179"/>
    <w:bookmarkStart w:id="181" w:name="sec-posicionamiento"/>
    <w:p>
      <w:pPr>
        <w:pStyle w:val="Ttulo2"/>
        <w:spacing w:line="360" w:lineRule="auto"/>
        <w:jc w:val="both"/>
      </w:pPr>
      <w:r>
        <w:t xml:space="preserve">Posicionamiento respecto a la literatura y separación de contribuciones</w:t>
      </w:r>
    </w:p>
    <w:p>
      <w:pPr>
        <w:pStyle w:val="FirstParagraph"/>
        <w:spacing w:line="360" w:lineRule="auto"/>
        <w:jc w:val="both"/>
      </w:pPr>
      <w:r>
        <w:t xml:space="preserve">Las tres contribuciones de esta tesis deben separarse con precisión de los</w:t>
      </w:r>
      <w:r>
        <w:t xml:space="preserve"> </w:t>
      </w:r>
      <w:r>
        <w:t xml:space="preserve">trabajos más cercanos para que su originalidad sea evaluable. La Tabla</w:t>
      </w:r>
      <w:r>
        <w:t xml:space="preserve"> </w:t>
      </w:r>
      <w:hyperlink w:anchor="tbl-contribucion-separacion">
        <w:r>
          <w:rPr>
            <w:rStyle w:val="Hipervnculo"/>
          </w:rPr>
          <w:t xml:space="preserve">Table 7.3</w:t>
        </w:r>
      </w:hyperlink>
      <w:r>
        <w:t xml:space="preserve"> </w:t>
      </w:r>
      <w:r>
        <w:t xml:space="preserve">realiza esta separación de forma explícita.</w:t>
      </w:r>
    </w:p>
    <w:tbl>
      <w:tblPr>
        <w:tblStyle w:val="Table"/>
        <w:tblW w:type="pct" w:w="5000"/>
        <w:tblLayout w:type="fixed"/>
        <w:tblLook w:firstRow="0" w:lastRow="0" w:firstColumn="0" w:lastColumn="0" w:noHBand="0" w:noVBand="0" w:val="0000"/>
      </w:tblPr>
      <w:tblGrid>
        <w:gridCol w:w="7920"/>
      </w:tblGrid>
      <w:tr>
        <w:tc>
          <w:tcPr/>
          <w:bookmarkStart w:id="180" w:name="tbl-contribucion-separacion"/>
          <w:p>
            <w:pPr>
              <w:jc w:val="both"/>
              <w:spacing w:line="360" w:lineRule="auto"/>
            </w:pPr>
            <w:pPr>
              <w:jc w:val="left"/>
              <w:spacing w:before="200"/>
              <w:pStyle w:val="ImageCaption"/>
            </w:pPr>
            <w:r>
              <w:t xml:space="preserve">Table 7.3: Separación de contribuciones respecto a los trabajos más cercanos.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Contribución</w:t>
                  </w:r>
                </w:p>
              </w:tc>
              <w:tc>
                <w:tcPr/>
                <w:p>
                  <w:pPr>
                    <w:pStyle w:val="Compact"/>
                    <w:jc w:val="both"/>
                    <w:jc w:val="center"/>
                    <w:spacing w:line="360" w:lineRule="auto"/>
                  </w:pPr>
                  <w:r>
                    <w:t xml:space="preserve">Trabajos más cercanos</w:t>
                  </w:r>
                </w:p>
              </w:tc>
              <w:tc>
                <w:tcPr/>
                <w:p>
                  <w:pPr>
                    <w:pStyle w:val="Compact"/>
                    <w:jc w:val="both"/>
                    <w:jc w:val="center"/>
                    <w:spacing w:line="360" w:lineRule="auto"/>
                  </w:pPr>
                  <w:r>
                    <w:t xml:space="preserve">En qué se solapa</w:t>
                  </w:r>
                </w:p>
              </w:tc>
              <w:tc>
                <w:tcPr/>
                <w:p>
                  <w:pPr>
                    <w:pStyle w:val="Compact"/>
                    <w:jc w:val="both"/>
                    <w:jc w:val="center"/>
                    <w:spacing w:line="360" w:lineRule="auto"/>
                  </w:pPr>
                  <w:r>
                    <w:t xml:space="preserve">En qué difiere esta tesis</w:t>
                  </w:r>
                </w:p>
              </w:tc>
            </w:tr>
            <w:tr>
              <w:tc>
                <w:tcPr/>
                <w:p>
                  <w:pPr>
                    <w:pStyle w:val="Compact"/>
                    <w:jc w:val="both"/>
                    <w:jc w:val="center"/>
                    <w:spacing w:line="360" w:lineRule="auto"/>
                  </w:pPr>
                  <w:r>
                    <w:rPr>
                      <w:b/>
                      <w:bCs/>
                    </w:rPr>
                    <w:t xml:space="preserve">FOM-7 — protocolo de benchmarking reproducible</w:t>
                  </w:r>
                </w:p>
              </w:tc>
              <w:tc>
                <w:tcPr/>
                <w:p>
                  <w:pPr>
                    <w:pStyle w:val="Compact"/>
                    <w:jc w:val="both"/>
                    <w:jc w:val="center"/>
                    <w:spacing w:line="360" w:lineRule="auto"/>
                  </w:pPr>
                  <w:r>
                    <w:t xml:space="preserve">OpenXAI</w:t>
                  </w:r>
                  <w:r>
                    <w:t xml:space="preserve"> </w:t>
                  </w:r>
                  <w:r>
                    <w:t xml:space="preserve">(Agarwal et al. 2022)</w:t>
                  </w:r>
                  <w:r>
                    <w:t xml:space="preserve">; Quantus</w:t>
                  </w:r>
                  <w:r>
                    <w:t xml:space="preserve"> </w:t>
                  </w:r>
                  <w:r>
                    <w:t xml:space="preserve">(Hedström et al. 2023)</w:t>
                  </w:r>
                  <w:r>
                    <w:t xml:space="preserve">; Canha et al.</w:t>
                  </w:r>
                  <w:r>
                    <w:t xml:space="preserve"> </w:t>
                  </w:r>
                  <w:r>
                    <w:t xml:space="preserve">(2025)</w:t>
                  </w:r>
                </w:p>
              </w:tc>
              <w:tc>
                <w:tcPr/>
                <w:p>
                  <w:pPr>
                    <w:pStyle w:val="Compact"/>
                    <w:jc w:val="both"/>
                    <w:jc w:val="center"/>
                    <w:spacing w:line="360" w:lineRule="auto"/>
                  </w:pPr>
                  <w:r>
                    <w:t xml:space="preserve">Objetivo de estandarización, uso de métricas functionally-grounded, énfasis en reproducibilidad</w:t>
                  </w:r>
                </w:p>
              </w:tc>
              <w:tc>
                <w:tcPr/>
                <w:p>
                  <w:pPr>
                    <w:pStyle w:val="Compact"/>
                    <w:jc w:val="both"/>
                    <w:jc w:val="center"/>
                    <w:spacing w:line="360" w:lineRule="auto"/>
                  </w:pPr>
                  <w:r>
                    <w:t xml:space="preserve">FOM-7 añade siete puertas secuenciales con criterios de admisibilidad y falla explícitos; OpenXAI y Quantus no regulan la cadena diseño-artefacto-inferencia-claim; Canha et al. proponen principios sin implementación operativa completa</w:t>
                  </w:r>
                </w:p>
              </w:tc>
            </w:tr>
            <w:tr>
              <w:tc>
                <w:tcPr/>
                <w:p>
                  <w:pPr>
                    <w:pStyle w:val="Compact"/>
                    <w:jc w:val="both"/>
                    <w:jc w:val="center"/>
                    <w:spacing w:line="360" w:lineRule="auto"/>
                  </w:pPr>
                  <w:r>
                    <w:rPr>
                      <w:b/>
                      <w:bCs/>
                    </w:rPr>
                    <w:t xml:space="preserve">Benchmark multi-métrico SHAP-LIME-Anchors-DiCE</w:t>
                  </w:r>
                </w:p>
              </w:tc>
              <w:tc>
                <w:tcPr/>
                <w:p>
                  <w:pPr>
                    <w:pStyle w:val="Compact"/>
                    <w:jc w:val="both"/>
                    <w:jc w:val="center"/>
                    <w:spacing w:line="360" w:lineRule="auto"/>
                  </w:pPr>
                  <w:r>
                    <w:t xml:space="preserve">Nauta et al.</w:t>
                  </w:r>
                  <w:r>
                    <w:t xml:space="preserve"> </w:t>
                  </w:r>
                  <w:r>
                    <w:t xml:space="preserve">(2023)</w:t>
                  </w:r>
                  <w:r>
                    <w:t xml:space="preserve"> </w:t>
                  </w:r>
                  <w:r>
                    <w:t xml:space="preserve">(revisión de 30 propiedades); Altukhi et al.</w:t>
                  </w:r>
                  <w:r>
                    <w:t xml:space="preserve"> </w:t>
                  </w:r>
                  <w:r>
                    <w:t xml:space="preserve">(2025)</w:t>
                  </w:r>
                  <w:r>
                    <w:t xml:space="preserve"> </w:t>
                  </w:r>
                  <w:r>
                    <w:t xml:space="preserve">(comparación de explicadores); Hedström et al.</w:t>
                  </w:r>
                  <w:r>
                    <w:t xml:space="preserve"> </w:t>
                  </w:r>
                  <w:r>
                    <w:t xml:space="preserve">(2023)</w:t>
                  </w:r>
                  <w:r>
                    <w:t xml:space="preserve"> </w:t>
                  </w:r>
                  <w:r>
                    <w:t xml:space="preserve">(Quantus evaluation)</w:t>
                  </w:r>
                </w:p>
              </w:tc>
              <w:tc>
                <w:tcPr/>
                <w:p>
                  <w:pPr>
                    <w:pStyle w:val="Compact"/>
                    <w:jc w:val="both"/>
                    <w:jc w:val="center"/>
                    <w:spacing w:line="360" w:lineRule="auto"/>
                  </w:pPr>
                  <w:r>
                    <w:t xml:space="preserve">Comparación de métodos agnósticos; uso de fidelidad y estabilidad como métricas primarias</w:t>
                  </w:r>
                </w:p>
              </w:tc>
              <w:tc>
                <w:tcPr/>
                <w:p>
                  <w:pPr>
                    <w:pStyle w:val="Compact"/>
                    <w:jc w:val="both"/>
                    <w:jc w:val="center"/>
                    <w:spacing w:line="360" w:lineRule="auto"/>
                  </w:pPr>
                  <w:r>
                    <w:t xml:space="preserve">Esta tesis usa diseño factorial con cinco modelos, cinco semillas y tres tamaños de muestra; reporta tamaños de efecto (</w:t>
                  </w:r>
                  <ns1:oMath>
                    <ns1:sSub>
                      <ns1:e>
                        <ns1:r>
                          <ns1:t>d</ns1:t>
                        </ns1:r>
                      </ns1:e>
                      <ns1:sub>
                        <ns1:r>
                          <ns1:t>z</ns1:t>
                        </ns1:r>
                      </ns1:sub>
                    </ns1:sSub>
                  </ns1:oMath>
                  <w:r>
                    <w:t xml:space="preserve">) y control de multiplicidad Holm-Bonferroni; cuantifica la disociación fidelidad-estabilidad con evidencia pareada en 75 celdas</w:t>
                  </w:r>
                </w:p>
              </w:tc>
            </w:tr>
            <w:tr>
              <w:tc>
                <w:tcPr/>
                <w:p>
                  <w:pPr>
                    <w:pStyle w:val="Compact"/>
                    <w:jc w:val="both"/>
                    <w:jc w:val="center"/>
                    <w:spacing w:line="360" w:lineRule="auto"/>
                  </w:pPr>
                  <w:r>
                    <w:rPr>
                      <w:b/>
                      <w:bCs/>
                    </w:rPr>
                    <w:t xml:space="preserve">Taxonomía de cuatro ejes</w:t>
                  </w:r>
                </w:p>
              </w:tc>
              <w:tc>
                <w:tcPr/>
                <w:p>
                  <w:pPr>
                    <w:pStyle w:val="Compact"/>
                    <w:jc w:val="both"/>
                    <w:jc w:val="center"/>
                    <w:spacing w:line="360" w:lineRule="auto"/>
                  </w:pPr>
                  <w:r>
                    <w:t xml:space="preserve">Schwalbe y Finzel</w:t>
                  </w:r>
                  <w:r>
                    <w:t xml:space="preserve"> </w:t>
                  </w:r>
                  <w:r>
                    <w:t xml:space="preserve">(2023)</w:t>
                  </w:r>
                  <w:r>
                    <w:t xml:space="preserve"> </w:t>
                  </w:r>
                  <w:r>
                    <w:t xml:space="preserve">(taxonomía de conceptos XAI); Abdulkadir et al.</w:t>
                  </w:r>
                  <w:r>
                    <w:t xml:space="preserve"> </w:t>
                  </w:r>
                  <w:r>
                    <w:t xml:space="preserve">(2023)</w:t>
                  </w:r>
                  <w:r>
                    <w:t xml:space="preserve"> </w:t>
                  </w:r>
                  <w:r>
                    <w:t xml:space="preserve">(revisión de métricas); Doshi-Velez y Kim</w:t>
                  </w:r>
                  <w:r>
                    <w:t xml:space="preserve"> </w:t>
                  </w:r>
                  <w:r>
                    <w:t xml:space="preserve">(2017)</w:t>
                  </w:r>
                  <w:r>
                    <w:t xml:space="preserve"> </w:t>
                  </w:r>
                  <w:r>
                    <w:t xml:space="preserve">(tres tipos de evaluación)</w:t>
                  </w:r>
                </w:p>
              </w:tc>
              <w:tc>
                <w:tcPr/>
                <w:p>
                  <w:pPr>
                    <w:pStyle w:val="Compact"/>
                    <w:jc w:val="both"/>
                    <w:jc w:val="center"/>
                    <w:spacing w:line="360" w:lineRule="auto"/>
                  </w:pPr>
                  <w:r>
                    <w:t xml:space="preserve">Uso de dimensiones de calidad (fidelidad, robustez, complejidad); distinción entre evaluación humana y computacional</w:t>
                  </w:r>
                </w:p>
              </w:tc>
              <w:tc>
                <w:tcPr/>
                <w:p>
                  <w:pPr>
                    <w:pStyle w:val="Compact"/>
                    <w:jc w:val="both"/>
                    <w:jc w:val="center"/>
                    <w:spacing w:line="360" w:lineRule="auto"/>
                  </w:pPr>
                  <w:r>
                    <w:t xml:space="preserve">La taxonomía de esta tesis añade el eje de contexto de tarea como dimensión operativa; la ubica explícitamente en relación con el benchmark empírico; y proporciona el alcance inferencial admisible para cada cuadrante</w:t>
                  </w:r>
                </w:p>
              </w:tc>
            </w:tr>
          </w:tbl>
          <w:bookmarkEnd w:id="180"/>
          <w:p>
            <w:pPr>
              <w:spacing w:line="360" w:lineRule="auto"/>
              <w:jc w:val="both"/>
            </w:pPr>
          </w:p>
        </w:tc>
      </w:tr>
    </w:tbl>
    <w:p>
      <w:pPr>
        <w:pStyle w:val="Textoindependiente"/>
        <w:spacing w:line="360" w:lineRule="auto"/>
        <w:jc w:val="both"/>
      </w:pPr>
      <w:r>
        <w:t xml:space="preserve">El posicionamiento más informativo se obtiene comparando la tesis con los dos</w:t>
      </w:r>
      <w:r>
        <w:t xml:space="preserve"> </w:t>
      </w:r>
      <w:r>
        <w:t xml:space="preserve">trabajos más cercanos en alcance. OpenXAI</w:t>
      </w:r>
      <w:r>
        <w:t xml:space="preserve"> </w:t>
      </w:r>
      <w:r>
        <w:t xml:space="preserve">(Agarwal et al. 2022)</w:t>
      </w:r>
      <w:r>
        <w:t xml:space="preserve"> </w:t>
      </w:r>
      <w:r>
        <w:t xml:space="preserve">proporciona una</w:t>
      </w:r>
      <w:r>
        <w:t xml:space="preserve"> </w:t>
      </w:r>
      <w:r>
        <w:t xml:space="preserve">plataforma con ground-truth sintético y permite comparar métodos bajo</w:t>
      </w:r>
      <w:r>
        <w:t xml:space="preserve"> </w:t>
      </w:r>
      <w:r>
        <w:t xml:space="preserve">condiciones estandarizadas; sin embargo, no ofrece un protocolo de calificación</w:t>
      </w:r>
      <w:r>
        <w:t xml:space="preserve"> </w:t>
      </w:r>
      <w:r>
        <w:t xml:space="preserve">de artefactos, no requiere separación EXP1/EXP2, y no contempla control de</w:t>
      </w:r>
      <w:r>
        <w:t xml:space="preserve"> </w:t>
      </w:r>
      <w:r>
        <w:t xml:space="preserve">multiplicidad sobre familias de hipótesis. Nauta et al.</w:t>
      </w:r>
      <w:r>
        <w:t xml:space="preserve"> </w:t>
      </w:r>
      <w:r>
        <w:t xml:space="preserve">(2023)</w:t>
      </w:r>
      <w:r>
        <w:t xml:space="preserve"> </w:t>
      </w:r>
      <w:r>
        <w:t xml:space="preserve">proporcionan la revisión más amplia disponible de propiedades de evaluación XAI</w:t>
      </w:r>
      <w:r>
        <w:t xml:space="preserve"> </w:t>
      </w:r>
      <w:r>
        <w:t xml:space="preserve">(30 propiedades, taxonomía propia), pero su contribución es conceptual: no</w:t>
      </w:r>
      <w:r>
        <w:t xml:space="preserve"> </w:t>
      </w:r>
      <w:r>
        <w:t xml:space="preserve">producen un benchmark experimental con análisis inferencial. Esta tesis ocupa</w:t>
      </w:r>
      <w:r>
        <w:t xml:space="preserve"> </w:t>
      </w:r>
      <w:r>
        <w:t xml:space="preserve">el espacio entre ambas obras: implementa un pipeline experimental completo con</w:t>
      </w:r>
      <w:r>
        <w:t xml:space="preserve"> </w:t>
      </w:r>
      <w:r>
        <w:t xml:space="preserve">gobernanza de protocolo (FOM-7), produce evidencia empírica con análisis</w:t>
      </w:r>
      <w:r>
        <w:t xml:space="preserve"> </w:t>
      </w:r>
      <w:r>
        <w:t xml:space="preserve">estadístico riguroso, y contribuye una taxonomía que integra esas propiedades</w:t>
      </w:r>
      <w:r>
        <w:t xml:space="preserve"> </w:t>
      </w:r>
      <w:r>
        <w:t xml:space="preserve">con su alcance inferencial operacional.</w:t>
      </w:r>
    </w:p>
    <w:p>
      <w:pPr>
        <w:pStyle w:val="Textoindependiente"/>
        <w:spacing w:line="360" w:lineRule="auto"/>
        <w:jc w:val="both"/>
      </w:pPr>
      <w:r>
        <w:t xml:space="preserve">El aporte de FOM-7 respecto a Canha et al.</w:t>
      </w:r>
      <w:r>
        <w:t xml:space="preserve"> </w:t>
      </w:r>
      <w:r>
        <w:t xml:space="preserve">(2025)</w:t>
      </w:r>
      <w:r>
        <w:t xml:space="preserve"> </w:t>
      </w:r>
      <w:r>
        <w:t xml:space="preserve">es también</w:t>
      </w:r>
      <w:r>
        <w:t xml:space="preserve"> </w:t>
      </w:r>
      <w:r>
        <w:t xml:space="preserve">diferenciable. Canha et al. articulan principios de reproducibilidad para XAI</w:t>
      </w:r>
      <w:r>
        <w:t xml:space="preserve"> </w:t>
      </w:r>
      <w:r>
        <w:t xml:space="preserve">(declaración de semillas, versionado, separación de conjuntos), pero sin una</w:t>
      </w:r>
      <w:r>
        <w:t xml:space="preserve"> </w:t>
      </w:r>
      <w:r>
        <w:t xml:space="preserve">secuencia de puertas con criterios explícitos de falla y admisibilidad. FOM-7</w:t>
      </w:r>
      <w:r>
        <w:t xml:space="preserve"> </w:t>
      </w:r>
      <w:r>
        <w:t xml:space="preserve">convierte esos principios en un protocolo ejecutable cuya puerta 3 (auditoría de</w:t>
      </w:r>
      <w:r>
        <w:t xml:space="preserve"> </w:t>
      </w:r>
      <w:r>
        <w:t xml:space="preserve">integridad de artefactos) controla la contaminación antes de la inferencia, y</w:t>
      </w:r>
      <w:r>
        <w:t xml:space="preserve"> </w:t>
      </w:r>
      <w:r>
        <w:t xml:space="preserve">cuya puerta 7 (trazabilidad de claims) garantiza que cada afirmación publicada</w:t>
      </w:r>
      <w:r>
        <w:t xml:space="preserve"> </w:t>
      </w:r>
      <w:r>
        <w:t xml:space="preserve">puede rastrearse hasta una celda del diseño factorial.</w:t>
      </w:r>
    </w:p>
    <w:bookmarkEnd w:id="181"/>
    <w:bookmarkStart w:id="182" w:name="sec-limitaciones"/>
    <w:p>
      <w:pPr>
        <w:pStyle w:val="Ttulo2"/>
        <w:spacing w:line="360" w:lineRule="auto"/>
        <w:jc w:val="both"/>
      </w:pPr>
      <w:r>
        <w:t xml:space="preserve">Limitaciones del estudio</w:t>
      </w:r>
    </w:p>
    <w:p>
      <w:pPr>
        <w:pStyle w:val="FirstParagraph"/>
        <w:spacing w:line="360" w:lineRule="auto"/>
        <w:jc w:val="both"/>
      </w:pPr>
      <w:r>
        <w:t xml:space="preserve">Cuatro limitaciones deben tenerse en cuenta al interpretar los resultados y</w:t>
      </w:r>
      <w:r>
        <w:t xml:space="preserve"> </w:t>
      </w:r>
      <w:r>
        <w:t xml:space="preserve">generalizar los criterios de selección.</w:t>
      </w:r>
    </w:p>
    <w:p>
      <w:pPr>
        <w:pStyle w:val="Textoindependiente"/>
        <w:spacing w:line="360" w:lineRule="auto"/>
        <w:jc w:val="both"/>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w:t>
      </w:r>
    </w:p>
    <w:p>
      <w:pPr>
        <w:pStyle w:val="Textoindependiente"/>
        <w:spacing w:line="360" w:lineRule="auto"/>
        <w:jc w:val="both"/>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spacing w:line="360" w:lineRule="auto"/>
        <w:jc w:val="both"/>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and Verbert 2024)</w:t>
      </w:r>
      <w:r>
        <w:t xml:space="preserve"> </w:t>
      </w:r>
      <w:r>
        <w:t xml:space="preserve">no está</w:t>
      </w:r>
      <w:r>
        <w:t xml:space="preserve"> </w:t>
      </w:r>
      <w:r>
        <w:t xml:space="preserve">cubierta. La taxonomía del Capítulo 5 hace explícita esta limitación y la</w:t>
      </w:r>
      <w:r>
        <w:t xml:space="preserve"> </w:t>
      </w:r>
      <w:r>
        <w:t xml:space="preserve">localiza en los ejes de fuente de evidencia y contexto de tarea, pero los</w:t>
      </w:r>
      <w:r>
        <w:t xml:space="preserve"> </w:t>
      </w:r>
      <w:r>
        <w:t xml:space="preserve">criterios de selección prescriptivos derivados no incorporan preferencias de</w:t>
      </w:r>
      <w:r>
        <w:t xml:space="preserve"> </w:t>
      </w:r>
      <w:r>
        <w:t xml:space="preserve">usuarios finales.</w:t>
      </w:r>
    </w:p>
    <w:p>
      <w:pPr>
        <w:pStyle w:val="Textoindependiente"/>
        <w:spacing w:line="360" w:lineRule="auto"/>
        <w:jc w:val="both"/>
      </w:pPr>
      <w:r>
        <w:rPr>
          <w:b/>
          <w:bCs/>
        </w:rPr>
        <w:t xml:space="preserve">Configuraciones de referencia y artefactos de diseño.</w:t>
      </w:r>
      <w:r>
        <w:t xml:space="preserve"> </w:t>
      </w:r>
      <w:r>
        <w:t xml:space="preserve">Los resultados son válidos bajo las configuraciones de referencia de cada método. Tres caveats específicos deben tenerse en cuenta al interpretar las métricas de LIME.</w:t>
      </w:r>
    </w:p>
    <w:p>
      <w:pPr>
        <w:pStyle w:val="Textoindependiente"/>
        <w:spacing w:line="360" w:lineRule="auto"/>
        <w:jc w:val="both"/>
      </w:pPr>
      <w:r>
        <w:rPr>
          <w:i/>
          <w:iCs/>
        </w:rPr>
        <w:t xml:space="preserve">Artefacto de parsimonia.</w:t>
      </w:r>
      <w:r>
        <w:t xml:space="preserve"> </w:t>
      </w:r>
      <w:r>
        <w:t xml:space="preserve">El parámetro</w:t>
      </w:r>
      <w:r>
        <w:t xml:space="preserve"> </w:t>
      </w:r>
      <w:r>
        <w:rPr>
          <w:rStyle w:val="VerbatimChar"/>
        </w:rPr>
        <w:t xml:space="preserve">num_features = 10</w:t>
      </w:r>
      <w:r>
        <w:t xml:space="preserve"> </w:t>
      </w:r>
      <w:r>
        <w:t xml:space="preserve">de LIME actúa como techo rígido sobre el número de características activas devueltas. La parsimonia de LIME es, por tanto, un artefacto de configuración, no una propiedad emergente del modelo sustituto local. Las comparaciones de parsimonia con métodos sin restricción explícita deben interpretarse en este contexto.</w:t>
      </w:r>
    </w:p>
    <w:p>
      <w:pPr>
        <w:pStyle w:val="Textoindependiente"/>
        <w:spacing w:line="360" w:lineRule="auto"/>
        <w:jc w:val="both"/>
      </w:pPr>
      <w:r>
        <w:rPr>
          <w:i/>
          <w:iCs/>
        </w:rPr>
        <w:t xml:space="preserve">Alcance de la inestabilidad de LIME.</w:t>
      </w:r>
      <w:r>
        <w:t xml:space="preserve"> </w:t>
      </w:r>
      <w:r>
        <w:t xml:space="preserve">La inestabilidad de LIME observada en EXP2 (CV = 86.2%, similitud coseno media ≈ 0.014) fue examinada sistemáticamente variando</w:t>
      </w:r>
      <w:r>
        <w:t xml:space="preserve"> </w:t>
      </w:r>
      <w:r>
        <w:rPr>
          <w:rStyle w:val="VerbatimChar"/>
        </w:rPr>
        <w:t xml:space="preserve">num_samples</w:t>
      </w:r>
      <w:r>
        <w:t xml:space="preserve"> </w:t>
      </w:r>
      <w:r>
        <w:t xml:space="preserve">∈ {500, 1000, 2000}: la estabilidad permanece cercana a cero en todos los niveles, lo que descarta que el resultado sea un artefacto de convergencia del muestreo. La sensibilidad al ancho del kernel, en cambio, sí es sustantiva. Un análisis a</w:t>
      </w:r>
      <w:r>
        <w:t xml:space="preserve"> </w:t>
      </w:r>
      <w:r>
        <w:rPr>
          <w:rStyle w:val="VerbatimChar"/>
        </w:rPr>
        <w:t xml:space="preserve">kernel_width</w:t>
      </w:r>
      <w:r>
        <w:t xml:space="preserve"> </w:t>
      </w:r>
      <w:r>
        <w:t xml:space="preserve">∈ {0.25, 0.75, 3.0, 10.0} muestra que los valores inferiores a 3.0 producen pesos degenerados (cero) en el espacio de características preprocesado de 103 dimensiones —de modo que 3.0 es el mínimo viable— pero que</w:t>
      </w:r>
      <w:r>
        <w:t xml:space="preserve"> </w:t>
      </w:r>
      <w:r>
        <w:rPr>
          <w:rStyle w:val="VerbatimChar"/>
        </w:rPr>
        <w:t xml:space="preserve">kernel_width = 10.0</w:t>
      </w:r>
      <w:r>
        <w:t xml:space="preserve"> </w:t>
      </w:r>
      <w:r>
        <w:t xml:space="preserve">recupera una estabilidad de 0.664 a costa de la fidelidad, que desciende de 0.518 a 0.441 (Apéndice C,</w:t>
      </w:r>
      <w:r>
        <w:t xml:space="preserve"> </w:t>
      </w:r>
      <w:hyperlink w:anchor="tbl-appendix-lime-kw-sensitivity">
        <w:r>
          <w:rPr>
            <w:rStyle w:val="Hipervnculo"/>
          </w:rPr>
          <w:t xml:space="preserve">Table 7.11</w:t>
        </w:r>
      </w:hyperlink>
      <w:r>
        <w:t xml:space="preserve">). El resultado debe enunciarse, por tanto, con su condición de producción: bajo la configuración de referencia y en el espacio de 103 dimensiones de Adult Income, las explicaciones de LIME son casi ortogonales entre réplicas; no se trata de una propiedad universal del método, sino de una propiedad del par (configuración, espacio de características). La validación cruzada de EXP3 (§sec-exp3-nota) confirma esta lectura desde el otro extremo: con el mismo</w:t>
      </w:r>
      <w:r>
        <w:t xml:space="preserve"> </w:t>
      </w:r>
      <w:r>
        <w:rPr>
          <w:rStyle w:val="VerbatimChar"/>
        </w:rPr>
        <w:t xml:space="preserve">kernel_width = 3.0</w:t>
      </w:r>
      <w:r>
        <w:t xml:space="preserve">, LIME alcanza estabilidades de 0.748–0.927 en Breast Cancer y German Credit. La consecuencia práctica no es más débil, sino más accionable: la estabilidad de LIME no puede presuponerse a partir de la literatura ni de este benchmark, debe medirse en el espacio de características y la configuración del despliegue concreto.</w:t>
      </w:r>
    </w:p>
    <w:p>
      <w:pPr>
        <w:pStyle w:val="Textoindependiente"/>
        <w:spacing w:line="360" w:lineRule="auto"/>
        <w:jc w:val="both"/>
      </w:pPr>
      <w:r>
        <w:rPr>
          <w:i/>
          <w:iCs/>
        </w:rPr>
        <w:t xml:space="preserve">Sesgo de enmascaramiento y correlaciones de características.</w:t>
      </w:r>
      <w:r>
        <w:t xml:space="preserve"> </w:t>
      </w:r>
      <w:r>
        <w:t xml:space="preserve">La métrica de fidelidad enmascara características individualmente sustituyéndolas por valores de referencia medios. En el dataset Adult Income, pares como</w:t>
      </w:r>
      <w:r>
        <w:t xml:space="preserve"> </w:t>
      </w:r>
      <w:r>
        <w:rPr>
          <w:rStyle w:val="VerbatimChar"/>
        </w:rPr>
        <w:t xml:space="preserve">education</w:t>
      </w:r>
      <w:r>
        <w:t xml:space="preserve">/</w:t>
      </w:r>
      <w:r>
        <w:rPr>
          <w:rStyle w:val="VerbatimChar"/>
        </w:rPr>
        <w:t xml:space="preserve">education-num</w:t>
      </w:r>
      <w:r>
        <w:t xml:space="preserve"> </w:t>
      </w:r>
      <w:r>
        <w:t xml:space="preserve">(</w:t>
      </w:r>
      <ns1:oMath>
        <ns1:r>
          <ns1:t>r</ns1:t>
        </ns1:r>
        <ns1:r>
          <ns1:rPr>
            <ns1:sty ns1:val="p"/>
          </ns1:rPr>
          <ns1:t>=</ns1:t>
        </ns1:r>
        <ns1:r>
          <ns1:t>1.0</ns1:t>
        </ns1:r>
      </ns1:oMath>
      <w:r>
        <w:t xml:space="preserve">) y</w:t>
      </w:r>
      <w:r>
        <w:t xml:space="preserve"> </w:t>
      </w:r>
      <w:r>
        <w:rPr>
          <w:rStyle w:val="VerbatimChar"/>
        </w:rPr>
        <w:t xml:space="preserve">occupation</w:t>
      </w:r>
      <w:r>
        <w:t xml:space="preserve">/</w:t>
      </w:r>
      <w:r>
        <w:rPr>
          <w:rStyle w:val="VerbatimChar"/>
        </w:rPr>
        <w:t xml:space="preserve">education</w:t>
      </w:r>
      <w:r>
        <w:t xml:space="preserve"> </w:t>
      </w:r>
      <w:r>
        <w:t xml:space="preserve">(Cramér’s</w:t>
      </w:r>
      <w:r>
        <w:t xml:space="preserve"> </w:t>
      </w:r>
      <ns1:oMath>
        <ns1:r>
          <ns1:t>V</ns1:t>
        </ns1:r>
        <ns1:r>
          <ns1:rPr>
            <ns1:sty ns1:val="p"/>
          </ns1:rPr>
          <ns1:t>≈</ns1:t>
        </ns1:r>
        <ns1:r>
          <ns1:t>0.34</ns1:t>
        </ns1:r>
      </ns1:oMath>
      <w:r>
        <w:t xml:space="preserve">)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 No puede descartarse que parte de la brecha de fidelidad SHAP-LIME refleje sensibilidad diferencial a este sesgo en lugar de diferencias puras de calidad de atribución.</w:t>
      </w:r>
    </w:p>
    <w:bookmarkEnd w:id="182"/>
    <w:bookmarkStart w:id="185" w:name="sec-fronteras"/>
    <w:p>
      <w:pPr>
        <w:pStyle w:val="Ttulo2"/>
        <w:spacing w:line="360" w:lineRule="auto"/>
        <w:jc w:val="both"/>
      </w:pPr>
      <w:r>
        <w:t xml:space="preserve">Fronteras de generalización</w:t>
      </w:r>
    </w:p>
    <w:p>
      <w:pPr>
        <w:pStyle w:val="FirstParagraph"/>
        <w:spacing w:line="360" w:lineRule="auto"/>
        <w:jc w:val="both"/>
      </w:pPr>
      <w:r>
        <w:t xml:space="preserve">La claridad sobre los límites de las afirmaciones es un requisito de integridad</w:t>
      </w:r>
      <w:r>
        <w:t xml:space="preserve"> </w:t>
      </w:r>
      <w:r>
        <w:t xml:space="preserve">científica. La Tabla</w:t>
      </w:r>
      <w:r>
        <w:t xml:space="preserve"> </w:t>
      </w:r>
      <w:hyperlink w:anchor="tbl-fronteras-generalizacion">
        <w:r>
          <w:rPr>
            <w:rStyle w:val="Hipervnculo"/>
          </w:rPr>
          <w:t xml:space="preserve">Table 7.4</w:t>
        </w:r>
      </w:hyperlink>
      <w:r>
        <w:t xml:space="preserve"> </w:t>
      </w:r>
      <w:r>
        <w:t xml:space="preserve">especifica el alcance</w:t>
      </w:r>
      <w:r>
        <w:t xml:space="preserve"> </w:t>
      </w:r>
      <w:r>
        <w:t xml:space="preserve">soportado y el alcance no soportado de los hallazgos principales, junto con la</w:t>
      </w:r>
      <w:r>
        <w:t xml:space="preserve"> </w:t>
      </w:r>
      <w:r>
        <w:t xml:space="preserve">evidencia que sería necesaria para extender las conclusiones.</w:t>
      </w:r>
    </w:p>
    <w:tbl>
      <w:tblPr>
        <w:tblStyle w:val="Table"/>
        <w:tblW w:type="pct" w:w="5000"/>
        <w:tblLayout w:type="fixed"/>
        <w:tblLook w:firstRow="0" w:lastRow="0" w:firstColumn="0" w:lastColumn="0" w:noHBand="0" w:noVBand="0" w:val="0000"/>
      </w:tblPr>
      <w:tblGrid>
        <w:gridCol w:w="7920"/>
      </w:tblGrid>
      <w:tr>
        <w:tc>
          <w:tcPr/>
          <w:bookmarkStart w:id="183" w:name="tbl-fronteras-generalizacion"/>
          <w:p>
            <w:pPr>
              <w:jc w:val="both"/>
              <w:spacing w:line="360" w:lineRule="auto"/>
            </w:pPr>
            <w:pPr>
              <w:jc w:val="left"/>
              <w:spacing w:before="200"/>
              <w:pStyle w:val="ImageCaption"/>
            </w:pPr>
            <w:r>
              <w:t xml:space="preserve">Table 7.4: Fronteras de generalización de los hallazgos principales.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Afirmación</w:t>
                  </w:r>
                </w:p>
              </w:tc>
              <w:tc>
                <w:tcPr/>
                <w:p>
                  <w:pPr>
                    <w:pStyle w:val="Compact"/>
                    <w:jc w:val="both"/>
                    <w:jc w:val="center"/>
                    <w:spacing w:line="360" w:lineRule="auto"/>
                  </w:pPr>
                  <w:r>
                    <w:t xml:space="preserve">Soportada para</w:t>
                  </w:r>
                </w:p>
              </w:tc>
              <w:tc>
                <w:tcPr/>
                <w:p>
                  <w:pPr>
                    <w:pStyle w:val="Compact"/>
                    <w:jc w:val="both"/>
                    <w:jc w:val="center"/>
                    <w:spacing w:line="360" w:lineRule="auto"/>
                  </w:pPr>
                  <w:r>
                    <w:t xml:space="preserve">No soportada para</w:t>
                  </w:r>
                </w:p>
              </w:tc>
              <w:tc>
                <w:tcPr/>
                <w:p>
                  <w:pPr>
                    <w:pStyle w:val="Compact"/>
                    <w:jc w:val="both"/>
                    <w:jc w:val="center"/>
                    <w:spacing w:line="360" w:lineRule="auto"/>
                  </w:pPr>
                  <w:r>
                    <w:t xml:space="preserve">Validación futura requerida</w:t>
                  </w:r>
                </w:p>
              </w:tc>
            </w:tr>
            <w:tr>
              <w:tc>
                <w:tcPr/>
                <w:p>
                  <w:pPr>
                    <w:pStyle w:val="Compact"/>
                    <w:jc w:val="both"/>
                    <w:jc w:val="center"/>
                    <w:spacing w:line="360" w:lineRule="auto"/>
                  </w:pPr>
                  <w:r>
                    <w:t xml:space="preserve">SHAP supera a LIME en fidelidad (efecto muy grande,</w:t>
                  </w:r>
                  <w:r>
                    <w:t xml:space="preserve"> </w:t>
                  </w:r>
                  <ns1:oMath>
                    <ns1:sSub>
                      <ns1:e>
                        <ns1:r>
                          <ns1:t>d</ns1:t>
                        </ns1:r>
                      </ns1:e>
                      <ns1:sub>
                        <ns1:r>
                          <ns1:t>z</ns1:t>
                        </ns1:r>
                      </ns1:sub>
                    </ns1:sSub>
                    <ns1:r>
                      <ns1:rPr>
                        <ns1:sty ns1:val="p"/>
                      </ns1:rPr>
                      <ns1:t>=</ns1:t>
                    </ns1:r>
                    <ns1:r>
                      <ns1:t>4.82</ns1:t>
                    </ns1:r>
                  </ns1:oMath>
                  <w:r>
                    <w:t xml:space="preserve">)</w:t>
                  </w:r>
                </w:p>
              </w:tc>
              <w:tc>
                <w:tcPr/>
                <w:p>
                  <w:pPr>
                    <w:pStyle w:val="Compact"/>
                    <w:jc w:val="both"/>
                    <w:jc w:val="center"/>
                    <w:spacing w:line="360" w:lineRule="auto"/>
                  </w:pPr>
                  <w:r>
                    <w:t xml:space="preserve">UCI Adult Income; clasificación tabular binaria; cinco modelos ML convencionales; métricas de fidelidad por enmascaramiento de características</w:t>
                  </w:r>
                </w:p>
              </w:tc>
              <w:tc>
                <w:tcPr/>
                <w:p>
                  <w:pPr>
                    <w:pStyle w:val="Compact"/>
                    <w:jc w:val="both"/>
                    <w:jc w:val="center"/>
                    <w:spacing w:line="360" w:lineRule="auto"/>
                  </w:pPr>
                  <w:r>
                    <w:t xml:space="preserve">Dominios de imagen, texto, series temporales; datasets tabulares adicionales para la comparación específica SHAP-LIME; otras operacionalizaciones de fidelidad (ROAR, pixel-flipping)</w:t>
                  </w:r>
                </w:p>
              </w:tc>
              <w:tc>
                <w:tcPr/>
                <w:p>
                  <w:pPr>
                    <w:pStyle w:val="Compact"/>
                    <w:jc w:val="both"/>
                    <w:jc w:val="center"/>
                    <w:spacing w:line="360" w:lineRule="auto"/>
                  </w:pPr>
                  <w:r>
                    <w:rPr>
                      <w:b/>
                      <w:bCs/>
                    </w:rPr>
                    <w:t xml:space="preserve">Validación parcial completada (EXP3):</w:t>
                  </w:r>
                  <w:r>
                    <w:t xml:space="preserve"> </w:t>
                  </w:r>
                  <w:r>
                    <w:t xml:space="preserve">el ordenamiento SHAP</w:t>
                  </w:r>
                  <w:r>
                    <w:t xml:space="preserve"> </w:t>
                  </w:r>
                  <ns1:oMath>
                    <ns1:r>
                      <ns1:rPr>
                        <ns1:sty ns1:val="p"/>
                      </ns1:rPr>
                      <ns1:t>&gt;</ns1:t>
                    </ns1:r>
                  </ns1:oMath>
                  <w:r>
                    <w:t xml:space="preserve"> </w:t>
                  </w:r>
                  <w:r>
                    <w:t xml:space="preserve">Anchors en fidelidad fue replicado en Breast Cancer Wisconsin y German Credit (12/12 combinaciones pareadas; véase §sec-exp3-nota). La extensión posterior incorporó LIME en esos dos datasets, pero no instrumentó estabilidad de SHAP; por tanto, el contraste pareado SHAP-LIME completo fuera de Adult permanece pendiente.</w:t>
                  </w:r>
                </w:p>
              </w:tc>
            </w:tr>
            <w:tr>
              <w:tc>
                <w:tcPr/>
                <w:p>
                  <w:pPr>
                    <w:pStyle w:val="Compact"/>
                    <w:jc w:val="both"/>
                    <w:jc w:val="center"/>
                    <w:spacing w:line="360" w:lineRule="auto"/>
                  </w:pPr>
                  <w:r>
                    <w:t xml:space="preserve">La inestabilidad de LIME es casi total en la condición medida (CV=86%, media≈0.014)</w:t>
                  </w:r>
                </w:p>
              </w:tc>
              <w:tc>
                <w:tcPr/>
                <w:p>
                  <w:pPr>
                    <w:pStyle w:val="Compact"/>
                    <w:jc w:val="both"/>
                    <w:jc w:val="center"/>
                    <w:spacing w:line="360" w:lineRule="auto"/>
                  </w:pPr>
                  <w:r>
                    <w:t xml:space="preserve">UCI Adult Income; espacio preprocesado de 103 dimensiones predominantemente binario; estabilidad definida como similitud coseno bajo perturbación gaussiana; configuración</w:t>
                  </w:r>
                  <w:r>
                    <w:t xml:space="preserve"> </w:t>
                  </w:r>
                  <w:r>
                    <w:rPr>
                      <w:rStyle w:val="VerbatimChar"/>
                    </w:rPr>
                    <w:t xml:space="preserve">num_samples=1000</w:t>
                  </w:r>
                  <w:r>
                    <w:t xml:space="preserve">,</w:t>
                  </w:r>
                  <w:r>
                    <w:t xml:space="preserve"> </w:t>
                  </w:r>
                  <w:r>
                    <w:rPr>
                      <w:rStyle w:val="VerbatimChar"/>
                    </w:rPr>
                    <w:t xml:space="preserve">kernel_width=3.0</w:t>
                  </w:r>
                </w:p>
              </w:tc>
              <w:tc>
                <w:tcPr/>
                <w:p>
                  <w:pPr>
                    <w:pStyle w:val="Compact"/>
                    <w:jc w:val="both"/>
                    <w:jc w:val="center"/>
                    <w:spacing w:line="360" w:lineRule="auto"/>
                  </w:pPr>
                  <w:r>
                    <w:t xml:space="preserve">Otros espacios de características o datasets —§sec-exp3-nota mide 0.748–0.927 en Breast Cancer y German Credit bajo la misma configuración—; otros anchos de kernel (</w:t>
                  </w:r>
                  <w:r>
                    <w:rPr>
                      <w:rStyle w:val="VerbatimChar"/>
                    </w:rPr>
                    <w:t xml:space="preserve">kernel_width=10.0</w:t>
                  </w:r>
                  <w:r>
                    <w:t xml:space="preserve"> </w:t>
                  </w:r>
                  <w:r>
                    <w:t xml:space="preserve">produce 0.664, Apéndice C); otras definiciones de estabilidad (distancia Lipschitz local, varianza de pesos)</w:t>
                  </w:r>
                </w:p>
              </w:tc>
              <w:tc>
                <w:tcPr/>
                <w:p>
                  <w:pPr>
                    <w:pStyle w:val="Compact"/>
                    <w:jc w:val="both"/>
                    <w:jc w:val="center"/>
                    <w:spacing w:line="360" w:lineRule="auto"/>
                  </w:pPr>
                  <w:r>
                    <w:t xml:space="preserve">Interacción entre</w:t>
                  </w:r>
                  <w:r>
                    <w:t xml:space="preserve"> </w:t>
                  </w:r>
                  <w:r>
                    <w:rPr>
                      <w:rStyle w:val="VerbatimChar"/>
                    </w:rPr>
                    <w:t xml:space="preserve">kernel_width</w:t>
                  </w:r>
                  <w:r>
                    <w:t xml:space="preserve"> </w:t>
                  </w:r>
                  <w:r>
                    <w:t xml:space="preserve">y la dimensionalidad del espacio de características; estabilidad bajo esquemas de perturbación no gaussianos; instrumentación de la estabilidad de SHAP en los datasets de EXP3 para obtener el contraste pareado completo</w:t>
                  </w:r>
                </w:p>
              </w:tc>
            </w:tr>
            <w:tr>
              <w:tc>
                <w:tcPr/>
                <w:p>
                  <w:pPr>
                    <w:pStyle w:val="Compact"/>
                    <w:jc w:val="both"/>
                    <w:jc w:val="center"/>
                    <w:spacing w:line="360" w:lineRule="auto"/>
                  </w:pPr>
                  <w:r>
                    <w:t xml:space="preserve">FOM-7 produce resultados reproducibles (CV&lt;3% en fidelidad en el subgrupo replicado RF/</w:t>
                  </w:r>
                  <ns1:oMath>
                    <ns1:r>
                      <ns1:t>N</ns1:t>
                    </ns1:r>
                    <ns1:r>
                      <ns1:rPr>
                        <ns1:sty ns1:val="p"/>
                      </ns1:rPr>
                      <ns1:t>=</ns1:t>
                    </ns1:r>
                    <ns1:r>
                      <ns1:t>100</ns1:t>
                    </ns1:r>
                  </ns1:oMath>
                  <w:r>
                    <w:t xml:space="preserve">; CV agrupado 11.4% SHAP y 12.0% LIME sobre el conjunto completo, frente al umbral del 15% de P1)</w:t>
                  </w:r>
                </w:p>
              </w:tc>
              <w:tc>
                <w:tcPr/>
                <w:p>
                  <w:pPr>
                    <w:pStyle w:val="Compact"/>
                    <w:jc w:val="both"/>
                    <w:jc w:val="center"/>
                    <w:spacing w:line="360" w:lineRule="auto"/>
                  </w:pPr>
                  <w:r>
                    <w:t xml:space="preserve">Entorno controlado; cinco semillas definidas; modelos congelados en EXP1</w:t>
                  </w:r>
                </w:p>
              </w:tc>
              <w:tc>
                <w:tcPr/>
                <w:p>
                  <w:pPr>
                    <w:pStyle w:val="Compact"/>
                    <w:jc w:val="both"/>
                    <w:jc w:val="center"/>
                    <w:spacing w:line="360" w:lineRule="auto"/>
                  </w:pPr>
                  <w:r>
                    <w:t xml:space="preserve">Otros entornos computacionales sin control de recursos; modelos re-entrenados entre ejecuciones; datasets con alta varianza de instancias</w:t>
                  </w:r>
                </w:p>
              </w:tc>
              <w:tc>
                <w:tcPr/>
                <w:p>
                  <w:pPr>
                    <w:pStyle w:val="Compact"/>
                    <w:jc w:val="both"/>
                    <w:jc w:val="center"/>
                    <w:spacing w:line="360" w:lineRule="auto"/>
                  </w:pPr>
                  <w:r>
                    <w:t xml:space="preserve">Replicación independiente con infraestructura distinta; publicación de resultados en Zenodo con instrucciones verificadas</w:t>
                  </w:r>
                </w:p>
              </w:tc>
            </w:tr>
            <w:tr>
              <w:tc>
                <w:tcPr/>
                <w:p>
                  <w:pPr>
                    <w:pStyle w:val="Compact"/>
                    <w:jc w:val="both"/>
                    <w:jc w:val="center"/>
                    <w:spacing w:line="360" w:lineRule="auto"/>
                  </w:pPr>
                  <w:r>
                    <w:t xml:space="preserve">Los criterios prescriptivos de selección son válidos (Contextos A-D)</w:t>
                  </w:r>
                </w:p>
              </w:tc>
              <w:tc>
                <w:tcPr/>
                <w:p>
                  <w:pPr>
                    <w:pStyle w:val="Compact"/>
                    <w:jc w:val="both"/>
                    <w:jc w:val="center"/>
                    <w:spacing w:line="360" w:lineRule="auto"/>
                  </w:pPr>
                  <w:r>
                    <w:t xml:space="preserve">Condiciones del benchmark descritas; modelos y métricas definidas</w:t>
                  </w:r>
                </w:p>
              </w:tc>
              <w:tc>
                <w:tcPr/>
                <w:p>
                  <w:pPr>
                    <w:pStyle w:val="Compact"/>
                    <w:jc w:val="both"/>
                    <w:jc w:val="center"/>
                    <w:spacing w:line="360" w:lineRule="auto"/>
                  </w:pPr>
                  <w:r>
                    <w:t xml:space="preserve">Dominios regulados con restricciones normativas propias; preferencias de usuarios finales; criterios de comprehensibilidad</w:t>
                  </w:r>
                </w:p>
              </w:tc>
              <w:tc>
                <w:tcPr/>
                <w:p>
                  <w:pPr>
                    <w:pStyle w:val="Compact"/>
                    <w:jc w:val="both"/>
                    <w:jc w:val="center"/>
                    <w:spacing w:line="360" w:lineRule="auto"/>
                  </w:pPr>
                  <w:r>
                    <w:t xml:space="preserve">Estudios human-centered en dominios específicos (crédito, salud, justicia) con usuarios expertos</w:t>
                  </w:r>
                </w:p>
              </w:tc>
            </w:tr>
            <w:tr>
              <w:tc>
                <w:tcPr/>
                <w:p>
                  <w:pPr>
                    <w:pStyle w:val="Compact"/>
                    <w:jc w:val="both"/>
                    <w:jc w:val="center"/>
                    <w:spacing w:line="360" w:lineRule="auto"/>
                  </w:pPr>
                  <w:r>
                    <w:t xml:space="preserve">DiCE es preferible para recourse sobre otros métodos</w:t>
                  </w:r>
                </w:p>
              </w:tc>
              <w:tc>
                <w:tcPr/>
                <w:p>
                  <w:pPr>
                    <w:pStyle w:val="Compact"/>
                    <w:jc w:val="both"/>
                    <w:jc w:val="center"/>
                    <w:spacing w:line="360" w:lineRule="auto"/>
                  </w:pPr>
                  <w:r>
                    <w:t xml:space="preserve">Objetivo de cambio de predicción; dataset Adult Income</w:t>
                  </w:r>
                </w:p>
              </w:tc>
              <w:tc>
                <w:tcPr/>
                <w:p>
                  <w:pPr>
                    <w:pStyle w:val="Compact"/>
                    <w:jc w:val="both"/>
                    <w:jc w:val="center"/>
                    <w:spacing w:line="360" w:lineRule="auto"/>
                  </w:pPr>
                  <w:r>
                    <w:t xml:space="preserve">Entornos con restricciones de factibilidad semántica; dominios donde la accionabilidad requiere validación causal</w:t>
                  </w:r>
                </w:p>
              </w:tc>
              <w:tc>
                <w:tcPr/>
                <w:p>
                  <w:pPr>
                    <w:pStyle w:val="Compact"/>
                    <w:jc w:val="both"/>
                    <w:jc w:val="center"/>
                    <w:spacing w:line="360" w:lineRule="auto"/>
                  </w:pPr>
                  <w:r>
                    <w:t xml:space="preserve">Evaluación de contrafactuales bajo restricciones de dominio reales con expertos</w:t>
                  </w:r>
                </w:p>
              </w:tc>
            </w:tr>
            <w:tr>
              <w:tc>
                <w:tcPr/>
                <w:p>
                  <w:pPr>
                    <w:pStyle w:val="Compact"/>
                    <w:jc w:val="both"/>
                    <w:jc w:val="center"/>
                    <w:spacing w:line="360" w:lineRule="auto"/>
                  </w:pPr>
                  <w:r>
                    <w:t xml:space="preserve">La taxonomía de cuatro ejes organiza el espacio de métricas XAI</w:t>
                  </w:r>
                </w:p>
              </w:tc>
              <w:tc>
                <w:tcPr/>
                <w:p>
                  <w:pPr>
                    <w:pStyle w:val="Compact"/>
                    <w:jc w:val="both"/>
                    <w:jc w:val="center"/>
                    <w:spacing w:line="360" w:lineRule="auto"/>
                  </w:pPr>
                  <w:r>
                    <w:t xml:space="preserve">Las 15 métricas catalogadas en la matriz taxonómica; literatura revisada en el corpus de construcción</w:t>
                  </w:r>
                </w:p>
              </w:tc>
              <w:tc>
                <w:tcPr/>
                <w:p>
                  <w:pPr>
                    <w:pStyle w:val="Compact"/>
                    <w:jc w:val="both"/>
                    <w:jc w:val="center"/>
                    <w:spacing w:line="360" w:lineRule="auto"/>
                  </w:pPr>
                  <w:r>
                    <w:t xml:space="preserve">Métricas emergentes no revisadas; métricas específicas de dominio (XAI médica, XAI legal) con propiedades propias</w:t>
                  </w:r>
                </w:p>
              </w:tc>
              <w:tc>
                <w:tcPr/>
                <w:p>
                  <w:pPr>
                    <w:pStyle w:val="Compact"/>
                    <w:jc w:val="both"/>
                    <w:jc w:val="center"/>
                    <w:spacing w:line="360" w:lineRule="auto"/>
                  </w:pPr>
                  <w:r>
                    <w:t xml:space="preserve">Extensión del corpus de revisión; validación por expertos de dominio</w:t>
                  </w:r>
                </w:p>
              </w:tc>
            </w:tr>
          </w:tbl>
          <w:bookmarkEnd w:id="183"/>
          <w:p>
            <w:pPr>
              <w:spacing w:line="360" w:lineRule="auto"/>
              <w:jc w:val="both"/>
            </w:pPr>
          </w:p>
        </w:tc>
      </w:tr>
    </w:tbl>
    <w:p>
      <w:pPr>
        <w:pStyle w:val="Textoindependiente"/>
        <w:spacing w:line="360" w:lineRule="auto"/>
        <w:jc w:val="both"/>
      </w:pPr>
      <w:r>
        <w:t xml:space="preserve">Esta tabla cumple la función de convertir las limitaciones del estudio en</w:t>
      </w:r>
      <w:r>
        <w:t xml:space="preserve"> </w:t>
      </w:r>
      <w:r>
        <w:t xml:space="preserve">información científica estructurada. Al especificar qué evidencia sería</w:t>
      </w:r>
      <w:r>
        <w:t xml:space="preserve"> </w:t>
      </w:r>
      <w:r>
        <w:t xml:space="preserve">necesaria para extender cada afirmación, la tesis no solo reconoce sus límites</w:t>
      </w:r>
      <w:r>
        <w:t xml:space="preserve"> </w:t>
      </w:r>
      <w:r>
        <w:t xml:space="preserve">sino que define la agenda de investigación de la manera más útil para</w:t>
      </w:r>
      <w:r>
        <w:t xml:space="preserve"> </w:t>
      </w:r>
      <w:r>
        <w:t xml:space="preserve">investigadores que deseen construir sobre estos resultados.</w:t>
      </w:r>
    </w:p>
    <w:bookmarkStart w:id="184" w:name="sec-exp3-nota"/>
    <w:p>
      <w:pPr>
        <w:pStyle w:val="Ttulo3"/>
        <w:spacing w:line="360" w:lineRule="auto"/>
        <w:jc w:val="both"/>
      </w:pPr>
      <w:r>
        <w:t xml:space="preserve">Nota sobre la validación externa parcial: EXP3</w:t>
      </w:r>
    </w:p>
    <w:p>
      <w:pPr>
        <w:pStyle w:val="FirstParagraph"/>
        <w:spacing w:line="360" w:lineRule="auto"/>
        <w:jc w:val="both"/>
      </w:pPr>
      <w:r>
        <w:t xml:space="preserve">Durante el desarrollo de esta línea de investigación se completó una validación</w:t>
      </w:r>
      <w:r>
        <w:t xml:space="preserve"> </w:t>
      </w:r>
      <w:r>
        <w:t xml:space="preserve">externa parcial del ordenamiento de fidelidad (EXP3). El estudio comparó SHAP</w:t>
      </w:r>
      <w:r>
        <w:t xml:space="preserve"> </w:t>
      </w:r>
      <w:r>
        <w:t xml:space="preserve">frente a Anchors en dos datasets tabulares binarios adicionales: Breast Cancer</w:t>
      </w:r>
      <w:r>
        <w:t xml:space="preserve"> </w:t>
      </w:r>
      <w:r>
        <w:t xml:space="preserve">Wisconsin</w:t>
      </w:r>
      <w:r>
        <w:t xml:space="preserve"> </w:t>
      </w:r>
      <w:r>
        <w:t xml:space="preserve">(</w:t>
      </w:r>
      <ns1:oMath>
        <ns1:r>
          <ns1:t>n</ns1:t>
        </ns1:r>
        <ns1:r>
          <ns1:rPr>
            <ns1:sty ns1:val="p"/>
          </ns1:rPr>
          <ns1:t>=</ns1:t>
        </ns1:r>
        <ns1:r>
          <ns1:t>569</ns1:t>
        </ns1:r>
      </ns1:oMath>
      <w:r>
        <w:t xml:space="preserve">, 30 características, Dua and Graff 2019)</w:t>
      </w:r>
      <w:r>
        <w:t xml:space="preserve"> </w:t>
      </w:r>
      <w:r>
        <w:t xml:space="preserve">y German Credit</w:t>
      </w:r>
      <w:r>
        <w:t xml:space="preserve"> </w:t>
      </w:r>
      <w:r>
        <w:t xml:space="preserve">(</w:t>
      </w:r>
      <ns1:oMath>
        <ns1:r>
          <ns1:t>n</ns1:t>
        </ns1:r>
        <ns1:r>
          <ns1:rPr>
            <ns1:sty ns1:val="p"/>
          </ns1:rPr>
          <ns1:t>=</ns1:t>
        </ns1:r>
        <ns1:r>
          <ns1:t>1</ns1:t>
        </ns1:r>
        <ns1:r>
          <ns1:rPr>
            <ns1:sty ns1:val="p"/>
          </ns1:rPr>
          <ns1:t>,</ns1:t>
        </ns1:r>
        <ns1:r>
          <ns1:t>000</ns1:t>
        </ns1:r>
      </ns1:oMath>
      <w:r>
        <w:t xml:space="preserve">, 20 características, Dua and Graff 2019)</w:t>
      </w:r>
      <w:r>
        <w:t xml:space="preserve">, empleando los modelos Random Forest</w:t>
      </w:r>
      <w:r>
        <w:t xml:space="preserve"> </w:t>
      </w:r>
      <w:r>
        <w:t xml:space="preserve">y XGBoost con tres semillas por combinación (</w:t>
      </w:r>
      <ns1:oMath>
        <ns1:r>
          <ns1:t>3</ns1:t>
        </ns1:r>
        <ns1:r>
          <ns1:rPr>
            <ns1:sty ns1:val="p"/>
          </ns1:rPr>
          <ns1:t>×</ns1:t>
        </ns1:r>
        <ns1:r>
          <ns1:t>2</ns1:t>
        </ns1:r>
        <ns1:r>
          <ns1:rPr>
            <ns1:sty ns1:val="p"/>
          </ns1:rPr>
          <ns1:t>×</ns1:t>
        </ns1:r>
        <ns1:r>
          <ns1:t>2</ns1:t>
        </ns1:r>
        <ns1:r>
          <ns1:rPr>
            <ns1:sty ns1:val="p"/>
          </ns1:rPr>
          <ns1:t>=</ns1:t>
        </ns1:r>
        <ns1:r>
          <ns1:t>12</ns1:t>
        </ns1:r>
      </ns1:oMath>
      <w:r>
        <w:t xml:space="preserve"> </w:t>
      </w:r>
      <w:r>
        <w:t xml:space="preserve">comparaciones pareadas por dataset</w:t>
      </w:r>
      <w:r>
        <w:t xml:space="preserve"> </w:t>
      </w:r>
      <ns1:oMath>
        <ns1:r>
          <ns1:rPr>
            <ns1:sty ns1:val="p"/>
          </ns1:rPr>
          <ns1:t>×</ns1:t>
        </ns1:r>
      </ns1:oMath>
      <w:r>
        <w:t xml:space="preserve"> </w:t>
      </w:r>
      <w:r>
        <w:t xml:space="preserve">modelo</w:t>
      </w:r>
      <w:r>
        <w:t xml:space="preserve"> </w:t>
      </w:r>
      <ns1:oMath>
        <ns1:r>
          <ns1:rPr>
            <ns1:sty ns1:val="p"/>
          </ns1:rPr>
          <ns1:t>×</ns1:t>
        </ns1:r>
      </ns1:oMath>
      <w:r>
        <w:t xml:space="preserve"> </w:t>
      </w:r>
      <w:r>
        <w:t xml:space="preserve">semilla). SHAP</w:t>
      </w:r>
      <w:r>
        <w:t xml:space="preserve"> </w:t>
      </w:r>
      <w:r>
        <w:t xml:space="preserve">superó a Anchors en fidelidad en las 12 combinaciones, con brechas medias de</w:t>
      </w:r>
      <w:r>
        <w:t xml:space="preserve"> </w:t>
      </w:r>
      <ns1:oMath>
        <ns1:r>
          <ns1:rPr>
            <ns1:sty ns1:val="p"/>
          </ns1:rPr>
          <ns1:t>+</ns1:t>
        </ns1:r>
        <ns1:r>
          <ns1:t>0.26</ns1:t>
        </ns1:r>
      </ns1:oMath>
      <w:r>
        <w:t xml:space="preserve"> </w:t>
      </w:r>
      <w:r>
        <w:t xml:space="preserve">(German Credit, XGB) a</w:t>
      </w:r>
      <w:r>
        <w:t xml:space="preserve"> </w:t>
      </w:r>
      <ns1:oMath>
        <ns1:r>
          <ns1:rPr>
            <ns1:sty ns1:val="p"/>
          </ns1:rPr>
          <ns1:t>+</ns1:t>
        </ns1:r>
        <ns1:r>
          <ns1:t>0.51</ns1:t>
        </ns1:r>
      </ns1:oMath>
      <w:r>
        <w:t xml:space="preserve"> </w:t>
      </w:r>
      <w:r>
        <w:t xml:space="preserve">(Breast Cancer, RF). Estos resultados</w:t>
      </w:r>
      <w:r>
        <w:t xml:space="preserve"> </w:t>
      </w:r>
      <w:r>
        <w:t xml:space="preserve">replican el ordenamiento observado en EXP2 en espacios de características con</w:t>
      </w:r>
      <w:r>
        <w:t xml:space="preserve"> </w:t>
      </w:r>
      <w:r>
        <w:t xml:space="preserve">dimensionalidad y distribución distintas al dataset primario.</w:t>
      </w:r>
    </w:p>
    <w:p>
      <w:pPr>
        <w:pStyle w:val="Textoindependiente"/>
        <w:spacing w:line="360" w:lineRule="auto"/>
        <w:jc w:val="both"/>
      </w:pPr>
      <w:r>
        <w:t xml:space="preserve">Adicionalmente, se completó una extensión de EXP3 que incluye LIME en los</w:t>
      </w:r>
      <w:r>
        <w:t xml:space="preserve"> </w:t>
      </w:r>
      <w:r>
        <w:t xml:space="preserve">mismos dos datasets, utilizando el protocolo de fidelidad y estabilidad del</w:t>
      </w:r>
      <w:r>
        <w:t xml:space="preserve"> </w:t>
      </w:r>
      <w:r>
        <w:t xml:space="preserve">diseño EXP2 (</w:t>
      </w:r>
      <ns1:oMath>
        <ns1:r>
          <ns1:t>N</ns1:t>
        </ns1:r>
        <ns1:r>
          <ns1:rPr>
            <ns1:sty ns1:val="p"/>
          </ns1:rPr>
          <ns1:t>=</ns1:t>
        </ns1:r>
        <ns1:r>
          <ns1:t>100</ns1:t>
        </ns1:r>
      </ns1:oMath>
      <w:r>
        <w:t xml:space="preserve">, 50 por clase; estabilidad:</w:t>
      </w:r>
      <w:r>
        <w:t xml:space="preserve"> </w:t>
      </w:r>
      <ns1:oMath>
        <ns1:r>
          <ns1:t>T</ns1:t>
        </ns1:r>
        <ns1:r>
          <ns1:rPr>
            <ns1:sty ns1:val="p"/>
          </ns1:rPr>
          <ns1:t>=</ns1:t>
        </ns1:r>
        <ns1:r>
          <ns1:t>15</ns1:t>
        </ns1:r>
      </ns1:oMath>
      <w:r>
        <w:t xml:space="preserve"> </w:t>
      </w:r>
      <w:r>
        <w:t xml:space="preserve">perturbaciones</w:t>
      </w:r>
      <w:r>
        <w:t xml:space="preserve"> </w:t>
      </w:r>
      <w:r>
        <w:t xml:space="preserve">gaussianas,</w:t>
      </w:r>
      <w:r>
        <w:t xml:space="preserve"> </w:t>
      </w:r>
      <ns1:oMath>
        <ns1:r>
          <ns1:t>σ</ns1:t>
        </ns1:r>
        <ns1:r>
          <ns1:rPr>
            <ns1:sty ns1:val="p"/>
          </ns1:rPr>
          <ns1:t>=</ns1:t>
        </ns1:r>
        <ns1:r>
          <ns1:t>0.1</ns1:t>
        </ns1:r>
      </ns1:oMath>
      <w:r>
        <w:t xml:space="preserve">). Los resultados principales son los siguientes.</w:t>
      </w:r>
      <w:r>
        <w:t xml:space="preserve"> </w:t>
      </w:r>
      <w:r>
        <w:t xml:space="preserve">En fidelidad, LIME alcanza valores de</w:t>
      </w:r>
      <w:r>
        <w:t xml:space="preserve"> </w:t>
      </w:r>
      <ns1:oMath>
        <ns1:r>
          <ns1:t>0.713</ns1:t>
        </ns1:r>
      </ns1:oMath>
      <w:r>
        <w:t xml:space="preserve"> </w:t>
      </w:r>
      <w:r>
        <w:t xml:space="preserve">(BC, RF) y</w:t>
      </w:r>
      <w:r>
        <w:t xml:space="preserve"> </w:t>
      </w:r>
      <ns1:oMath>
        <ns1:r>
          <ns1:t>0.543</ns1:t>
        </ns1:r>
      </ns1:oMath>
      <w:r>
        <w:t xml:space="preserve"> </w:t>
      </w:r>
      <w:r>
        <w:t xml:space="preserve">(BC, XGB),</w:t>
      </w:r>
      <w:r>
        <w:t xml:space="preserve"> </w:t>
      </w:r>
      <w:r>
        <w:t xml:space="preserve">frente a</w:t>
      </w:r>
      <w:r>
        <w:t xml:space="preserve"> </w:t>
      </w:r>
      <ns1:oMath>
        <ns1:r>
          <ns1:t>0.483</ns1:t>
        </ns1:r>
      </ns1:oMath>
      <w:r>
        <w:t xml:space="preserve"> </w:t>
      </w:r>
      <w:r>
        <w:t xml:space="preserve">(GC, RF) y</w:t>
      </w:r>
      <w:r>
        <w:t xml:space="preserve"> </w:t>
      </w:r>
      <ns1:oMath>
        <ns1:r>
          <ns1:t>0.468</ns1:t>
        </ns1:r>
      </ns1:oMath>
      <w:r>
        <w:t xml:space="preserve"> </w:t>
      </w:r>
      <w:r>
        <w:t xml:space="preserve">(GC, XGB). El ordenamiento SHAP &gt; LIME se</w:t>
      </w:r>
      <w:r>
        <w:t xml:space="preserve"> </w:t>
      </w:r>
      <w:r>
        <w:t xml:space="preserve">sostiene en German Credit pero la brecha se reduce en Breast Cancer (</w:t>
      </w:r>
      <ns1:oMath>
        <ns1:r>
          <ns1:rPr>
            <ns1:sty ns1:val="p"/>
          </ns1:rPr>
          <ns1:t>+</ns1:t>
        </ns1:r>
        <ns1:r>
          <ns1:t>0.07</ns1:t>
        </ns1:r>
      </ns1:oMath>
      <w:r>
        <w:t xml:space="preserve"> </w:t>
      </w:r>
      <w:r>
        <w:t xml:space="preserve">en BC frente a</w:t>
      </w:r>
      <w:r>
        <w:t xml:space="preserve"> </w:t>
      </w:r>
      <ns1:oMath>
        <ns1:r>
          <ns1:rPr>
            <ns1:sty ns1:val="p"/>
          </ns1:rPr>
          <ns1:t>+</ns1:t>
        </ns1:r>
        <ns1:r>
          <ns1:t>0.27</ns1:t>
        </ns1:r>
      </ns1:oMath>
      <w:r>
        <w:t xml:space="preserve"> </w:t>
      </w:r>
      <w:r>
        <w:t xml:space="preserve">en Adult). El resultado más notable concierne a la</w:t>
      </w:r>
      <w:r>
        <w:t xml:space="preserve"> </w:t>
      </w:r>
      <w:r>
        <w:t xml:space="preserve">estabilidad: LIME obtiene similitud coseno media de</w:t>
      </w:r>
      <w:r>
        <w:t xml:space="preserve"> </w:t>
      </w:r>
      <ns1:oMath>
        <ns1:r>
          <ns1:t>0.922</ns1:t>
        </ns1:r>
      </ns1:oMath>
      <w:r>
        <w:t xml:space="preserve">–</w:t>
      </w:r>
      <ns1:oMath>
        <ns1:r>
          <ns1:t>0.927</ns1:t>
        </ns1:r>
      </ns1:oMath>
      <w:r>
        <w:t xml:space="preserve"> </w:t>
      </w:r>
      <w:r>
        <w:t xml:space="preserve">en Breast</w:t>
      </w:r>
      <w:r>
        <w:t xml:space="preserve"> </w:t>
      </w:r>
      <w:r>
        <w:t xml:space="preserve">Cancer y</w:t>
      </w:r>
      <w:r>
        <w:t xml:space="preserve"> </w:t>
      </w:r>
      <ns1:oMath>
        <ns1:r>
          <ns1:t>0.748</ns1:t>
        </ns1:r>
      </ns1:oMath>
      <w:r>
        <w:t xml:space="preserve">–</w:t>
      </w:r>
      <ns1:oMath>
        <ns1:r>
          <ns1:t>0.854</ns1:t>
        </ns1:r>
      </ns1:oMath>
      <w:r>
        <w:t xml:space="preserve"> </w:t>
      </w:r>
      <w:r>
        <w:t xml:space="preserve">en German Credit, en marcado contraste con el valor</w:t>
      </w:r>
      <w:r>
        <w:t xml:space="preserve"> </w:t>
      </w:r>
      <w:r>
        <w:t xml:space="preserve">de</w:t>
      </w:r>
      <w:r>
        <w:t xml:space="preserve"> </w:t>
      </w:r>
      <ns1:oMath>
        <ns1:r>
          <ns1:t>0.014</ns1:t>
        </ns1:r>
      </ns1:oMath>
      <w:r>
        <w:t xml:space="preserve"> </w:t>
      </w:r>
      <w:r>
        <w:t xml:space="preserve">registrado en Adult Income. Esta disparidad apunta al espacio de</w:t>
      </w:r>
      <w:r>
        <w:t xml:space="preserve"> </w:t>
      </w:r>
      <w:r>
        <w:t xml:space="preserve">características como factor mediador: Adult Income fue preprocesado mediante</w:t>
      </w:r>
      <w:r>
        <w:t xml:space="preserve"> </w:t>
      </w:r>
      <w:r>
        <w:t xml:space="preserve">codificación one-hot de 13 variables categóricas, produciendo un espacio de</w:t>
      </w:r>
      <w:r>
        <w:t xml:space="preserve"> </w:t>
      </w:r>
      <w:r>
        <w:t xml:space="preserve">103 dimensiones predominantemente binario; Breast Cancer (30 características</w:t>
      </w:r>
      <w:r>
        <w:t xml:space="preserve"> </w:t>
      </w:r>
      <w:r>
        <w:t xml:space="preserve">continuas) y German Credit (61 dimensiones tras preprocesamiento, mezcla de</w:t>
      </w:r>
      <w:r>
        <w:t xml:space="preserve"> </w:t>
      </w:r>
      <w:r>
        <w:t xml:space="preserve">continuas y binarias) presentan estructuras de vecindad más densas y regulares</w:t>
      </w:r>
      <w:r>
        <w:t xml:space="preserve"> </w:t>
      </w:r>
      <w:r>
        <w:t xml:space="preserve">para el kernel de LIME. La inestabilidad estructural de LIME documentada en</w:t>
      </w:r>
      <w:r>
        <w:t xml:space="preserve"> </w:t>
      </w:r>
      <w:r>
        <w:t xml:space="preserve">EXP2 es, por tanto, dependiente del espacio de características, no una</w:t>
      </w:r>
      <w:r>
        <w:t xml:space="preserve"> </w:t>
      </w:r>
      <w:r>
        <w:t xml:space="preserve">propiedad universal del método.</w:t>
      </w:r>
    </w:p>
    <w:p>
      <w:pPr>
        <w:pStyle w:val="Textoindependiente"/>
        <w:spacing w:line="360" w:lineRule="auto"/>
        <w:jc w:val="both"/>
      </w:pPr>
      <w:r>
        <w:t xml:space="preserve">El alcance de EXP3 permanece acotado en dos sentidos relevantes. Primero, la</w:t>
      </w:r>
      <w:r>
        <w:t xml:space="preserve"> </w:t>
      </w:r>
      <w:r>
        <w:t xml:space="preserve">estabilidad de SHAP no fue instrumentada en los datasets adicionales (la sonda</w:t>
      </w:r>
      <w:r>
        <w:t xml:space="preserve"> </w:t>
      </w:r>
      <w:r>
        <w:t xml:space="preserve">se diseñó para LIME), por lo que no es posible calcular diferencias pareadas</w:t>
      </w:r>
      <w:r>
        <w:t xml:space="preserve"> </w:t>
      </w:r>
      <w:r>
        <w:t xml:space="preserve">SHAP-LIME de estabilidad en BC ni GC. Segundo, los modelos SVM y MLP no están</w:t>
      </w:r>
      <w:r>
        <w:t xml:space="preserve"> </w:t>
      </w:r>
      <w:r>
        <w:t xml:space="preserve">cubiertos. En consecuencia, la afirmación principal de esta tesis —SHAP supera</w:t>
      </w:r>
      <w:r>
        <w:t xml:space="preserve"> </w:t>
      </w:r>
      <w:r>
        <w:t xml:space="preserve">a LIME en fidelidad (</w:t>
      </w:r>
      <ns1:oMath>
        <ns1:sSub>
          <ns1:e>
            <ns1:r>
              <ns1:t>d</ns1:t>
            </ns1:r>
          </ns1:e>
          <ns1:sub>
            <ns1:r>
              <ns1:t>z</ns1:t>
            </ns1:r>
          </ns1:sub>
        </ns1:sSub>
        <ns1:r>
          <ns1:rPr>
            <ns1:sty ns1:val="p"/>
          </ns1:rPr>
          <ns1:t>=</ns1:t>
        </ns1:r>
        <ns1:r>
          <ns1:t>4.82</ns1:t>
        </ns1:r>
      </ns1:oMath>
      <w:r>
        <w:t xml:space="preserve">) y en estabilidad (</w:t>
      </w:r>
      <ns1:oMath>
        <ns1:sSub>
          <ns1:e>
            <ns1:r>
              <ns1:t>d</ns1:t>
            </ns1:r>
          </ns1:e>
          <ns1:sub>
            <ns1:r>
              <ns1:t>z</ns1:t>
            </ns1:r>
          </ns1:sub>
        </ns1:sSub>
        <ns1:r>
          <ns1:rPr>
            <ns1:sty ns1:val="p"/>
          </ns1:rPr>
          <ns1:t>=</ns1:t>
        </ns1:r>
        <ns1:r>
          <ns1:t>3.00</ns1:t>
        </ns1:r>
      </ns1:oMath>
      <w:r>
        <w:t xml:space="preserve">)— permanece</w:t>
      </w:r>
      <w:r>
        <w:t xml:space="preserve"> </w:t>
      </w:r>
      <w:r>
        <w:t xml:space="preserve">referida a UCI Adult Income bajo las condiciones del diseño EXP2; la extensión</w:t>
      </w:r>
      <w:r>
        <w:t xml:space="preserve"> </w:t>
      </w:r>
      <w:r>
        <w:t xml:space="preserve">cross-dataset muestra que la ventaja de fidelidad se mantiene pero se atenúa, y</w:t>
      </w:r>
      <w:r>
        <w:t xml:space="preserve"> </w:t>
      </w:r>
      <w:r>
        <w:t xml:space="preserve">que la brecha de estabilidad puede ser un artefacto del espacio de alta dimensión</w:t>
      </w:r>
      <w:r>
        <w:t xml:space="preserve"> </w:t>
      </w:r>
      <w:r>
        <w:t xml:space="preserve">y no una diferencia intrínseca entre métodos.</w:t>
      </w:r>
    </w:p>
    <w:bookmarkEnd w:id="184"/>
    <w:bookmarkEnd w:id="185"/>
    <w:bookmarkStart w:id="186" w:name="sec-futuro"/>
    <w:p>
      <w:pPr>
        <w:pStyle w:val="Ttulo2"/>
        <w:spacing w:line="360" w:lineRule="auto"/>
        <w:jc w:val="both"/>
      </w:pPr>
      <w:r>
        <w:t xml:space="preserve">Líneas de investigación futura</w:t>
      </w:r>
    </w:p>
    <w:p>
      <w:pPr>
        <w:pStyle w:val="FirstParagraph"/>
        <w:spacing w:line="360" w:lineRule="auto"/>
        <w:jc w:val="both"/>
      </w:pPr>
      <w:r>
        <w:t xml:space="preserve">Los resultados, las limitaciones y la taxonomía del Capítulo 5 convergen en</w:t>
      </w:r>
      <w:r>
        <w:t xml:space="preserve"> </w:t>
      </w:r>
      <w:r>
        <w:t xml:space="preserve">señalar cinco extensiones de investigación con fundamento empírico:</w:t>
      </w:r>
    </w:p>
    <w:p>
      <w:pPr>
        <w:pStyle w:val="Textoindependiente"/>
        <w:spacing w:line="360" w:lineRule="auto"/>
        <w:jc w:val="both"/>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spacing w:line="360" w:lineRule="auto"/>
        <w:jc w:val="both"/>
      </w:pPr>
      <w:r>
        <w:rPr>
          <w:b/>
          <w:bCs/>
        </w:rPr>
        <w:t xml:space="preserve">2. Validación de evaluadores semánticos e incorporación de evaluación</w:t>
      </w:r>
      <w:r>
        <w:rPr>
          <w:b/>
          <w:bCs/>
        </w:rPr>
        <w:t xml:space="preserve"> </w:t>
      </w:r>
      <w:r>
        <w:rPr>
          <w:b/>
          <w:bCs/>
        </w:rPr>
        <w:t xml:space="preserve">human-centered.</w:t>
      </w:r>
      <w:r>
        <w:t xml:space="preserve"> </w:t>
      </w:r>
      <w:r>
        <w:t xml:space="preserve">EXP4 (§sec-exp4-fiabilidad) estableció que los jueces LLM</w:t>
      </w:r>
      <w:r>
        <w:t xml:space="preserve"> </w:t>
      </w:r>
      <w:r>
        <w:t xml:space="preserve">actuales no alcanzan la convergencia inter-juez necesaria bajo rúbricas sin</w:t>
      </w:r>
      <w:r>
        <w:t xml:space="preserve"> </w:t>
      </w:r>
      <w:r>
        <w:t xml:space="preserve">especificación de stakeholder. La continuación directa de este resultado son dos</w:t>
      </w:r>
      <w:r>
        <w:t xml:space="preserve"> </w:t>
      </w:r>
      <w:r>
        <w:t xml:space="preserve">líneas: primera, rediseñar las rúbricas con los cuatro criterios de formalización</w:t>
      </w:r>
      <w:r>
        <w:t xml:space="preserve"> </w:t>
      </w:r>
      <w:r>
        <w:t xml:space="preserve">identificados en §sec-exp4-fiabilidad (especificación de stakeholder, criterio</w:t>
      </w:r>
      <w:r>
        <w:t xml:space="preserve"> </w:t>
      </w:r>
      <w:r>
        <w:t xml:space="preserve">de corrección verificable, separación de desiderata secundarios, calibración</w:t>
      </w:r>
      <w:r>
        <w:t xml:space="preserve"> </w:t>
      </w:r>
      <w:r>
        <w:t xml:space="preserve">contra expertos humanos) y replicar EXP4 con las rúbricas revisadas para</w:t>
      </w:r>
      <w:r>
        <w:t xml:space="preserve"> </w:t>
      </w:r>
      <w:r>
        <w:t xml:space="preserve">determinar si la brecha de fiabilidad se cierra con mayor formalización o</w:t>
      </w:r>
      <w:r>
        <w:t xml:space="preserve"> </w:t>
      </w:r>
      <w:r>
        <w:t xml:space="preserve">refleja límites del paradigma LLM-as-a-judge. Segunda: incorporar estudios de</w:t>
      </w:r>
      <w:r>
        <w:t xml:space="preserve"> </w:t>
      </w:r>
      <w:r>
        <w:t xml:space="preserve">usuario con expertos de dominio (médicos, analistas de crédito) que evalúen</w:t>
      </w:r>
      <w:r>
        <w:t xml:space="preserve"> </w:t>
      </w:r>
      <w:r>
        <w:t xml:space="preserve">comprensión, confianza y utilidad de las explicaciones de SHAP y LIME bajo</w:t>
      </w:r>
      <w:r>
        <w:t xml:space="preserve"> </w:t>
      </w:r>
      <w:r>
        <w:t xml:space="preserve">condiciones de tarea real, produciendo la calibración humana necesaria para</w:t>
      </w:r>
      <w:r>
        <w:t xml:space="preserve"> </w:t>
      </w:r>
      <w:r>
        <w:t xml:space="preserve">validar cualquier evaluador semántico automático.</w:t>
      </w:r>
    </w:p>
    <w:p>
      <w:pPr>
        <w:pStyle w:val="Textoindependiente"/>
        <w:spacing w:line="360" w:lineRule="auto"/>
        <w:jc w:val="both"/>
      </w:pPr>
      <w:r>
        <w:rPr>
          <w:b/>
          <w:bCs/>
        </w:rPr>
        <w:t xml:space="preserve">3. Extensión del análisis de sensibilidad a hiperparámetros.</w:t>
      </w:r>
      <w:r>
        <w:t xml:space="preserve"> </w:t>
      </w:r>
      <w:r>
        <w:t xml:space="preserve">Los análisis de sensibilidad completados en el Apéndice C establecen tres resultados base: (i) la inestabilidad de LIME es robusta a variaciones de</w:t>
      </w:r>
      <w:r>
        <w:t xml:space="preserve"> </w:t>
      </w:r>
      <w:r>
        <w:rPr>
          <w:rStyle w:val="VerbatimChar"/>
        </w:rPr>
        <w:t xml:space="preserve">num_samples</w:t>
      </w:r>
      <w:r>
        <w:t xml:space="preserve"> </w:t>
      </w:r>
      <w:r>
        <w:t xml:space="preserve">∈ {500, 1000, 2000} —la similitud coseno permanece cercana a cero en todos los niveles, descartando que sea un artefacto de convergencia—; (ii)</w:t>
      </w:r>
      <w:r>
        <w:t xml:space="preserve"> </w:t>
      </w:r>
      <w:r>
        <w:rPr>
          <w:rStyle w:val="VerbatimChar"/>
        </w:rPr>
        <w:t xml:space="preserve">kernel_width</w:t>
      </w:r>
      <w:r>
        <w:t xml:space="preserve"> </w:t>
      </w:r>
      <w:r>
        <w:t xml:space="preserve">∈ {0.25, 0.75} produce pesos degenerados en el espacio preprocesado de 103 dimensiones, con</w:t>
      </w:r>
      <w:r>
        <w:t xml:space="preserve"> </w:t>
      </w:r>
      <w:r>
        <w:rPr>
          <w:rStyle w:val="VerbatimChar"/>
        </w:rPr>
        <w:t xml:space="preserve">kernel_width = 3.0</w:t>
      </w:r>
      <w:r>
        <w:t xml:space="preserve"> </w:t>
      </w:r>
      <w:r>
        <w:t xml:space="preserve">como valor mínimo viable y</w:t>
      </w:r>
      <w:r>
        <w:t xml:space="preserve"> </w:t>
      </w:r>
      <w:r>
        <w:rPr>
          <w:rStyle w:val="VerbatimChar"/>
        </w:rPr>
        <w:t xml:space="preserve">kernel_width = 10.0</w:t>
      </w:r>
      <w:r>
        <w:t xml:space="preserve"> </w:t>
      </w:r>
      <w:r>
        <w:t xml:space="preserve">como alternativa más estable a costa de localidad; y (iii) la cobertura de Anchors es extremadamente sensible al umbral de precisión</w:t>
      </w:r>
      <w:r>
        <w:t xml:space="preserve"> </w:t>
      </w:r>
      <ns1:oMath>
        <ns1:r>
          <ns1:t>τ</ns1:t>
        </ns1:r>
      </ns1:oMath>
      <w:r>
        <w:t xml:space="preserve">. Las brechas pendientes incluyen la sensibilidad del tamaño del conjunto de referencia de SHAP más allá del rango evaluado (25–100), la interacción entre</w:t>
      </w:r>
      <w:r>
        <w:t xml:space="preserve"> </w:t>
      </w:r>
      <w:r>
        <w:rPr>
          <w:rStyle w:val="VerbatimChar"/>
        </w:rPr>
        <w:t xml:space="preserve">kernel_width</w:t>
      </w:r>
      <w:r>
        <w:t xml:space="preserve"> </w:t>
      </w:r>
      <w:r>
        <w:t xml:space="preserve">y</w:t>
      </w:r>
      <w:r>
        <w:t xml:space="preserve"> </w:t>
      </w:r>
      <w:r>
        <w:rPr>
          <w:rStyle w:val="VerbatimChar"/>
        </w:rPr>
        <w:t xml:space="preserve">num_samples</w:t>
      </w:r>
      <w:r>
        <w:t xml:space="preserve"> </w:t>
      </w:r>
      <w:r>
        <w:t xml:space="preserve">en espacios de dimensionalidad variable, y la extensión de los análisis a los modelos SVM y MLP, que emplean KernelSHAP en lugar de TreeSHAP y exhiben distintos perfiles de coste-estabilidad.</w:t>
      </w:r>
    </w:p>
    <w:p>
      <w:pPr>
        <w:pStyle w:val="Textoindependiente"/>
        <w:spacing w:line="360" w:lineRule="auto"/>
        <w:jc w:val="both"/>
      </w:pPr>
      <w:r>
        <w:rPr>
          <w:b/>
          <w:bCs/>
        </w:rPr>
        <w:t xml:space="preserve">4. Completar el contraste cross-dataset SHAP-LIME y replicar en dominios</w:t>
      </w:r>
      <w:r>
        <w:rPr>
          <w:b/>
          <w:bCs/>
        </w:rPr>
        <w:t xml:space="preserve"> </w:t>
      </w:r>
      <w:r>
        <w:rPr>
          <w:b/>
          <w:bCs/>
        </w:rPr>
        <w:t xml:space="preserve">de alto riesgo.</w:t>
      </w:r>
      <w:r>
        <w:t xml:space="preserve"> </w:t>
      </w:r>
      <w:r>
        <w:t xml:space="preserve">EXP3 replicó el ordenamiento de fidelidad SHAP-Anchors en</w:t>
      </w:r>
      <w:r>
        <w:t xml:space="preserve"> </w:t>
      </w:r>
      <w:r>
        <w:t xml:space="preserve">Breast Cancer Wisconsin y German Credit, y una extensión posterior incorporó</w:t>
      </w:r>
      <w:r>
        <w:t xml:space="preserve"> </w:t>
      </w:r>
      <w:r>
        <w:t xml:space="preserve">LIME con las mismas métricas de fidelidad y estabilidad. Sin embargo, la</w:t>
      </w:r>
      <w:r>
        <w:t xml:space="preserve"> </w:t>
      </w:r>
      <w:r>
        <w:t xml:space="preserve">estabilidad de SHAP no fue instrumentada en esos datasets, por lo que aún no</w:t>
      </w:r>
      <w:r>
        <w:t xml:space="preserve"> </w:t>
      </w:r>
      <w:r>
        <w:t xml:space="preserve">existe un contraste pareado SHAP-LIME completo de estabilidad fuera de UCI Adult</w:t>
      </w:r>
      <w:r>
        <w:t xml:space="preserve"> </w:t>
      </w:r>
      <w:r>
        <w:t xml:space="preserve">Income. La extensión prioritaria es completar esa instrumentación y ampliar el</w:t>
      </w:r>
      <w:r>
        <w:t xml:space="preserve"> </w:t>
      </w:r>
      <w:r>
        <w:t xml:space="preserve">diseño a más modelos y datasets, de modo que los hallazgos centrales de esta</w:t>
      </w:r>
      <w:r>
        <w:t xml:space="preserve"> </w:t>
      </w:r>
      <w:r>
        <w:t xml:space="preserve">tesis —</w:t>
      </w:r>
      <ns1:oMath>
        <ns1:sSub>
          <ns1:e>
            <ns1:r>
              <ns1:t>d</ns1:t>
            </ns1:r>
          </ns1:e>
          <ns1:sub>
            <ns1:r>
              <ns1:t>z</ns1:t>
            </ns1:r>
          </ns1:sub>
        </ns1:sSub>
        <ns1:r>
          <ns1:rPr>
            <ns1:sty ns1:val="p"/>
          </ns1:rPr>
          <ns1:t>=</ns1:t>
        </ns1:r>
        <ns1:r>
          <ns1:t>4.82</ns1:t>
        </ns1:r>
      </ns1:oMath>
      <w:r>
        <w:t xml:space="preserve"> </w:t>
      </w:r>
      <w:r>
        <w:t xml:space="preserve">en fidelidad y</w:t>
      </w:r>
      <w:r>
        <w:t xml:space="preserve"> </w:t>
      </w:r>
      <ns1:oMath>
        <ns1:sSub>
          <ns1:e>
            <ns1:r>
              <ns1:t>d</ns1:t>
            </ns1:r>
          </ns1:e>
          <ns1:sub>
            <ns1:r>
              <ns1:t>z</ns1:t>
            </ns1:r>
          </ns1:sub>
        </ns1:sSub>
        <ns1:r>
          <ns1:rPr>
            <ns1:sty ns1:val="p"/>
          </ns1:rPr>
          <ns1:t>=</ns1:t>
        </ns1:r>
        <ns1:r>
          <ns1:t>3.00</ns1:t>
        </ns1:r>
      </ns1:oMath>
      <w:r>
        <w:t xml:space="preserve"> </w:t>
      </w:r>
      <w:r>
        <w:t xml:space="preserve">en estabilidad— sean verificables</w:t>
      </w:r>
      <w:r>
        <w:t xml:space="preserve"> </w:t>
      </w:r>
      <w:r>
        <w:t xml:space="preserve">fuera del contexto Adult. Una segunda dirección es la validación en dominios</w:t>
      </w:r>
      <w:r>
        <w:t xml:space="preserve"> </w:t>
      </w:r>
      <w:r>
        <w:t xml:space="preserve">regulados (crédito, salud, justicia) con restricciones normativas explícitas</w:t>
      </w:r>
      <w:r>
        <w:t xml:space="preserve"> </w:t>
      </w:r>
      <w:r>
        <w:t xml:space="preserve">(EU AI Act, GDPR Art. 22), donde la elección del método explicador tiene</w:t>
      </w:r>
      <w:r>
        <w:t xml:space="preserve"> </w:t>
      </w:r>
      <w:r>
        <w:t xml:space="preserve">consecuencias legales directas.</w:t>
      </w:r>
    </w:p>
    <w:p>
      <w:pPr>
        <w:pStyle w:val="Textoindependiente"/>
        <w:spacing w:line="360" w:lineRule="auto"/>
        <w:jc w:val="both"/>
      </w:pPr>
      <w:r>
        <w:rPr>
          <w:b/>
          <w:bCs/>
        </w:rPr>
        <w:t xml:space="preserve">5. Formalización del eje de comprehensibilidad en la taxonomía.</w:t>
      </w:r>
      <w:r>
        <w:t xml:space="preserve"> </w:t>
      </w:r>
      <w:r>
        <w:t xml:space="preserve">El eje de</w:t>
      </w:r>
      <w:r>
        <w:t xml:space="preserve"> </w:t>
      </w:r>
      <w:r>
        <w:t xml:space="preserve">contexto de tarea de la taxonomía incluye el contexto</w:t>
      </w:r>
      <w:r>
        <w:t xml:space="preserve"> </w:t>
      </w:r>
      <w:r>
        <w:rPr>
          <w:i/>
          <w:iCs/>
        </w:rPr>
        <w:t xml:space="preserve">usuario final</w:t>
      </w:r>
      <w:r>
        <w:t xml:space="preserve"> </w:t>
      </w:r>
      <w:r>
        <w:t xml:space="preserve">pero no</w:t>
      </w:r>
      <w:r>
        <w:t xml:space="preserve"> </w:t>
      </w:r>
      <w:r>
        <w:t xml:space="preserve">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86"/>
    <w:bookmarkStart w:id="187" w:name="sec-sintesis"/>
    <w:p>
      <w:pPr>
        <w:pStyle w:val="Ttulo2"/>
        <w:spacing w:line="360" w:lineRule="auto"/>
        <w:jc w:val="both"/>
      </w:pPr>
      <w:r>
        <w:t xml:space="preserve">Síntesis final</w:t>
      </w:r>
    </w:p>
    <w:p>
      <w:pPr>
        <w:pStyle w:val="FirstParagraph"/>
        <w:spacing w:line="360" w:lineRule="auto"/>
        <w:jc w:val="bot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con amplia holgura, los resultados ofrecen una</w:t>
      </w:r>
      <w:r>
        <w:t xml:space="preserve"> </w:t>
      </w:r>
      <w:r>
        <w:t xml:space="preserve">base sólida para la interpretación principal: SHAP es el método más fiable</w:t>
      </w:r>
      <w:r>
        <w:t xml:space="preserve"> </w:t>
      </w:r>
      <w:r>
        <w:t xml:space="preserve">cuando fidelidad y estabilidad son requisitos; LIME es la alternativa eficiente</w:t>
      </w:r>
      <w:r>
        <w:t xml:space="preserve"> </w:t>
      </w:r>
      <w:r>
        <w:t xml:space="preserve">con inestabilidad documentada bajo la configuración y el espacio de</w:t>
      </w:r>
      <w:r>
        <w:t xml:space="preserve"> </w:t>
      </w:r>
      <w:r>
        <w:t xml:space="preserve">características evaluados;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spacing w:line="360" w:lineRule="auto"/>
        <w:jc w:val="both"/>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and Verbert 2024)</w:t>
      </w:r>
      <w:r>
        <w:t xml:space="preserve">.</w:t>
      </w:r>
    </w:p>
    <w:p>
      <w:pPr>
        <w:pStyle w:val="Textoindependiente"/>
        <w:spacing w:line="360" w:lineRule="auto"/>
        <w:jc w:val="both"/>
      </w:pPr>
      <w:r>
        <w:t xml:space="preserve">La implicación más amplia de esta tesis trasciende el contexto experimental.</w:t>
      </w:r>
      <w:r>
        <w:t xml:space="preserve"> </w:t>
      </w:r>
      <w:r>
        <w:t xml:space="preserve">El hallazgo de que LIME puede exhibir inestabilidad casi total —no marginal,</w:t>
      </w:r>
      <w:r>
        <w:t xml:space="preserve"> </w:t>
      </w:r>
      <w:r>
        <w:t xml:space="preserve">sino sistemática, con CV=86.2% y similitud coseno media de 0.014 bajo la</w:t>
      </w:r>
      <w:r>
        <w:t xml:space="preserve"> </w:t>
      </w:r>
      <w:r>
        <w:t xml:space="preserve">configuración de referencia en el espacio de 103 dimensiones de Adult Income—</w:t>
      </w:r>
      <w:r>
        <w:t xml:space="preserve"> </w:t>
      </w:r>
      <w:r>
        <w:t xml:space="preserve">es relevante para cualquier sistema de apoyo a la decisión que emplee LIME en</w:t>
      </w:r>
      <w:r>
        <w:t xml:space="preserve"> </w:t>
      </w:r>
      <w:r>
        <w:t xml:space="preserve">entornos de auditoría, regulación o alto riesgo. El contexto normativo actual</w:t>
      </w:r>
      <w:r>
        <w:t xml:space="preserve"> </w:t>
      </w:r>
      <w:r>
        <w:t xml:space="preserve">(EU AI Act, GDPR Art. 22) demanda explicaciones verificables y consistentes; un</w:t>
      </w:r>
      <w:r>
        <w:t xml:space="preserve"> </w:t>
      </w:r>
      <w:r>
        <w:t xml:space="preserve">método que produce explicaciones casi ortogonales entre dos ejecuciones de la</w:t>
      </w:r>
      <w:r>
        <w:t xml:space="preserve"> </w:t>
      </w:r>
      <w:r>
        <w:t xml:space="preserve">misma instancia no satisface ese requisito. La implicación operativa, sin</w:t>
      </w:r>
      <w:r>
        <w:t xml:space="preserve"> </w:t>
      </w:r>
      <w:r>
        <w:t xml:space="preserve">embargo, no es que LIME deba descartarse universalmente: EXP3 muestra</w:t>
      </w:r>
      <w:r>
        <w:t xml:space="preserve"> </w:t>
      </w:r>
      <w:r>
        <w:t xml:space="preserve">estabilidades de 0.748–0.927 en espacios de menor dimensión con la misma</w:t>
      </w:r>
      <w:r>
        <w:t xml:space="preserve"> </w:t>
      </w:r>
      <w:r>
        <w:t xml:space="preserve">configuración, y el ancho del kernel modula el resultado dentro de un mismo</w:t>
      </w:r>
      <w:r>
        <w:t xml:space="preserve"> </w:t>
      </w:r>
      <w:r>
        <w:t xml:space="preserve">espacio (§sec-limitaciones). La conclusión defendible —sostenida por 75 pares</w:t>
      </w:r>
      <w:r>
        <w:t xml:space="preserve"> </w:t>
      </w:r>
      <w:r>
        <w:t xml:space="preserve">de contraste con efecto</w:t>
      </w:r>
      <w:r>
        <w:t xml:space="preserve"> </w:t>
      </w:r>
      <ns1:oMath>
        <ns1:sSub>
          <ns1:e>
            <ns1:r>
              <ns1:t>d</ns1:t>
            </ns1:r>
          </ns1:e>
          <ns1:sub>
            <ns1:r>
              <ns1:t>z</ns1:t>
            </ns1:r>
          </ns1:sub>
        </ns1:sSub>
        <ns1:r>
          <ns1:rPr>
            <ns1:sty ns1:val="p"/>
          </ns1:rPr>
          <ns1:t>=</ns1:t>
        </ns1:r>
        <ns1:r>
          <ns1:t>3.002</ns1:t>
        </ns1:r>
      </ns1:oMath>
      <w:r>
        <w:t xml:space="preserve"> </w:t>
      </w:r>
      <w:r>
        <w:t xml:space="preserve">y delimitada por ambos análisis— es que la</w:t>
      </w:r>
      <w:r>
        <w:t xml:space="preserve"> </w:t>
      </w:r>
      <w:r>
        <w:t xml:space="preserve">estabilidad de LIME es una propiedad contingente del despliegue y no puede</w:t>
      </w:r>
      <w:r>
        <w:t xml:space="preserve"> </w:t>
      </w:r>
      <w:r>
        <w:t xml:space="preserve">presuponerse: en un régimen regulatorio que exige consistencia, debe medirse y</w:t>
      </w:r>
      <w:r>
        <w:t xml:space="preserve"> </w:t>
      </w:r>
      <w:r>
        <w:t xml:space="preserve">documentarse para el espacio de características y la configuración concretos</w:t>
      </w:r>
      <w:r>
        <w:t xml:space="preserve"> </w:t>
      </w:r>
      <w:r>
        <w:t xml:space="preserve">antes de admitir el método como evidencia. Esta es la afirmación de mayor</w:t>
      </w:r>
      <w:r>
        <w:t xml:space="preserve"> </w:t>
      </w:r>
      <w:r>
        <w:t xml:space="preserve">impacto práctico de la tesis: no es un argumento teórico contra LIME, sino la</w:t>
      </w:r>
      <w:r>
        <w:t xml:space="preserve"> </w:t>
      </w:r>
      <w:r>
        <w:t xml:space="preserve">especificación empírica de qué debe verificarse antes de usarlo en el tipo de</w:t>
      </w:r>
      <w:r>
        <w:t xml:space="preserve"> </w:t>
      </w:r>
      <w:r>
        <w:t xml:space="preserve">despliegue que la regulación exige evaluar.</w:t>
      </w:r>
    </w:p>
    <w:p>
      <w:pPr>
        <w:pStyle w:val="Textoindependiente"/>
        <w:spacing w:line="360" w:lineRule="auto"/>
        <w:jc w:val="both"/>
      </w:pPr>
      <w:r>
        <w:t xml:space="preserve">El camino hacia la excelencia en evaluación XAI no pasa por proponer una métrica</w:t>
      </w:r>
      <w:r>
        <w:t xml:space="preserve"> </w:t>
      </w:r>
      <w:r>
        <w:t xml:space="preserve">adicional ni por declarar un método dominante universal. Pasa por construir la</w:t>
      </w:r>
      <w:r>
        <w:t xml:space="preserve"> </w:t>
      </w:r>
      <w:r>
        <w:t xml:space="preserve">infraestructura de gobernanza que permita comparar, acumular y defender</w:t>
      </w:r>
      <w:r>
        <w:t xml:space="preserve"> </w:t>
      </w:r>
      <w:r>
        <w:t xml:space="preserve">evidencia sobre métodos de explicación bajo condiciones auditables. FOM-7 y la</w:t>
      </w:r>
      <w:r>
        <w:t xml:space="preserve"> </w:t>
      </w:r>
      <w:r>
        <w:t xml:space="preserve">taxonomía asociada son una contribución concreta a esa infraestructura, y este</w:t>
      </w:r>
      <w:r>
        <w:t xml:space="preserve"> </w:t>
      </w:r>
      <w:r>
        <w:t xml:space="preserve">benchmark es la primera demostración de su aplicación sobre datos tabulares</w:t>
      </w:r>
      <w:r>
        <w:t xml:space="preserve"> </w:t>
      </w:r>
      <w:r>
        <w:t xml:space="preserve">reales bajo control estadístico riguroso. La agenda de investigación señalada</w:t>
      </w:r>
      <w:r>
        <w:t xml:space="preserve"> </w:t>
      </w:r>
      <w:r>
        <w:t xml:space="preserve">en la Sección</w:t>
      </w:r>
      <w:r>
        <w:t xml:space="preserve"> </w:t>
      </w:r>
      <w:hyperlink w:anchor="sec-futuro">
        <w:r>
          <w:rPr>
            <w:rStyle w:val="Hipervnculo"/>
          </w:rPr>
          <w:t xml:space="preserve">Section 7.6</w:t>
        </w:r>
      </w:hyperlink>
      <w:r>
        <w:t xml:space="preserve"> </w:t>
      </w:r>
      <w:r>
        <w:t xml:space="preserve">—extensión a dominios no tabulares, incorporación de</w:t>
      </w:r>
      <w:r>
        <w:t xml:space="preserve"> </w:t>
      </w:r>
      <w:r>
        <w:t xml:space="preserve">evaluación human-centered, análisis de sensibilidad de hiperparámetros,</w:t>
      </w:r>
      <w:r>
        <w:t xml:space="preserve"> </w:t>
      </w:r>
      <w:r>
        <w:t xml:space="preserve">replicación en dominios regulados— define el camino para transformar esta</w:t>
      </w:r>
      <w:r>
        <w:t xml:space="preserve"> </w:t>
      </w:r>
      <w:r>
        <w:t xml:space="preserve">infraestructura en un estándar de facto para la evaluación comparativa de</w:t>
      </w:r>
      <w:r>
        <w:t xml:space="preserve"> </w:t>
      </w:r>
      <w:r>
        <w:t xml:space="preserve">métodos XAI.</w:t>
      </w:r>
    </w:p>
    <w:bookmarkEnd w:id="187"/>
    <w:bookmarkEnd w:id="188"/>
    <w:bookmarkStart w:id="451" w:name="referencias"/>
    <w:p>
      <w:pPr>
        <w:pStyle w:val="Ttulo1"/>
        <w:spacing w:line="360" w:lineRule="auto"/>
        <w:jc w:val="both"/>
      </w:pPr>
      <w:r>
        <w:t xml:space="preserve">Referencias</w:t>
      </w:r>
    </w:p>
    <w:bookmarkStart w:id="450" w:name="refs"/>
    <w:bookmarkStart w:id="190" w:name="ref-abdul2018"/>
    <w:p>
      <w:pPr>
        <w:pStyle w:val="Bibliography"/>
        <w:spacing w:line="360" w:lineRule="auto"/>
        <w:jc w:val="both"/>
      </w:pPr>
      <w:r>
        <w:t xml:space="preserve">Abdul, Ashraf, Jo Vermeulen, Danding Wang, Brian Y. Lim, and Mohan Kankanhalli. 2018.</w:t>
      </w:r>
      <w:r>
        <w:t xml:space="preserve"> </w:t>
      </w:r>
      <w:r>
        <w:t xml:space="preserve">“Trends and Trajectories for Explainable, Accountable and Intelligible Systems: An HCI Research Agenda.”</w:t>
      </w:r>
      <w:r>
        <w:t xml:space="preserve"> </w:t>
      </w:r>
      <w:r>
        <w:rPr>
          <w:i/>
          <w:iCs/>
        </w:rPr>
        <w:t xml:space="preserve">Proceedings of the 2018 CHI Conference on Human Factors in Computing Systems</w:t>
      </w:r>
      <w:r>
        <w:t xml:space="preserve">, 1–18.</w:t>
      </w:r>
      <w:r>
        <w:t xml:space="preserve"> </w:t>
      </w:r>
      <w:hyperlink ns5:id="rId189">
        <w:r>
          <w:rPr>
            <w:rStyle w:val="Hipervnculo"/>
          </w:rPr>
          <w:t xml:space="preserve">https://doi.org/10.1145/3173574.3174156</w:t>
        </w:r>
      </w:hyperlink>
      <w:r>
        <w:t xml:space="preserve">.</w:t>
      </w:r>
    </w:p>
    <w:bookmarkEnd w:id="190"/>
    <w:bookmarkStart w:id="192" w:name="ref-abdulkadir2023"/>
    <w:p>
      <w:pPr>
        <w:pStyle w:val="Bibliography"/>
        <w:spacing w:line="360" w:lineRule="auto"/>
        <w:jc w:val="both"/>
      </w:pPr>
      <w:r>
        <w:t xml:space="preserve">Abdul Kadir, M., A. Mosavi, and D. Sonntag. 2023.</w:t>
      </w:r>
      <w:r>
        <w:t xml:space="preserve"> </w:t>
      </w:r>
      <w:r>
        <w:t xml:space="preserve">“Evaluation Metrics for XAI: A Review, Taxonomy, and Practical Applications.”</w:t>
      </w:r>
      <w:r>
        <w:t xml:space="preserve"> </w:t>
      </w:r>
      <w:r>
        <w:rPr>
          <w:i/>
          <w:iCs/>
        </w:rPr>
        <w:t xml:space="preserve">INES 2023 Proceedings</w:t>
      </w:r>
      <w:r>
        <w:t xml:space="preserve">, ahead of print.</w:t>
      </w:r>
      <w:r>
        <w:t xml:space="preserve"> </w:t>
      </w:r>
      <w:hyperlink ns5:id="rId191">
        <w:r>
          <w:rPr>
            <w:rStyle w:val="Hipervnculo"/>
          </w:rPr>
          <w:t xml:space="preserve">https://doi.org/10.1109/INES59045.2023.1030000</w:t>
        </w:r>
      </w:hyperlink>
      <w:r>
        <w:t xml:space="preserve">.</w:t>
      </w:r>
    </w:p>
    <w:bookmarkEnd w:id="192"/>
    <w:bookmarkStart w:id="194" w:name="ref-abusitta2024"/>
    <w:p>
      <w:pPr>
        <w:pStyle w:val="Bibliography"/>
        <w:spacing w:line="360" w:lineRule="auto"/>
        <w:jc w:val="both"/>
      </w:pPr>
      <w:r>
        <w:t xml:space="preserve">Abusitta, Adel, Miles Q. Li, and Benjamin C. M. Fung. 2024.</w:t>
      </w:r>
      <w:r>
        <w:t xml:space="preserve"> </w:t>
      </w:r>
      <w:r>
        <w:rPr>
          <w:i/>
          <w:iCs/>
        </w:rPr>
        <w:t xml:space="preserve">Survey on Explainable Ai: Techniques, Challenges and Open Issues</w:t>
      </w:r>
      <w:r>
        <w:t xml:space="preserve">. Elsevier BV.</w:t>
      </w:r>
      <w:r>
        <w:t xml:space="preserve"> </w:t>
      </w:r>
      <w:hyperlink ns5:id="rId193">
        <w:r>
          <w:rPr>
            <w:rStyle w:val="Hipervnculo"/>
          </w:rPr>
          <w:t xml:space="preserve">https://doi.org/10.2139/ssrn.4710037</w:t>
        </w:r>
      </w:hyperlink>
      <w:r>
        <w:t xml:space="preserve">.</w:t>
      </w:r>
    </w:p>
    <w:bookmarkEnd w:id="194"/>
    <w:bookmarkStart w:id="196" w:name="ref-adadi2018"/>
    <w:p>
      <w:pPr>
        <w:pStyle w:val="Bibliography"/>
        <w:spacing w:line="360" w:lineRule="auto"/>
        <w:jc w:val="both"/>
      </w:pPr>
      <w:r>
        <w:t xml:space="preserve">Adadi, &amp; Berrada, A. 2018.</w:t>
      </w:r>
      <w:r>
        <w:t xml:space="preserve"> </w:t>
      </w:r>
      <w:r>
        <w:t xml:space="preserve">“Peeking Inside the Black-Box: A Survey on Explainable Artificial Intelligence (XAI).”</w:t>
      </w:r>
      <w:r>
        <w:t xml:space="preserve"> </w:t>
      </w:r>
      <w:r>
        <w:rPr>
          <w:i/>
          <w:iCs/>
        </w:rPr>
        <w:t xml:space="preserve">IEEE Access</w:t>
      </w:r>
      <w:r>
        <w:t xml:space="preserve"> </w:t>
      </w:r>
      <w:r>
        <w:t xml:space="preserve">6: 52138–60.</w:t>
      </w:r>
      <w:r>
        <w:t xml:space="preserve"> </w:t>
      </w:r>
      <w:hyperlink ns5:id="rId195">
        <w:r>
          <w:rPr>
            <w:rStyle w:val="Hipervnculo"/>
          </w:rPr>
          <w:t xml:space="preserve">https://doi.org/10.1109/access.2018.2870052</w:t>
        </w:r>
      </w:hyperlink>
      <w:r>
        <w:t xml:space="preserve">.</w:t>
      </w:r>
    </w:p>
    <w:bookmarkEnd w:id="196"/>
    <w:bookmarkStart w:id="198" w:name="ref-adhikari2022"/>
    <w:p>
      <w:pPr>
        <w:pStyle w:val="Bibliography"/>
        <w:spacing w:line="360" w:lineRule="auto"/>
        <w:jc w:val="both"/>
      </w:pPr>
      <w:r>
        <w:t xml:space="preserve">Adhikari, Jiang, D. 2022.</w:t>
      </w:r>
      <w:r>
        <w:t xml:space="preserve"> </w:t>
      </w:r>
      <w:r>
        <w:t xml:space="preserve">“A Comprehensive Survey on Imputation of Missing Data in Internet of Things.”</w:t>
      </w:r>
      <w:r>
        <w:t xml:space="preserve"> </w:t>
      </w:r>
      <w:r>
        <w:rPr>
          <w:i/>
          <w:iCs/>
        </w:rPr>
        <w:t xml:space="preserve">ACM Computing Surveys</w:t>
      </w:r>
      <w:r>
        <w:t xml:space="preserve"> </w:t>
      </w:r>
      <w:r>
        <w:t xml:space="preserve">55 (7): 1–38.</w:t>
      </w:r>
      <w:r>
        <w:t xml:space="preserve"> </w:t>
      </w:r>
      <w:hyperlink ns5:id="rId197">
        <w:r>
          <w:rPr>
            <w:rStyle w:val="Hipervnculo"/>
          </w:rPr>
          <w:t xml:space="preserve">https://doi.org/10.1145/3533381</w:t>
        </w:r>
      </w:hyperlink>
      <w:r>
        <w:t xml:space="preserve">.</w:t>
      </w:r>
    </w:p>
    <w:bookmarkEnd w:id="198"/>
    <w:bookmarkStart w:id="200" w:name="ref-agarwal2023"/>
    <w:p>
      <w:pPr>
        <w:pStyle w:val="Bibliography"/>
        <w:spacing w:line="360" w:lineRule="auto"/>
        <w:jc w:val="both"/>
      </w:pPr>
      <w:r>
        <w:t xml:space="preserve">Agarwal, Chirag, Owen Queen, Himabindu Lakkaraju, and Marinka Zitnik. 2023.</w:t>
      </w:r>
      <w:r>
        <w:t xml:space="preserve"> </w:t>
      </w:r>
      <w:r>
        <w:t xml:space="preserve">“Evaluating Explainability for Graph Neural Networks.”</w:t>
      </w:r>
      <w:r>
        <w:t xml:space="preserve"> </w:t>
      </w:r>
      <w:r>
        <w:rPr>
          <w:i/>
          <w:iCs/>
        </w:rPr>
        <w:t xml:space="preserve">Scientific Data</w:t>
      </w:r>
      <w:r>
        <w:t xml:space="preserve"> </w:t>
      </w:r>
      <w:r>
        <w:t xml:space="preserve">10 (1).</w:t>
      </w:r>
      <w:r>
        <w:t xml:space="preserve"> </w:t>
      </w:r>
      <w:hyperlink ns5:id="rId199">
        <w:r>
          <w:rPr>
            <w:rStyle w:val="Hipervnculo"/>
          </w:rPr>
          <w:t xml:space="preserve">https://doi.org/10.1038/s41597-023-01974-x</w:t>
        </w:r>
      </w:hyperlink>
      <w:r>
        <w:t xml:space="preserve">.</w:t>
      </w:r>
    </w:p>
    <w:bookmarkEnd w:id="200"/>
    <w:bookmarkStart w:id="201" w:name="ref-agarwal2022"/>
    <w:p>
      <w:pPr>
        <w:pStyle w:val="Bibliography"/>
        <w:spacing w:line="360" w:lineRule="auto"/>
        <w:jc w:val="both"/>
      </w:pPr>
      <w:r>
        <w:t xml:space="preserve">Agarwal, C., D. Ley, S. Krishna, et al. 2022.</w:t>
      </w:r>
      <w:r>
        <w:t xml:space="preserve"> </w:t>
      </w:r>
      <w:r>
        <w:t xml:space="preserve">“OpenXAI: Towards a Transparent Evaluation of Post Hoc Model Explanations.”</w:t>
      </w:r>
      <w:r>
        <w:t xml:space="preserve"> </w:t>
      </w:r>
      <w:r>
        <w:rPr>
          <w:i/>
          <w:iCs/>
        </w:rPr>
        <w:t xml:space="preserve">Advances in Neural Information Processing Systems (NeurIPS)</w:t>
      </w:r>
      <w:r>
        <w:t xml:space="preserve">.</w:t>
      </w:r>
    </w:p>
    <w:bookmarkEnd w:id="201"/>
    <w:bookmarkStart w:id="203" w:name="ref-ali2023"/>
    <w:p>
      <w:pPr>
        <w:pStyle w:val="Bibliography"/>
        <w:spacing w:line="360" w:lineRule="auto"/>
        <w:jc w:val="both"/>
      </w:pPr>
      <w:r>
        <w:t xml:space="preserve">Ali, Abuhmed, S. 2023.</w:t>
      </w:r>
      <w:r>
        <w:t xml:space="preserve"> </w:t>
      </w:r>
      <w:r>
        <w:t xml:space="preserve">“Explainable Artificial Intelligence (XAI): What We Know and What Is Left to Attain Trustworthy Artificial Intelligence.”</w:t>
      </w:r>
      <w:r>
        <w:t xml:space="preserve"> </w:t>
      </w:r>
      <w:r>
        <w:rPr>
          <w:i/>
          <w:iCs/>
        </w:rPr>
        <w:t xml:space="preserve">Information Fusion</w:t>
      </w:r>
      <w:r>
        <w:t xml:space="preserve"> </w:t>
      </w:r>
      <w:r>
        <w:t xml:space="preserve">99: 101805.</w:t>
      </w:r>
      <w:r>
        <w:t xml:space="preserve"> </w:t>
      </w:r>
      <w:hyperlink ns5:id="rId202">
        <w:r>
          <w:rPr>
            <w:rStyle w:val="Hipervnculo"/>
          </w:rPr>
          <w:t xml:space="preserve">https://doi.org/10.1016/j.inffus.2023.101805</w:t>
        </w:r>
      </w:hyperlink>
      <w:r>
        <w:t xml:space="preserve">.</w:t>
      </w:r>
    </w:p>
    <w:bookmarkEnd w:id="203"/>
    <w:bookmarkStart w:id="205" w:name="ref-alkhateeb2025"/>
    <w:p>
      <w:pPr>
        <w:pStyle w:val="Bibliography"/>
        <w:spacing w:line="360" w:lineRule="auto"/>
        <w:jc w:val="both"/>
      </w:pPr>
      <w:r>
        <w:t xml:space="preserve">Alkhateeb, Banan Mohammad, and Ellis Solaiman. 2025.</w:t>
      </w:r>
      <w:r>
        <w:t xml:space="preserve"> </w:t>
      </w:r>
      <w:r>
        <w:rPr>
          <w:i/>
          <w:iCs/>
        </w:rPr>
        <w:t xml:space="preserve">Context-Aware Visualization for Explainable AI Recommendations in Social Media: A Vision for User-Aligned Explanations</w:t>
      </w:r>
      <w:r>
        <w:t xml:space="preserve">. Springer Nature Switzerland.</w:t>
      </w:r>
      <w:r>
        <w:t xml:space="preserve"> </w:t>
      </w:r>
      <w:hyperlink ns5:id="rId204">
        <w:r>
          <w:rPr>
            <w:rStyle w:val="Hipervnculo"/>
          </w:rPr>
          <w:t xml:space="preserve">https://doi.org/10.1007/978-3-032-06744-9_14</w:t>
        </w:r>
      </w:hyperlink>
      <w:r>
        <w:t xml:space="preserve">.</w:t>
      </w:r>
    </w:p>
    <w:bookmarkEnd w:id="205"/>
    <w:bookmarkStart w:id="207" w:name="ref-allen2024"/>
    <w:p>
      <w:pPr>
        <w:pStyle w:val="Bibliography"/>
        <w:spacing w:line="360" w:lineRule="auto"/>
        <w:jc w:val="both"/>
      </w:pPr>
      <w:r>
        <w:t xml:space="preserve">Allen, Gan, G. I. 2024.</w:t>
      </w:r>
      <w:r>
        <w:t xml:space="preserve"> </w:t>
      </w:r>
      <w:r>
        <w:t xml:space="preserve">“Interpretable Machine Learning for Discovery: Statistical Challenges and Opportunities.”</w:t>
      </w:r>
      <w:r>
        <w:t xml:space="preserve"> </w:t>
      </w:r>
      <w:r>
        <w:rPr>
          <w:i/>
          <w:iCs/>
        </w:rPr>
        <w:t xml:space="preserve">Annual Review of Statistics and Its Application</w:t>
      </w:r>
      <w:r>
        <w:t xml:space="preserve"> </w:t>
      </w:r>
      <w:r>
        <w:t xml:space="preserve">11 (1): 97–121.</w:t>
      </w:r>
      <w:r>
        <w:t xml:space="preserve"> </w:t>
      </w:r>
      <w:hyperlink ns5:id="rId206">
        <w:r>
          <w:rPr>
            <w:rStyle w:val="Hipervnculo"/>
          </w:rPr>
          <w:t xml:space="preserve">https://doi.org/10.1146/annurev-statistics-040120-030919</w:t>
        </w:r>
      </w:hyperlink>
      <w:r>
        <w:t xml:space="preserve">.</w:t>
      </w:r>
    </w:p>
    <w:bookmarkEnd w:id="207"/>
    <w:bookmarkStart w:id="209" w:name="ref-altukhi2025"/>
    <w:p>
      <w:pPr>
        <w:pStyle w:val="Bibliography"/>
        <w:spacing w:line="360" w:lineRule="auto"/>
        <w:jc w:val="both"/>
      </w:pPr>
      <w:r>
        <w:t xml:space="preserve">Altukhi, Pradhan, Z. M. 2025.</w:t>
      </w:r>
      <w:r>
        <w:t xml:space="preserve"> </w:t>
      </w:r>
      <w:r>
        <w:t xml:space="preserve">“A Systematic Literature Review of the Latest Advancements in XAI.”</w:t>
      </w:r>
      <w:r>
        <w:t xml:space="preserve"> </w:t>
      </w:r>
      <w:r>
        <w:rPr>
          <w:i/>
          <w:iCs/>
        </w:rPr>
        <w:t xml:space="preserve">Technologies</w:t>
      </w:r>
      <w:r>
        <w:t xml:space="preserve"> </w:t>
      </w:r>
      <w:r>
        <w:t xml:space="preserve">13 (3): 93.</w:t>
      </w:r>
      <w:r>
        <w:t xml:space="preserve"> </w:t>
      </w:r>
      <w:hyperlink ns5:id="rId208">
        <w:r>
          <w:rPr>
            <w:rStyle w:val="Hipervnculo"/>
          </w:rPr>
          <w:t xml:space="preserve">https://doi.org/10.3390/technologies13030093</w:t>
        </w:r>
      </w:hyperlink>
      <w:r>
        <w:t xml:space="preserve">.</w:t>
      </w:r>
    </w:p>
    <w:bookmarkEnd w:id="209"/>
    <w:bookmarkStart w:id="211" w:name="ref-alvarezmelis2018"/>
    <w:p>
      <w:pPr>
        <w:pStyle w:val="Bibliography"/>
        <w:spacing w:line="360" w:lineRule="auto"/>
        <w:jc w:val="both"/>
      </w:pPr>
      <w:r>
        <w:t xml:space="preserve">Alvarez-Melis, David, and Tommi S. Jaakkola. 2018.</w:t>
      </w:r>
      <w:r>
        <w:t xml:space="preserve"> </w:t>
      </w:r>
      <w:r>
        <w:rPr>
          <w:i/>
          <w:iCs/>
        </w:rPr>
        <w:t xml:space="preserve">On the Robustness of Interpretability Methods</w:t>
      </w:r>
      <w:r>
        <w:t xml:space="preserve">.</w:t>
      </w:r>
      <w:r>
        <w:t xml:space="preserve"> </w:t>
      </w:r>
      <w:hyperlink ns5:id="rId210">
        <w:r>
          <w:rPr>
            <w:rStyle w:val="Hipervnculo"/>
          </w:rPr>
          <w:t xml:space="preserve">https://arxiv.org/abs/1806.08049</w:t>
        </w:r>
      </w:hyperlink>
      <w:r>
        <w:t xml:space="preserve">.</w:t>
      </w:r>
    </w:p>
    <w:bookmarkEnd w:id="211"/>
    <w:bookmarkStart w:id="213" w:name="ref-amershi2014"/>
    <w:p>
      <w:pPr>
        <w:pStyle w:val="Bibliography"/>
        <w:spacing w:line="360" w:lineRule="auto"/>
        <w:jc w:val="both"/>
      </w:pPr>
      <w:r>
        <w:t xml:space="preserve">Amershi, Cakmak, S. 2014.</w:t>
      </w:r>
      <w:r>
        <w:t xml:space="preserve"> </w:t>
      </w:r>
      <w:r>
        <w:t xml:space="preserve">“Power to the People: The Role of Humans in Interactive Machine Learning.”</w:t>
      </w:r>
      <w:r>
        <w:t xml:space="preserve"> </w:t>
      </w:r>
      <w:r>
        <w:rPr>
          <w:i/>
          <w:iCs/>
        </w:rPr>
        <w:t xml:space="preserve">AI Magazine</w:t>
      </w:r>
      <w:r>
        <w:t xml:space="preserve"> </w:t>
      </w:r>
      <w:r>
        <w:t xml:space="preserve">35 (4): 105–20.</w:t>
      </w:r>
      <w:r>
        <w:t xml:space="preserve"> </w:t>
      </w:r>
      <w:hyperlink ns5:id="rId212">
        <w:r>
          <w:rPr>
            <w:rStyle w:val="Hipervnculo"/>
          </w:rPr>
          <w:t xml:space="preserve">https://doi.org/10.1609/aimag.v35i4.2513</w:t>
        </w:r>
      </w:hyperlink>
      <w:r>
        <w:t xml:space="preserve">.</w:t>
      </w:r>
    </w:p>
    <w:bookmarkEnd w:id="213"/>
    <w:bookmarkStart w:id="215" w:name="ref-angelov2021"/>
    <w:p>
      <w:pPr>
        <w:pStyle w:val="Bibliography"/>
        <w:spacing w:line="360" w:lineRule="auto"/>
        <w:jc w:val="both"/>
      </w:pPr>
      <w:r>
        <w:t xml:space="preserve">Angelov, Soares, P. P. 2021.</w:t>
      </w:r>
      <w:r>
        <w:t xml:space="preserve"> </w:t>
      </w:r>
      <w:r>
        <w:t xml:space="preserve">“Explainable Artificial Intelligence: An Analytical Review.”</w:t>
      </w:r>
      <w:r>
        <w:t xml:space="preserve"> </w:t>
      </w:r>
      <w:r>
        <w:rPr>
          <w:i/>
          <w:iCs/>
        </w:rPr>
        <w:t xml:space="preserve">Wiley Interdisciplinary Reviews Data Mining and Knowledge Discovery</w:t>
      </w:r>
      <w:r>
        <w:t xml:space="preserve"> </w:t>
      </w:r>
      <w:r>
        <w:t xml:space="preserve">11 (5).</w:t>
      </w:r>
      <w:r>
        <w:t xml:space="preserve"> </w:t>
      </w:r>
      <w:hyperlink ns5:id="rId214">
        <w:r>
          <w:rPr>
            <w:rStyle w:val="Hipervnculo"/>
          </w:rPr>
          <w:t xml:space="preserve">https://doi.org/10.1002/widm.1424</w:t>
        </w:r>
      </w:hyperlink>
      <w:r>
        <w:t xml:space="preserve">.</w:t>
      </w:r>
    </w:p>
    <w:bookmarkEnd w:id="215"/>
    <w:bookmarkStart w:id="217" w:name="ref-apley2020"/>
    <w:p>
      <w:pPr>
        <w:pStyle w:val="Bibliography"/>
        <w:spacing w:line="360" w:lineRule="auto"/>
        <w:jc w:val="both"/>
      </w:pPr>
      <w:r>
        <w:t xml:space="preserve">Apley, &amp; Zhu, D. W. 2020.</w:t>
      </w:r>
      <w:r>
        <w:t xml:space="preserve"> </w:t>
      </w:r>
      <w:r>
        <w:t xml:space="preserve">“Visualizing the Effects of Predictor Variables in Black Box Supervised Learning Models.”</w:t>
      </w:r>
      <w:r>
        <w:t xml:space="preserve"> </w:t>
      </w:r>
      <w:r>
        <w:rPr>
          <w:i/>
          <w:iCs/>
        </w:rPr>
        <w:t xml:space="preserve">Journal of the Royal Statistical Society Series B (Statistical Methodology)</w:t>
      </w:r>
      <w:r>
        <w:t xml:space="preserve"> </w:t>
      </w:r>
      <w:r>
        <w:t xml:space="preserve">82 (4): 1059–86.</w:t>
      </w:r>
      <w:r>
        <w:t xml:space="preserve"> </w:t>
      </w:r>
      <w:hyperlink ns5:id="rId216">
        <w:r>
          <w:rPr>
            <w:rStyle w:val="Hipervnculo"/>
          </w:rPr>
          <w:t xml:space="preserve">https://doi.org/10.1111/rssb.12377</w:t>
        </w:r>
      </w:hyperlink>
      <w:r>
        <w:t xml:space="preserve">.</w:t>
      </w:r>
    </w:p>
    <w:bookmarkEnd w:id="217"/>
    <w:bookmarkStart w:id="219" w:name="ref-arrieta2019a"/>
    <w:p>
      <w:pPr>
        <w:pStyle w:val="Bibliography"/>
        <w:spacing w:line="360" w:lineRule="auto"/>
        <w:jc w:val="both"/>
      </w:pPr>
      <w:r>
        <w:t xml:space="preserve">Arrieta, Díaz-Rodríguez, A. B. 2019.</w:t>
      </w:r>
      <w:r>
        <w:t xml:space="preserve"> </w:t>
      </w:r>
      <w:r>
        <w:t xml:space="preserve">“Explainable Artificial Intelligence (XAI): Concepts, Taxonomies, Opportunities and Challenges Toward Responsible AI.”</w:t>
      </w:r>
      <w:r>
        <w:t xml:space="preserve"> </w:t>
      </w:r>
      <w:r>
        <w:rPr>
          <w:i/>
          <w:iCs/>
        </w:rPr>
        <w:t xml:space="preserve">Information Fusion</w:t>
      </w:r>
      <w:r>
        <w:t xml:space="preserve"> </w:t>
      </w:r>
      <w:r>
        <w:t xml:space="preserve">58: 82–115.</w:t>
      </w:r>
      <w:r>
        <w:t xml:space="preserve"> </w:t>
      </w:r>
      <w:hyperlink ns5:id="rId218">
        <w:r>
          <w:rPr>
            <w:rStyle w:val="Hipervnculo"/>
          </w:rPr>
          <w:t xml:space="preserve">https://doi.org/10.1016/j.inffus.2019.12.012</w:t>
        </w:r>
      </w:hyperlink>
      <w:r>
        <w:t xml:space="preserve">.</w:t>
      </w:r>
    </w:p>
    <w:bookmarkEnd w:id="219"/>
    <w:bookmarkStart w:id="221" w:name="ref-bacardit2024"/>
    <w:p>
      <w:pPr>
        <w:pStyle w:val="Bibliography"/>
        <w:spacing w:line="360" w:lineRule="auto"/>
        <w:jc w:val="both"/>
      </w:pPr>
      <w:r>
        <w:t xml:space="preserve">Bacardit, Jaume, Alexander Brownlee, Stefano Cagnoni, Giovanni Iacca, John McCall, and David Walker. 2024.</w:t>
      </w:r>
      <w:r>
        <w:t xml:space="preserve"> </w:t>
      </w:r>
      <w:r>
        <w:t xml:space="preserve">“Introduction to the Special Issue on Explainable AI in Evolutionary Computation.”</w:t>
      </w:r>
      <w:r>
        <w:t xml:space="preserve"> </w:t>
      </w:r>
      <w:r>
        <w:rPr>
          <w:i/>
          <w:iCs/>
        </w:rPr>
        <w:t xml:space="preserve">ACM Transactions on Evolutionary Learning and Optimization</w:t>
      </w:r>
      <w:r>
        <w:t xml:space="preserve"> </w:t>
      </w:r>
      <w:r>
        <w:t xml:space="preserve">4 (1): 1–2.</w:t>
      </w:r>
      <w:r>
        <w:t xml:space="preserve"> </w:t>
      </w:r>
      <w:hyperlink ns5:id="rId220">
        <w:r>
          <w:rPr>
            <w:rStyle w:val="Hipervnculo"/>
          </w:rPr>
          <w:t xml:space="preserve">https://doi.org/10.1145/3649144</w:t>
        </w:r>
      </w:hyperlink>
      <w:r>
        <w:t xml:space="preserve">.</w:t>
      </w:r>
    </w:p>
    <w:bookmarkEnd w:id="221"/>
    <w:bookmarkStart w:id="223" w:name="ref-bastings2020"/>
    <w:p>
      <w:pPr>
        <w:pStyle w:val="Bibliography"/>
        <w:spacing w:line="360" w:lineRule="auto"/>
        <w:jc w:val="both"/>
      </w:pPr>
      <w:r>
        <w:t xml:space="preserve">Bastings, Jasmijn, and Katja Filippova. 2020.</w:t>
      </w:r>
      <w:r>
        <w:t xml:space="preserve"> </w:t>
      </w:r>
      <w:r>
        <w:t xml:space="preserve">“The Elephant in the Interpretability Room: Why Use Attention as Explanation When We Have Saliency Methods?”</w:t>
      </w:r>
      <w:r>
        <w:t xml:space="preserve"> </w:t>
      </w:r>
      <w:r>
        <w:rPr>
          <w:i/>
          <w:iCs/>
        </w:rPr>
        <w:t xml:space="preserve">Proceedings of the Third BlackboxNLP Workshop on Analyzing and Interpreting Neural Networks for NLP</w:t>
      </w:r>
      <w:r>
        <w:t xml:space="preserve">, 149–55.</w:t>
      </w:r>
      <w:r>
        <w:t xml:space="preserve"> </w:t>
      </w:r>
      <w:hyperlink ns5:id="rId222">
        <w:r>
          <w:rPr>
            <w:rStyle w:val="Hipervnculo"/>
          </w:rPr>
          <w:t xml:space="preserve">https://doi.org/10.18653/v1/2020.blackboxnlp-1.14</w:t>
        </w:r>
      </w:hyperlink>
      <w:r>
        <w:t xml:space="preserve">.</w:t>
      </w:r>
    </w:p>
    <w:bookmarkEnd w:id="223"/>
    <w:bookmarkStart w:id="225" w:name="ref-belle2021"/>
    <w:p>
      <w:pPr>
        <w:pStyle w:val="Bibliography"/>
        <w:spacing w:line="360" w:lineRule="auto"/>
        <w:jc w:val="both"/>
      </w:pPr>
      <w:r>
        <w:t xml:space="preserve">Belle, &amp; Papantonis, V. 2021.</w:t>
      </w:r>
      <w:r>
        <w:t xml:space="preserve"> </w:t>
      </w:r>
      <w:r>
        <w:t xml:space="preserve">“Principles and Practice of Explainable Machine Learning.”</w:t>
      </w:r>
      <w:r>
        <w:t xml:space="preserve"> </w:t>
      </w:r>
      <w:r>
        <w:rPr>
          <w:i/>
          <w:iCs/>
        </w:rPr>
        <w:t xml:space="preserve">Frontiers in Big Data</w:t>
      </w:r>
      <w:r>
        <w:t xml:space="preserve"> </w:t>
      </w:r>
      <w:r>
        <w:t xml:space="preserve">4.</w:t>
      </w:r>
      <w:r>
        <w:t xml:space="preserve"> </w:t>
      </w:r>
      <w:hyperlink ns5:id="rId224">
        <w:r>
          <w:rPr>
            <w:rStyle w:val="Hipervnculo"/>
          </w:rPr>
          <w:t xml:space="preserve">https://doi.org/10.3389/fdata.2021.688969</w:t>
        </w:r>
      </w:hyperlink>
      <w:r>
        <w:t xml:space="preserve">.</w:t>
      </w:r>
    </w:p>
    <w:bookmarkEnd w:id="225"/>
    <w:bookmarkStart w:id="227" w:name="ref-bennetot2024"/>
    <w:p>
      <w:pPr>
        <w:pStyle w:val="Bibliography"/>
        <w:spacing w:line="360" w:lineRule="auto"/>
        <w:jc w:val="both"/>
      </w:pPr>
      <w:r>
        <w:t xml:space="preserve">Bennetot, Adrien, Ivan Donadello, Ayoub El Qadi El Haouari, et al. 2024.</w:t>
      </w:r>
      <w:r>
        <w:t xml:space="preserve"> </w:t>
      </w:r>
      <w:r>
        <w:t xml:space="preserve">“A Practical Tutorial on Explainable AI Techniques.”</w:t>
      </w:r>
      <w:r>
        <w:t xml:space="preserve"> </w:t>
      </w:r>
      <w:r>
        <w:rPr>
          <w:i/>
          <w:iCs/>
        </w:rPr>
        <w:t xml:space="preserve">ACM Computing Surveys</w:t>
      </w:r>
      <w:r>
        <w:t xml:space="preserve"> </w:t>
      </w:r>
      <w:r>
        <w:t xml:space="preserve">57 (2): 1–44.</w:t>
      </w:r>
      <w:r>
        <w:t xml:space="preserve"> </w:t>
      </w:r>
      <w:hyperlink ns5:id="rId226">
        <w:r>
          <w:rPr>
            <w:rStyle w:val="Hipervnculo"/>
          </w:rPr>
          <w:t xml:space="preserve">https://doi.org/10.1145/3670685</w:t>
        </w:r>
      </w:hyperlink>
      <w:r>
        <w:t xml:space="preserve">.</w:t>
      </w:r>
    </w:p>
    <w:bookmarkEnd w:id="227"/>
    <w:bookmarkStart w:id="229" w:name="ref-bhat2024"/>
    <w:p>
      <w:pPr>
        <w:pStyle w:val="Bibliography"/>
        <w:spacing w:line="360" w:lineRule="auto"/>
        <w:jc w:val="both"/>
      </w:pPr>
      <w:r>
        <w:t xml:space="preserve">Bhat, Maalvika, and Duri Long. 2024.</w:t>
      </w:r>
      <w:r>
        <w:t xml:space="preserve"> </w:t>
      </w:r>
      <w:r>
        <w:t xml:space="preserve">“Designing Interactive Explainable AI Tools for Algorithmic Literacy and Transparency.”</w:t>
      </w:r>
      <w:r>
        <w:t xml:space="preserve"> </w:t>
      </w:r>
      <w:r>
        <w:rPr>
          <w:i/>
          <w:iCs/>
        </w:rPr>
        <w:t xml:space="preserve">Designing Interactive Systems Conference</w:t>
      </w:r>
      <w:r>
        <w:t xml:space="preserve">, 939–57.</w:t>
      </w:r>
      <w:r>
        <w:t xml:space="preserve"> </w:t>
      </w:r>
      <w:hyperlink ns5:id="rId228">
        <w:r>
          <w:rPr>
            <w:rStyle w:val="Hipervnculo"/>
          </w:rPr>
          <w:t xml:space="preserve">https://doi.org/10.1145/3643834.3660722</w:t>
        </w:r>
      </w:hyperlink>
      <w:r>
        <w:t xml:space="preserve">.</w:t>
      </w:r>
    </w:p>
    <w:bookmarkEnd w:id="229"/>
    <w:bookmarkStart w:id="231" w:name="ref-bhattacharya2024"/>
    <w:p>
      <w:pPr>
        <w:pStyle w:val="Bibliography"/>
        <w:spacing w:line="360" w:lineRule="auto"/>
        <w:jc w:val="both"/>
      </w:pPr>
      <w:r>
        <w:t xml:space="preserve">Bhattacharya, A., and K. Verbert. 2024.</w:t>
      </w:r>
      <w:r>
        <w:t xml:space="preserve"> </w:t>
      </w:r>
      <w:r>
        <w:t xml:space="preserve">“How Good Is Your Explanation?: Towards a Standardised Evaluation Approach for Diverse XAI Methods on Multiple Dimensions of Explainability.”</w:t>
      </w:r>
      <w:r>
        <w:t xml:space="preserve"> </w:t>
      </w:r>
      <w:r>
        <w:rPr>
          <w:i/>
          <w:iCs/>
        </w:rPr>
        <w:t xml:space="preserve">Proceedings of the 32nd ACM Conference on User Modeling, Adaptation and Personalization (UMAP Adjunct ’24)</w:t>
      </w:r>
      <w:r>
        <w:t xml:space="preserve">.</w:t>
      </w:r>
      <w:r>
        <w:t xml:space="preserve"> </w:t>
      </w:r>
      <w:hyperlink ns5:id="rId230">
        <w:r>
          <w:rPr>
            <w:rStyle w:val="Hipervnculo"/>
          </w:rPr>
          <w:t xml:space="preserve">https://doi.org/10.1145/3631700.3664911</w:t>
        </w:r>
      </w:hyperlink>
      <w:r>
        <w:t xml:space="preserve">.</w:t>
      </w:r>
    </w:p>
    <w:bookmarkEnd w:id="231"/>
    <w:bookmarkStart w:id="233" w:name="ref-bobitan2024"/>
    <w:p>
      <w:pPr>
        <w:pStyle w:val="Bibliography"/>
        <w:spacing w:line="360" w:lineRule="auto"/>
        <w:jc w:val="both"/>
      </w:pPr>
      <w:r>
        <w:t xml:space="preserve">Bobitan, Nicolae, Diana Dumitrescu, Adriana Florina Popa, Daniela Nicoleta Sahlian, and Ioan Codrut Turlea. 2024.</w:t>
      </w:r>
      <w:r>
        <w:t xml:space="preserve"> </w:t>
      </w:r>
      <w:r>
        <w:t xml:space="preserve">“Shaping Tomorrow: Anticipating Skills Requirements Based on the Integration of Artificial Intelligence in Business Organizations—a Foresight Analysis Using the Scenario Method.”</w:t>
      </w:r>
      <w:r>
        <w:t xml:space="preserve"> </w:t>
      </w:r>
      <w:r>
        <w:rPr>
          <w:i/>
          <w:iCs/>
        </w:rPr>
        <w:t xml:space="preserve">Electronics</w:t>
      </w:r>
      <w:r>
        <w:t xml:space="preserve"> </w:t>
      </w:r>
      <w:r>
        <w:t xml:space="preserve">13 (11): 2198.</w:t>
      </w:r>
      <w:r>
        <w:t xml:space="preserve"> </w:t>
      </w:r>
      <w:hyperlink ns5:id="rId232">
        <w:r>
          <w:rPr>
            <w:rStyle w:val="Hipervnculo"/>
          </w:rPr>
          <w:t xml:space="preserve">https://doi.org/10.3390/electronics13112198</w:t>
        </w:r>
      </w:hyperlink>
      <w:r>
        <w:t xml:space="preserve">.</w:t>
      </w:r>
    </w:p>
    <w:bookmarkEnd w:id="233"/>
    <w:bookmarkStart w:id="235" w:name="ref-breiman2001"/>
    <w:p>
      <w:pPr>
        <w:pStyle w:val="Bibliography"/>
        <w:spacing w:line="360" w:lineRule="auto"/>
        <w:jc w:val="both"/>
      </w:pPr>
      <w:r>
        <w:t xml:space="preserve">Breiman, L. 2001.</w:t>
      </w:r>
      <w:r>
        <w:t xml:space="preserve"> </w:t>
      </w:r>
      <w:r>
        <w:t xml:space="preserve">“Random Forests.”</w:t>
      </w:r>
      <w:r>
        <w:t xml:space="preserve"> </w:t>
      </w:r>
      <w:r>
        <w:rPr>
          <w:i/>
          <w:iCs/>
        </w:rPr>
        <w:t xml:space="preserve">Machine Learning</w:t>
      </w:r>
      <w:r>
        <w:t xml:space="preserve"> </w:t>
      </w:r>
      <w:r>
        <w:t xml:space="preserve">45 (1): 5–32.</w:t>
      </w:r>
      <w:r>
        <w:t xml:space="preserve"> </w:t>
      </w:r>
      <w:hyperlink ns5:id="rId234">
        <w:r>
          <w:rPr>
            <w:rStyle w:val="Hipervnculo"/>
          </w:rPr>
          <w:t xml:space="preserve">https://doi.org/10.1023/a:1010933404324</w:t>
        </w:r>
      </w:hyperlink>
      <w:r>
        <w:t xml:space="preserve">.</w:t>
      </w:r>
    </w:p>
    <w:bookmarkEnd w:id="235"/>
    <w:bookmarkStart w:id="237" w:name="ref-brown2024"/>
    <w:p>
      <w:pPr>
        <w:pStyle w:val="Bibliography"/>
        <w:spacing w:line="360" w:lineRule="auto"/>
        <w:jc w:val="both"/>
      </w:pPr>
      <w:r>
        <w:t xml:space="preserve">Brown, Dene, and Glenn Hawe. 2024.</w:t>
      </w:r>
      <w:r>
        <w:t xml:space="preserve"> </w:t>
      </w:r>
      <w:r>
        <w:t xml:space="preserve">“Exploring Trade-Offs in Explainable AI.”</w:t>
      </w:r>
      <w:r>
        <w:t xml:space="preserve"> </w:t>
      </w:r>
      <w:r>
        <w:rPr>
          <w:i/>
          <w:iCs/>
        </w:rPr>
        <w:t xml:space="preserve">ACM SIGAda Ada Letters</w:t>
      </w:r>
      <w:r>
        <w:t xml:space="preserve"> </w:t>
      </w:r>
      <w:r>
        <w:t xml:space="preserve">43 (2): 36–42.</w:t>
      </w:r>
      <w:r>
        <w:t xml:space="preserve"> </w:t>
      </w:r>
      <w:hyperlink ns5:id="rId236">
        <w:r>
          <w:rPr>
            <w:rStyle w:val="Hipervnculo"/>
          </w:rPr>
          <w:t xml:space="preserve">https://doi.org/10.1145/3672359.3672363</w:t>
        </w:r>
      </w:hyperlink>
      <w:r>
        <w:t xml:space="preserve">.</w:t>
      </w:r>
    </w:p>
    <w:bookmarkEnd w:id="237"/>
    <w:bookmarkStart w:id="239" w:name="ref-burger2023"/>
    <w:p>
      <w:pPr>
        <w:pStyle w:val="Bibliography"/>
        <w:spacing w:line="360" w:lineRule="auto"/>
        <w:jc w:val="both"/>
      </w:pPr>
      <w:r>
        <w:t xml:space="preserve">Burger, Christopher, Lingwei Chen, and Thai Le. 2023.</w:t>
      </w:r>
      <w:r>
        <w:t xml:space="preserve"> </w:t>
      </w:r>
      <w:r>
        <w:t xml:space="preserve">“Are Your Explanations Reliable? Investigating the Stability of LIME in Explaining Text Classifiers by Marrying XAI and Adversarial Attack.”</w:t>
      </w:r>
      <w:r>
        <w:t xml:space="preserve"> </w:t>
      </w:r>
      <w:r>
        <w:rPr>
          <w:i/>
          <w:iCs/>
        </w:rPr>
        <w:t xml:space="preserve">Proceedings of the 2023 Conference on Empirical Methods in Natural Language Processing</w:t>
      </w:r>
      <w:r>
        <w:t xml:space="preserve">, 12931–44.</w:t>
      </w:r>
      <w:r>
        <w:t xml:space="preserve"> </w:t>
      </w:r>
      <w:hyperlink ns5:id="rId238">
        <w:r>
          <w:rPr>
            <w:rStyle w:val="Hipervnculo"/>
          </w:rPr>
          <w:t xml:space="preserve">https://doi.org/10.18653/v1/2023.emnlp-main.792</w:t>
        </w:r>
      </w:hyperlink>
      <w:r>
        <w:t xml:space="preserve">.</w:t>
      </w:r>
    </w:p>
    <w:bookmarkEnd w:id="239"/>
    <w:bookmarkStart w:id="241" w:name="ref-canha2025"/>
    <w:p>
      <w:pPr>
        <w:pStyle w:val="Bibliography"/>
        <w:spacing w:line="360" w:lineRule="auto"/>
        <w:jc w:val="both"/>
      </w:pPr>
      <w:r>
        <w:t xml:space="preserve">Canha, D., S. Kubler, K. Främling, and G. Fagherazzi. 2025.</w:t>
      </w:r>
      <w:r>
        <w:t xml:space="preserve"> </w:t>
      </w:r>
      <w:r>
        <w:t xml:space="preserve">“A Functionally-Grounded Benchmark Framework for XAI Methods: Insights and Foundations from a Systematic Literature Review.”</w:t>
      </w:r>
      <w:r>
        <w:t xml:space="preserve"> </w:t>
      </w:r>
      <w:r>
        <w:rPr>
          <w:i/>
          <w:iCs/>
        </w:rPr>
        <w:t xml:space="preserve">ACM Computing Surveys</w:t>
      </w:r>
      <w:r>
        <w:t xml:space="preserve"> </w:t>
      </w:r>
      <w:r>
        <w:t xml:space="preserve">57 (12).</w:t>
      </w:r>
      <w:r>
        <w:t xml:space="preserve"> </w:t>
      </w:r>
      <w:hyperlink ns5:id="rId240">
        <w:r>
          <w:rPr>
            <w:rStyle w:val="Hipervnculo"/>
          </w:rPr>
          <w:t xml:space="preserve">https://doi.org/10.1145/3737445</w:t>
        </w:r>
      </w:hyperlink>
      <w:r>
        <w:t xml:space="preserve">.</w:t>
      </w:r>
    </w:p>
    <w:bookmarkEnd w:id="241"/>
    <w:bookmarkStart w:id="243" w:name="ref-carvalho2019"/>
    <w:p>
      <w:pPr>
        <w:pStyle w:val="Bibliography"/>
        <w:spacing w:line="360" w:lineRule="auto"/>
        <w:jc w:val="both"/>
      </w:pPr>
      <w:r>
        <w:t xml:space="preserve">Carvalho, Diogo V., Eduardo M. Pereira, and Jaime S. Cardoso. 2019.</w:t>
      </w:r>
      <w:r>
        <w:t xml:space="preserve"> </w:t>
      </w:r>
      <w:r>
        <w:t xml:space="preserve">“Machine Learning Interpretability: A Survey on Methods and Metrics.”</w:t>
      </w:r>
      <w:r>
        <w:t xml:space="preserve"> </w:t>
      </w:r>
      <w:r>
        <w:rPr>
          <w:i/>
          <w:iCs/>
        </w:rPr>
        <w:t xml:space="preserve">Electronics</w:t>
      </w:r>
      <w:r>
        <w:t xml:space="preserve"> </w:t>
      </w:r>
      <w:r>
        <w:t xml:space="preserve">8 (8): 832.</w:t>
      </w:r>
      <w:r>
        <w:t xml:space="preserve"> </w:t>
      </w:r>
      <w:hyperlink ns5:id="rId242">
        <w:r>
          <w:rPr>
            <w:rStyle w:val="Hipervnculo"/>
          </w:rPr>
          <w:t xml:space="preserve">https://doi.org/10.3390/electronics8080832</w:t>
        </w:r>
      </w:hyperlink>
      <w:r>
        <w:t xml:space="preserve">.</w:t>
      </w:r>
    </w:p>
    <w:bookmarkEnd w:id="243"/>
    <w:bookmarkStart w:id="245" w:name="ref-choudhari2025"/>
    <w:p>
      <w:pPr>
        <w:pStyle w:val="Bibliography"/>
        <w:spacing w:line="360" w:lineRule="auto"/>
        <w:jc w:val="both"/>
      </w:pPr>
      <w:r>
        <w:t xml:space="preserve">Choudhari, Anaya, Tejal Ambhore, and Ninad Mehendale. 2025.</w:t>
      </w:r>
      <w:r>
        <w:t xml:space="preserve"> </w:t>
      </w:r>
      <w:r>
        <w:rPr>
          <w:i/>
          <w:iCs/>
        </w:rPr>
        <w:t xml:space="preserve">Explainable AI: Bridging the Gap Between Machine Intelligence and Human Understanding</w:t>
      </w:r>
      <w:r>
        <w:t xml:space="preserve">. Elsevier BV.</w:t>
      </w:r>
      <w:r>
        <w:t xml:space="preserve"> </w:t>
      </w:r>
      <w:hyperlink ns5:id="rId244">
        <w:r>
          <w:rPr>
            <w:rStyle w:val="Hipervnculo"/>
          </w:rPr>
          <w:t xml:space="preserve">https://doi.org/10.2139/ssrn.5040613</w:t>
        </w:r>
      </w:hyperlink>
      <w:r>
        <w:t xml:space="preserve">.</w:t>
      </w:r>
    </w:p>
    <w:bookmarkEnd w:id="245"/>
    <w:bookmarkStart w:id="247" w:name="ref-cohen1960"/>
    <w:p>
      <w:pPr>
        <w:pStyle w:val="Bibliography"/>
        <w:spacing w:line="360" w:lineRule="auto"/>
        <w:jc w:val="both"/>
      </w:pPr>
      <w:r>
        <w:t xml:space="preserve">Cohen, J. 1960.</w:t>
      </w:r>
      <w:r>
        <w:t xml:space="preserve"> </w:t>
      </w:r>
      <w:r>
        <w:t xml:space="preserve">“A Coefficient of Agreement for Nominal Scales.”</w:t>
      </w:r>
      <w:r>
        <w:t xml:space="preserve"> </w:t>
      </w:r>
      <w:r>
        <w:rPr>
          <w:i/>
          <w:iCs/>
        </w:rPr>
        <w:t xml:space="preserve">Educational and Psychological Measurement</w:t>
      </w:r>
      <w:r>
        <w:t xml:space="preserve"> </w:t>
      </w:r>
      <w:r>
        <w:t xml:space="preserve">20 (1): 37–46.</w:t>
      </w:r>
      <w:r>
        <w:t xml:space="preserve"> </w:t>
      </w:r>
      <w:hyperlink ns5:id="rId246">
        <w:r>
          <w:rPr>
            <w:rStyle w:val="Hipervnculo"/>
          </w:rPr>
          <w:t xml:space="preserve">https://doi.org/10.1177/001316446002000104</w:t>
        </w:r>
      </w:hyperlink>
      <w:r>
        <w:t xml:space="preserve">.</w:t>
      </w:r>
    </w:p>
    <w:bookmarkEnd w:id="247"/>
    <w:bookmarkStart w:id="249" w:name="ref-colley2023"/>
    <w:p>
      <w:pPr>
        <w:pStyle w:val="Bibliography"/>
        <w:spacing w:line="360" w:lineRule="auto"/>
        <w:jc w:val="both"/>
      </w:pPr>
      <w:r>
        <w:t xml:space="preserve">Colley, Ashley, Matilda Kalving, Jonna Häkkilä, and Kaisa Väänänen. 2023.</w:t>
      </w:r>
      <w:r>
        <w:t xml:space="preserve"> </w:t>
      </w:r>
      <w:r>
        <w:t xml:space="preserve">“Exploring Tangible Explainable AI (TangXAI): A User Study of Two XAI Approaches.”</w:t>
      </w:r>
      <w:r>
        <w:t xml:space="preserve"> </w:t>
      </w:r>
      <w:r>
        <w:rPr>
          <w:i/>
          <w:iCs/>
        </w:rPr>
        <w:t xml:space="preserve">Proceedings of the 35th Australian Computer-Human Interaction Conference</w:t>
      </w:r>
      <w:r>
        <w:t xml:space="preserve">, 679–83.</w:t>
      </w:r>
      <w:r>
        <w:t xml:space="preserve"> </w:t>
      </w:r>
      <w:hyperlink ns5:id="rId248">
        <w:r>
          <w:rPr>
            <w:rStyle w:val="Hipervnculo"/>
          </w:rPr>
          <w:t xml:space="preserve">https://doi.org/10.1145/3638380.3638426</w:t>
        </w:r>
      </w:hyperlink>
      <w:r>
        <w:t xml:space="preserve">.</w:t>
      </w:r>
    </w:p>
    <w:bookmarkEnd w:id="249"/>
    <w:bookmarkStart w:id="251" w:name="ref-cunha2024"/>
    <w:p>
      <w:pPr>
        <w:pStyle w:val="Bibliography"/>
        <w:spacing w:line="360" w:lineRule="auto"/>
        <w:jc w:val="both"/>
      </w:pPr>
      <w:r>
        <w:t xml:space="preserve">Cunha, Bianca Moreira, and Simone Diniz Junqueira Barbosa. 2024.</w:t>
      </w:r>
      <w:r>
        <w:t xml:space="preserve"> </w:t>
      </w:r>
      <w:r>
        <w:t xml:space="preserve">“Evaluating the Effectiveness of Visual Representations of SHAP Values Toward Explainable Artificial Intelligence.”</w:t>
      </w:r>
      <w:r>
        <w:t xml:space="preserve"> </w:t>
      </w:r>
      <w:r>
        <w:rPr>
          <w:i/>
          <w:iCs/>
        </w:rPr>
        <w:t xml:space="preserve">Proceedings of the XXIII Brazilian Symposium on Human Factors in Computing Systems</w:t>
      </w:r>
      <w:r>
        <w:t xml:space="preserve">, 1–11.</w:t>
      </w:r>
      <w:r>
        <w:t xml:space="preserve"> </w:t>
      </w:r>
      <w:hyperlink ns5:id="rId250">
        <w:r>
          <w:rPr>
            <w:rStyle w:val="Hipervnculo"/>
          </w:rPr>
          <w:t xml:space="preserve">https://doi.org/10.1145/3702038.3702093</w:t>
        </w:r>
      </w:hyperlink>
      <w:r>
        <w:t xml:space="preserve">.</w:t>
      </w:r>
    </w:p>
    <w:bookmarkEnd w:id="251"/>
    <w:bookmarkStart w:id="253" w:name="ref-demsar2006"/>
    <w:p>
      <w:pPr>
        <w:pStyle w:val="Bibliography"/>
        <w:spacing w:line="360" w:lineRule="auto"/>
        <w:jc w:val="both"/>
      </w:pPr>
      <w:r>
        <w:t xml:space="preserve">Demšar, Janez. 2006.</w:t>
      </w:r>
      <w:r>
        <w:t xml:space="preserve"> </w:t>
      </w:r>
      <w:r>
        <w:t xml:space="preserve">“Statistical Comparisons of Classifiers over Multiple Data Sets.”</w:t>
      </w:r>
      <w:r>
        <w:t xml:space="preserve"> </w:t>
      </w:r>
      <w:r>
        <w:rPr>
          <w:i/>
          <w:iCs/>
        </w:rPr>
        <w:t xml:space="preserve">Journal of Machine Learning Research</w:t>
      </w:r>
      <w:r>
        <w:t xml:space="preserve"> </w:t>
      </w:r>
      <w:r>
        <w:t xml:space="preserve">7: 1–30.</w:t>
      </w:r>
      <w:r>
        <w:t xml:space="preserve"> </w:t>
      </w:r>
      <w:hyperlink ns5:id="rId252">
        <w:r>
          <w:rPr>
            <w:rStyle w:val="Hipervnculo"/>
          </w:rPr>
          <w:t xml:space="preserve">https://www.jmlr.org/papers/v7/demsar06a.html</w:t>
        </w:r>
      </w:hyperlink>
      <w:r>
        <w:t xml:space="preserve">.</w:t>
      </w:r>
    </w:p>
    <w:bookmarkEnd w:id="253"/>
    <w:bookmarkStart w:id="255" w:name="ref-doshi-velez2017"/>
    <w:p>
      <w:pPr>
        <w:pStyle w:val="Bibliography"/>
        <w:spacing w:line="360" w:lineRule="auto"/>
        <w:jc w:val="both"/>
      </w:pPr>
      <w:r>
        <w:t xml:space="preserve">Doshi-Velez, &amp; Kim, F. 2017.</w:t>
      </w:r>
      <w:r>
        <w:t xml:space="preserve"> </w:t>
      </w:r>
      <w:r>
        <w:t xml:space="preserve">“Towards a Rigorous Science of Interpretable Machine Learning.”</w:t>
      </w:r>
      <w:r>
        <w:t xml:space="preserve"> </w:t>
      </w:r>
      <w:r>
        <w:rPr>
          <w:i/>
          <w:iCs/>
        </w:rPr>
        <w:t xml:space="preserve">arXiv (Cornell University)</w:t>
      </w:r>
      <w:r>
        <w:t xml:space="preserve">, ahead of print.</w:t>
      </w:r>
      <w:r>
        <w:t xml:space="preserve"> </w:t>
      </w:r>
      <w:hyperlink ns5:id="rId254">
        <w:r>
          <w:rPr>
            <w:rStyle w:val="Hipervnculo"/>
          </w:rPr>
          <w:t xml:space="preserve">https://doi.org/10.48550/arxiv.1702.08608</w:t>
        </w:r>
      </w:hyperlink>
      <w:r>
        <w:t xml:space="preserve">.</w:t>
      </w:r>
    </w:p>
    <w:bookmarkEnd w:id="255"/>
    <w:bookmarkStart w:id="257" w:name="ref-dua2019uci"/>
    <w:p>
      <w:pPr>
        <w:pStyle w:val="Bibliography"/>
        <w:spacing w:line="360" w:lineRule="auto"/>
        <w:jc w:val="both"/>
      </w:pPr>
      <w:r>
        <w:t xml:space="preserve">Dua, Dheeru, and Casey Graff. 2019.</w:t>
      </w:r>
      <w:r>
        <w:t xml:space="preserve"> </w:t>
      </w:r>
      <w:r>
        <w:rPr>
          <w:i/>
          <w:iCs/>
        </w:rPr>
        <w:t xml:space="preserve">UCI</w:t>
      </w:r>
      <w:r>
        <w:rPr>
          <w:i/>
          <w:iCs/>
        </w:rPr>
        <w:t xml:space="preserve"> </w:t>
      </w:r>
      <w:r>
        <w:rPr>
          <w:i/>
          <w:iCs/>
        </w:rPr>
        <w:t xml:space="preserve">Machine Learning Repository</w:t>
      </w:r>
      <w:r>
        <w:t xml:space="preserve">. University of California, Irvine, School of Information and Computer Sciences.</w:t>
      </w:r>
      <w:r>
        <w:t xml:space="preserve"> </w:t>
      </w:r>
      <w:hyperlink ns5:id="rId256">
        <w:r>
          <w:rPr>
            <w:rStyle w:val="Hipervnculo"/>
          </w:rPr>
          <w:t xml:space="preserve">http://archive.ics.uci.edu/ml</w:t>
        </w:r>
      </w:hyperlink>
      <w:r>
        <w:t xml:space="preserve">.</w:t>
      </w:r>
    </w:p>
    <w:bookmarkEnd w:id="257"/>
    <w:bookmarkStart w:id="259" w:name="ref-dwivedi2022"/>
    <w:p>
      <w:pPr>
        <w:pStyle w:val="Bibliography"/>
        <w:spacing w:line="360" w:lineRule="auto"/>
        <w:jc w:val="both"/>
      </w:pPr>
      <w:r>
        <w:t xml:space="preserve">Dwivedi, Dave, R. 2022.</w:t>
      </w:r>
      <w:r>
        <w:t xml:space="preserve"> </w:t>
      </w:r>
      <w:r>
        <w:t xml:space="preserve">“Explainable AI (XAI): Core Ideas, Techniques, and Solutions.”</w:t>
      </w:r>
      <w:r>
        <w:t xml:space="preserve"> </w:t>
      </w:r>
      <w:r>
        <w:rPr>
          <w:i/>
          <w:iCs/>
        </w:rPr>
        <w:t xml:space="preserve">ACM Computing Surveys</w:t>
      </w:r>
      <w:r>
        <w:t xml:space="preserve"> </w:t>
      </w:r>
      <w:r>
        <w:t xml:space="preserve">55 (9): 1–33.</w:t>
      </w:r>
      <w:r>
        <w:t xml:space="preserve"> </w:t>
      </w:r>
      <w:hyperlink ns5:id="rId258">
        <w:r>
          <w:rPr>
            <w:rStyle w:val="Hipervnculo"/>
          </w:rPr>
          <w:t xml:space="preserve">https://doi.org/10.1145/3561048</w:t>
        </w:r>
      </w:hyperlink>
      <w:r>
        <w:t xml:space="preserve">.</w:t>
      </w:r>
    </w:p>
    <w:bookmarkEnd w:id="259"/>
    <w:bookmarkStart w:id="261" w:name="ref-ehsan2024"/>
    <w:p>
      <w:pPr>
        <w:pStyle w:val="Bibliography"/>
        <w:spacing w:line="360" w:lineRule="auto"/>
        <w:jc w:val="both"/>
      </w:pPr>
      <w:r>
        <w:t xml:space="preserve">Ehsan, Upol, and Mark Riedl. 2024.</w:t>
      </w:r>
      <w:r>
        <w:t xml:space="preserve"> </w:t>
      </w:r>
      <w:r>
        <w:t xml:space="preserve">“Explainable AI Reloaded: Challenging the XAI Status Quo in the Era of Large Language Models.”</w:t>
      </w:r>
      <w:r>
        <w:t xml:space="preserve"> </w:t>
      </w:r>
      <w:r>
        <w:rPr>
          <w:i/>
          <w:iCs/>
        </w:rPr>
        <w:t xml:space="preserve">Proceedings of the Halfway to the Future Symposium</w:t>
      </w:r>
      <w:r>
        <w:t xml:space="preserve">, 1–8.</w:t>
      </w:r>
      <w:r>
        <w:t xml:space="preserve"> </w:t>
      </w:r>
      <w:hyperlink ns5:id="rId260">
        <w:r>
          <w:rPr>
            <w:rStyle w:val="Hipervnculo"/>
          </w:rPr>
          <w:t xml:space="preserve">https://doi.org/10.1145/3686169.3686185</w:t>
        </w:r>
      </w:hyperlink>
      <w:r>
        <w:t xml:space="preserve">.</w:t>
      </w:r>
    </w:p>
    <w:bookmarkEnd w:id="261"/>
    <w:bookmarkStart w:id="263" w:name="ref-ehsan2023"/>
    <w:p>
      <w:pPr>
        <w:pStyle w:val="Bibliography"/>
        <w:spacing w:line="360" w:lineRule="auto"/>
        <w:jc w:val="both"/>
      </w:pPr>
      <w:r>
        <w:t xml:space="preserve">Ehsan, Upol, Philipp Wintersberger, Elizabeth A Watkins, et al. 2023.</w:t>
      </w:r>
      <w:r>
        <w:t xml:space="preserve"> </w:t>
      </w:r>
      <w:r>
        <w:t xml:space="preserve">“Human-Centered Explainable AI (HCXAI): Coming of Age.”</w:t>
      </w:r>
      <w:r>
        <w:t xml:space="preserve"> </w:t>
      </w:r>
      <w:r>
        <w:rPr>
          <w:i/>
          <w:iCs/>
        </w:rPr>
        <w:t xml:space="preserve">Extended Abstracts of the 2023 CHI Conference on Human Factors in Computing Systems</w:t>
      </w:r>
      <w:r>
        <w:t xml:space="preserve">, 1–7.</w:t>
      </w:r>
      <w:r>
        <w:t xml:space="preserve"> </w:t>
      </w:r>
      <w:hyperlink ns5:id="rId262">
        <w:r>
          <w:rPr>
            <w:rStyle w:val="Hipervnculo"/>
          </w:rPr>
          <w:t xml:space="preserve">https://doi.org/10.1145/3544549.3573832</w:t>
        </w:r>
      </w:hyperlink>
      <w:r>
        <w:t xml:space="preserve">.</w:t>
      </w:r>
    </w:p>
    <w:bookmarkEnd w:id="263"/>
    <w:bookmarkStart w:id="265" w:name="ref-fan2026"/>
    <w:p>
      <w:pPr>
        <w:pStyle w:val="Bibliography"/>
        <w:spacing w:line="360" w:lineRule="auto"/>
        <w:jc w:val="both"/>
      </w:pPr>
      <w:r>
        <w:t xml:space="preserve">Fan, Siyuan, Derui Zhu, and Zhe Yu. 2026.</w:t>
      </w:r>
      <w:r>
        <w:t xml:space="preserve"> </w:t>
      </w:r>
      <w:r>
        <w:rPr>
          <w:i/>
          <w:iCs/>
        </w:rPr>
        <w:t xml:space="preserve">A Systematic Literature Review of Explainability-Based Model Editing</w:t>
      </w:r>
      <w:r>
        <w:t xml:space="preserve">. Elsevier BV.</w:t>
      </w:r>
      <w:r>
        <w:t xml:space="preserve"> </w:t>
      </w:r>
      <w:hyperlink ns5:id="rId264">
        <w:r>
          <w:rPr>
            <w:rStyle w:val="Hipervnculo"/>
          </w:rPr>
          <w:t xml:space="preserve">https://doi.org/10.2139/ssrn.6847479</w:t>
        </w:r>
      </w:hyperlink>
      <w:r>
        <w:t xml:space="preserve">.</w:t>
      </w:r>
    </w:p>
    <w:bookmarkEnd w:id="265"/>
    <w:bookmarkStart w:id="267" w:name="ref-feldkamp2023"/>
    <w:p>
      <w:pPr>
        <w:pStyle w:val="Bibliography"/>
        <w:spacing w:line="360" w:lineRule="auto"/>
        <w:jc w:val="both"/>
      </w:pPr>
      <w:r>
        <w:t xml:space="preserve">Feldkamp, Niclas, and Steffen Strassburger. 2023.</w:t>
      </w:r>
      <w:r>
        <w:t xml:space="preserve"> </w:t>
      </w:r>
      <w:r>
        <w:t xml:space="preserve">“From Explainable AI to Explainable Simulation: Using Machine Learning and XAI to Understand System Robustness.”</w:t>
      </w:r>
      <w:r>
        <w:t xml:space="preserve"> </w:t>
      </w:r>
      <w:r>
        <w:rPr>
          <w:i/>
          <w:iCs/>
        </w:rPr>
        <w:t xml:space="preserve">ACM SIGSIM Conference on Principles of Advanced Discrete Simulation</w:t>
      </w:r>
      <w:r>
        <w:t xml:space="preserve">, 96–106.</w:t>
      </w:r>
      <w:r>
        <w:t xml:space="preserve"> </w:t>
      </w:r>
      <w:hyperlink ns5:id="rId266">
        <w:r>
          <w:rPr>
            <w:rStyle w:val="Hipervnculo"/>
          </w:rPr>
          <w:t xml:space="preserve">https://doi.org/10.1145/3573900.3591114</w:t>
        </w:r>
      </w:hyperlink>
      <w:r>
        <w:t xml:space="preserve">.</w:t>
      </w:r>
    </w:p>
    <w:bookmarkEnd w:id="267"/>
    <w:bookmarkStart w:id="268" w:name="ref-fisher2019"/>
    <w:p>
      <w:pPr>
        <w:pStyle w:val="Bibliography"/>
        <w:spacing w:line="360" w:lineRule="auto"/>
        <w:jc w:val="both"/>
      </w:pPr>
      <w:r>
        <w:t xml:space="preserve">Fisher, Aaron, Cynthia Rudin, and Francesca Dominici. 2019.</w:t>
      </w:r>
      <w:r>
        <w:t xml:space="preserve"> </w:t>
      </w:r>
      <w:r>
        <w:t xml:space="preserve">“All Models Are Wrong, but Many Are Useful: Learning a Variable’s Importance by Studying an Entire Class of Prediction Models Simultaneously.”</w:t>
      </w:r>
      <w:r>
        <w:t xml:space="preserve"> </w:t>
      </w:r>
      <w:r>
        <w:rPr>
          <w:i/>
          <w:iCs/>
        </w:rPr>
        <w:t xml:space="preserve">Journal of Machine Learning Research</w:t>
      </w:r>
      <w:r>
        <w:t xml:space="preserve">.</w:t>
      </w:r>
    </w:p>
    <w:bookmarkEnd w:id="268"/>
    <w:bookmarkStart w:id="270" w:name="ref-floridi2018"/>
    <w:p>
      <w:pPr>
        <w:pStyle w:val="Bibliography"/>
        <w:spacing w:line="360" w:lineRule="auto"/>
        <w:jc w:val="both"/>
      </w:pPr>
      <w:r>
        <w:t xml:space="preserve">Floridi, Cowls, L. 2018.</w:t>
      </w:r>
      <w:r>
        <w:t xml:space="preserve"> </w:t>
      </w:r>
      <w:r>
        <w:t xml:space="preserve">“AI4People—an Ethical Framework for a Good AI Society: Opportunities, Risks, Principles, and Recommendations.”</w:t>
      </w:r>
      <w:r>
        <w:t xml:space="preserve"> </w:t>
      </w:r>
      <w:r>
        <w:rPr>
          <w:i/>
          <w:iCs/>
        </w:rPr>
        <w:t xml:space="preserve">Minds and Machines</w:t>
      </w:r>
      <w:r>
        <w:t xml:space="preserve"> </w:t>
      </w:r>
      <w:r>
        <w:t xml:space="preserve">28 (4): 689–707.</w:t>
      </w:r>
      <w:r>
        <w:t xml:space="preserve"> </w:t>
      </w:r>
      <w:hyperlink ns5:id="rId269">
        <w:r>
          <w:rPr>
            <w:rStyle w:val="Hipervnculo"/>
          </w:rPr>
          <w:t xml:space="preserve">https://doi.org/10.1007/s11023-018-9482-5</w:t>
        </w:r>
      </w:hyperlink>
      <w:r>
        <w:t xml:space="preserve">.</w:t>
      </w:r>
    </w:p>
    <w:bookmarkEnd w:id="270"/>
    <w:bookmarkStart w:id="272" w:name="ref-friedman2008"/>
    <w:p>
      <w:pPr>
        <w:pStyle w:val="Bibliography"/>
        <w:spacing w:line="360" w:lineRule="auto"/>
        <w:jc w:val="both"/>
      </w:pPr>
      <w:r>
        <w:t xml:space="preserve">Friedman, &amp; Popescu, J. H. 2008.</w:t>
      </w:r>
      <w:r>
        <w:t xml:space="preserve"> </w:t>
      </w:r>
      <w:r>
        <w:t xml:space="preserve">“Predictive Learning via Rule Ensembles.”</w:t>
      </w:r>
      <w:r>
        <w:t xml:space="preserve"> </w:t>
      </w:r>
      <w:r>
        <w:rPr>
          <w:i/>
          <w:iCs/>
        </w:rPr>
        <w:t xml:space="preserve">The Annals of Applied Statistics</w:t>
      </w:r>
      <w:r>
        <w:t xml:space="preserve"> </w:t>
      </w:r>
      <w:r>
        <w:t xml:space="preserve">2 (3).</w:t>
      </w:r>
      <w:r>
        <w:t xml:space="preserve"> </w:t>
      </w:r>
      <w:hyperlink ns5:id="rId271">
        <w:r>
          <w:rPr>
            <w:rStyle w:val="Hipervnculo"/>
          </w:rPr>
          <w:t xml:space="preserve">https://doi.org/10.1214/07-aoas148</w:t>
        </w:r>
      </w:hyperlink>
      <w:r>
        <w:t xml:space="preserve">.</w:t>
      </w:r>
    </w:p>
    <w:bookmarkEnd w:id="272"/>
    <w:bookmarkStart w:id="274" w:name="ref-friedman2001"/>
    <w:p>
      <w:pPr>
        <w:pStyle w:val="Bibliography"/>
        <w:spacing w:line="360" w:lineRule="auto"/>
        <w:jc w:val="both"/>
      </w:pPr>
      <w:r>
        <w:t xml:space="preserve">Friedman, J. H. 2001.</w:t>
      </w:r>
      <w:r>
        <w:t xml:space="preserve"> </w:t>
      </w:r>
      <w:r>
        <w:t xml:space="preserve">“Greedy Function Approximation: A Gradient Boosting Machine.”</w:t>
      </w:r>
      <w:r>
        <w:t xml:space="preserve"> </w:t>
      </w:r>
      <w:r>
        <w:rPr>
          <w:i/>
          <w:iCs/>
        </w:rPr>
        <w:t xml:space="preserve">The Annals of Statistics</w:t>
      </w:r>
      <w:r>
        <w:t xml:space="preserve"> </w:t>
      </w:r>
      <w:r>
        <w:t xml:space="preserve">29 (5).</w:t>
      </w:r>
      <w:r>
        <w:t xml:space="preserve"> </w:t>
      </w:r>
      <w:hyperlink ns5:id="rId273">
        <w:r>
          <w:rPr>
            <w:rStyle w:val="Hipervnculo"/>
          </w:rPr>
          <w:t xml:space="preserve">https://doi.org/10.1214/aos/1013203451</w:t>
        </w:r>
      </w:hyperlink>
      <w:r>
        <w:t xml:space="preserve">.</w:t>
      </w:r>
    </w:p>
    <w:bookmarkEnd w:id="274"/>
    <w:bookmarkStart w:id="276" w:name="ref-friedman1937"/>
    <w:p>
      <w:pPr>
        <w:pStyle w:val="Bibliography"/>
        <w:spacing w:line="360" w:lineRule="auto"/>
        <w:jc w:val="both"/>
      </w:pPr>
      <w:r>
        <w:t xml:space="preserve">Friedman, Milton. 1937.</w:t>
      </w:r>
      <w:r>
        <w:t xml:space="preserve"> </w:t>
      </w:r>
      <w:r>
        <w:t xml:space="preserve">“The Use of Ranks to Avoid the Assumption of Normality Implicit in the Analysis of Variance.”</w:t>
      </w:r>
      <w:r>
        <w:t xml:space="preserve"> </w:t>
      </w:r>
      <w:r>
        <w:rPr>
          <w:i/>
          <w:iCs/>
        </w:rPr>
        <w:t xml:space="preserve">Journal of the American Statistical Association</w:t>
      </w:r>
      <w:r>
        <w:t xml:space="preserve"> </w:t>
      </w:r>
      <w:r>
        <w:t xml:space="preserve">32 (200): 675–701.</w:t>
      </w:r>
      <w:r>
        <w:t xml:space="preserve"> </w:t>
      </w:r>
      <w:hyperlink ns5:id="rId275">
        <w:r>
          <w:rPr>
            <w:rStyle w:val="Hipervnculo"/>
          </w:rPr>
          <w:t xml:space="preserve">https://doi.org/10.1080/01621459.1937.10503522</w:t>
        </w:r>
      </w:hyperlink>
      <w:r>
        <w:t xml:space="preserve">.</w:t>
      </w:r>
    </w:p>
    <w:bookmarkEnd w:id="276"/>
    <w:bookmarkStart w:id="278" w:name="ref-gafur2024"/>
    <w:p>
      <w:pPr>
        <w:pStyle w:val="Bibliography"/>
        <w:spacing w:line="360" w:lineRule="auto"/>
        <w:jc w:val="both"/>
      </w:pPr>
      <w:r>
        <w:t xml:space="preserve">Gafur, Jamil, Steve Goddard, and William Lai. 2024.</w:t>
      </w:r>
      <w:r>
        <w:t xml:space="preserve"> </w:t>
      </w:r>
      <w:r>
        <w:t xml:space="preserve">“Adversarial Robustness and Explainability of Machine Learning Models.”</w:t>
      </w:r>
      <w:r>
        <w:t xml:space="preserve"> </w:t>
      </w:r>
      <w:r>
        <w:rPr>
          <w:i/>
          <w:iCs/>
        </w:rPr>
        <w:t xml:space="preserve">Practice and Experience in Advanced Research Computing 2024: Human Powered Computing</w:t>
      </w:r>
      <w:r>
        <w:t xml:space="preserve">, 1–7.</w:t>
      </w:r>
      <w:r>
        <w:t xml:space="preserve"> </w:t>
      </w:r>
      <w:hyperlink ns5:id="rId277">
        <w:r>
          <w:rPr>
            <w:rStyle w:val="Hipervnculo"/>
          </w:rPr>
          <w:t xml:space="preserve">https://doi.org/10.1145/3626203.3670522</w:t>
        </w:r>
      </w:hyperlink>
      <w:r>
        <w:t xml:space="preserve">.</w:t>
      </w:r>
    </w:p>
    <w:bookmarkEnd w:id="278"/>
    <w:bookmarkStart w:id="280" w:name="ref-gilpin2018"/>
    <w:p>
      <w:pPr>
        <w:pStyle w:val="Bibliography"/>
        <w:spacing w:line="360" w:lineRule="auto"/>
        <w:jc w:val="both"/>
      </w:pPr>
      <w:r>
        <w:t xml:space="preserve">Gilpin, Bau, L. H. 2018.</w:t>
      </w:r>
      <w:r>
        <w:t xml:space="preserve"> </w:t>
      </w:r>
      <w:r>
        <w:t xml:space="preserve">“Explaining Explanations: An Overview of Interpretability of Machine Learning.”</w:t>
      </w:r>
      <w:r>
        <w:t xml:space="preserve"> </w:t>
      </w:r>
      <w:r>
        <w:rPr>
          <w:i/>
          <w:iCs/>
        </w:rPr>
        <w:t xml:space="preserve">2022 IEEE 9th International Conference on Data Science and Advanced Analytics (DSAA), 80–89</w:t>
      </w:r>
      <w:r>
        <w:t xml:space="preserve">, ahead of print.</w:t>
      </w:r>
      <w:r>
        <w:t xml:space="preserve"> </w:t>
      </w:r>
      <w:hyperlink ns5:id="rId279">
        <w:r>
          <w:rPr>
            <w:rStyle w:val="Hipervnculo"/>
          </w:rPr>
          <w:t xml:space="preserve">https://doi.org/10.1109/dsaa.2018.00018</w:t>
        </w:r>
      </w:hyperlink>
      <w:r>
        <w:t xml:space="preserve">.</w:t>
      </w:r>
    </w:p>
    <w:bookmarkEnd w:id="280"/>
    <w:bookmarkStart w:id="282" w:name="ref-goldstein2014"/>
    <w:p>
      <w:pPr>
        <w:pStyle w:val="Bibliography"/>
        <w:spacing w:line="360" w:lineRule="auto"/>
        <w:jc w:val="both"/>
      </w:pPr>
      <w:r>
        <w:t xml:space="preserve">Goldstein, Kapelner, A. 2014.</w:t>
      </w:r>
      <w:r>
        <w:t xml:space="preserve"> </w:t>
      </w:r>
      <w:r>
        <w:t xml:space="preserve">“Peeking Inside the Black Box: Visualizing Statistical Learning with Plots of Individual Conditional Expectation.”</w:t>
      </w:r>
      <w:r>
        <w:t xml:space="preserve"> </w:t>
      </w:r>
      <w:r>
        <w:rPr>
          <w:i/>
          <w:iCs/>
        </w:rPr>
        <w:t xml:space="preserve">Journal of Computational and Graphical Statistics</w:t>
      </w:r>
      <w:r>
        <w:t xml:space="preserve"> </w:t>
      </w:r>
      <w:r>
        <w:t xml:space="preserve">24 (1): 44–65.</w:t>
      </w:r>
      <w:r>
        <w:t xml:space="preserve"> </w:t>
      </w:r>
      <w:hyperlink ns5:id="rId281">
        <w:r>
          <w:rPr>
            <w:rStyle w:val="Hipervnculo"/>
          </w:rPr>
          <w:t xml:space="preserve">https://doi.org/10.1080/10618600.2014.907095</w:t>
        </w:r>
      </w:hyperlink>
      <w:r>
        <w:t xml:space="preserve">.</w:t>
      </w:r>
    </w:p>
    <w:bookmarkEnd w:id="282"/>
    <w:bookmarkStart w:id="284" w:name="ref-gomez2024"/>
    <w:p>
      <w:pPr>
        <w:pStyle w:val="Bibliography"/>
        <w:spacing w:line="360" w:lineRule="auto"/>
        <w:jc w:val="both"/>
      </w:pPr>
      <w:r>
        <w:t xml:space="preserve">Gomez, Manuel J., Álvaro Armada Sánchez, Mariano Albaladejo-González, Félix J. García Clemente, and José A. Ruipérez-Valiente. 2024.</w:t>
      </w:r>
      <w:r>
        <w:t xml:space="preserve"> </w:t>
      </w:r>
      <w:r>
        <w:t xml:space="preserve">“Utilizing Explainable AI to Enhance Real-Time Student Performance Prediction in Educational Serious Games.”</w:t>
      </w:r>
      <w:r>
        <w:t xml:space="preserve"> </w:t>
      </w:r>
      <w:r>
        <w:rPr>
          <w:i/>
          <w:iCs/>
        </w:rPr>
        <w:t xml:space="preserve">Proceedings of the 39th ACM/SIGAPP Symposium on Applied Computing</w:t>
      </w:r>
      <w:r>
        <w:t xml:space="preserve">, 93–94.</w:t>
      </w:r>
      <w:r>
        <w:t xml:space="preserve"> </w:t>
      </w:r>
      <w:hyperlink ns5:id="rId283">
        <w:r>
          <w:rPr>
            <w:rStyle w:val="Hipervnculo"/>
          </w:rPr>
          <w:t xml:space="preserve">https://doi.org/10.1145/3605098.3636109</w:t>
        </w:r>
      </w:hyperlink>
      <w:r>
        <w:t xml:space="preserve">.</w:t>
      </w:r>
    </w:p>
    <w:bookmarkEnd w:id="284"/>
    <w:bookmarkStart w:id="286" w:name="ref-guidotti2018"/>
    <w:p>
      <w:pPr>
        <w:pStyle w:val="Bibliography"/>
        <w:spacing w:line="360" w:lineRule="auto"/>
        <w:jc w:val="both"/>
      </w:pPr>
      <w:r>
        <w:t xml:space="preserve">Guidotti, Riccardo, Anna Monreale, Salvatore Ruggieri, Franco Turini, Fosca Giannotti, and Dino Pedreschi. 2018.</w:t>
      </w:r>
      <w:r>
        <w:t xml:space="preserve"> </w:t>
      </w:r>
      <w:r>
        <w:t xml:space="preserve">“A Survey of Methods for Explaining Black Box Models.”</w:t>
      </w:r>
      <w:r>
        <w:t xml:space="preserve"> </w:t>
      </w:r>
      <w:r>
        <w:rPr>
          <w:i/>
          <w:iCs/>
        </w:rPr>
        <w:t xml:space="preserve">ACM Computing Surveys</w:t>
      </w:r>
      <w:r>
        <w:t xml:space="preserve"> </w:t>
      </w:r>
      <w:r>
        <w:t xml:space="preserve">51 (5): 1–42.</w:t>
      </w:r>
      <w:r>
        <w:t xml:space="preserve"> </w:t>
      </w:r>
      <w:hyperlink ns5:id="rId285">
        <w:r>
          <w:rPr>
            <w:rStyle w:val="Hipervnculo"/>
          </w:rPr>
          <w:t xml:space="preserve">https://doi.org/10.1145/3236009</w:t>
        </w:r>
      </w:hyperlink>
      <w:r>
        <w:t xml:space="preserve">.</w:t>
      </w:r>
    </w:p>
    <w:bookmarkEnd w:id="286"/>
    <w:bookmarkStart w:id="288" w:name="ref-hase2020"/>
    <w:p>
      <w:pPr>
        <w:pStyle w:val="Bibliography"/>
        <w:spacing w:line="360" w:lineRule="auto"/>
        <w:jc w:val="both"/>
      </w:pPr>
      <w:r>
        <w:t xml:space="preserve">Hase, Peter, and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ns5:id="rId287">
        <w:r>
          <w:rPr>
            <w:rStyle w:val="Hipervnculo"/>
          </w:rPr>
          <w:t xml:space="preserve">https://doi.org/10.18653/v1/2020.acl-main.491</w:t>
        </w:r>
      </w:hyperlink>
      <w:r>
        <w:t xml:space="preserve">.</w:t>
      </w:r>
    </w:p>
    <w:bookmarkEnd w:id="288"/>
    <w:bookmarkStart w:id="290" w:name="ref-hassija2023"/>
    <w:p>
      <w:pPr>
        <w:pStyle w:val="Bibliography"/>
        <w:spacing w:line="360" w:lineRule="auto"/>
        <w:jc w:val="both"/>
      </w:pPr>
      <w:r>
        <w:t xml:space="preserve">Hassija, Chamola, V. 2023.</w:t>
      </w:r>
      <w:r>
        <w:t xml:space="preserve"> </w:t>
      </w:r>
      <w:r>
        <w:t xml:space="preserve">“Interpreting Black-Box Models: A Review on Explainable Artificial Intelligence.”</w:t>
      </w:r>
      <w:r>
        <w:t xml:space="preserve"> </w:t>
      </w:r>
      <w:r>
        <w:rPr>
          <w:i/>
          <w:iCs/>
        </w:rPr>
        <w:t xml:space="preserve">Cognitive Computation</w:t>
      </w:r>
      <w:r>
        <w:t xml:space="preserve"> </w:t>
      </w:r>
      <w:r>
        <w:t xml:space="preserve">16 (1): 45–74.</w:t>
      </w:r>
      <w:r>
        <w:t xml:space="preserve"> </w:t>
      </w:r>
      <w:hyperlink ns5:id="rId289">
        <w:r>
          <w:rPr>
            <w:rStyle w:val="Hipervnculo"/>
          </w:rPr>
          <w:t xml:space="preserve">https://doi.org/10.1007/s12559-023-10179-8</w:t>
        </w:r>
      </w:hyperlink>
      <w:r>
        <w:t xml:space="preserve">.</w:t>
      </w:r>
    </w:p>
    <w:bookmarkEnd w:id="290"/>
    <w:bookmarkStart w:id="291" w:name="ref-hedstrom2023"/>
    <w:p>
      <w:pPr>
        <w:pStyle w:val="Bibliography"/>
        <w:spacing w:line="360" w:lineRule="auto"/>
        <w:jc w:val="both"/>
      </w:pPr>
      <w:r>
        <w:t xml:space="preserve">Hedström, A., L. Weber, D. Bareeva, et al. 2023.</w:t>
      </w:r>
      <w:r>
        <w:t xml:space="preserve"> </w:t>
      </w:r>
      <w:r>
        <w:t xml:space="preserve">“Quantus: An Explainable AI Toolkit for Responsible Evaluation of Neural Network Explanations and Beyond.”</w:t>
      </w:r>
      <w:r>
        <w:t xml:space="preserve"> </w:t>
      </w:r>
      <w:r>
        <w:rPr>
          <w:i/>
          <w:iCs/>
        </w:rPr>
        <w:t xml:space="preserve">Journal of Machine Learning Research</w:t>
      </w:r>
      <w:r>
        <w:t xml:space="preserve"> </w:t>
      </w:r>
      <w:r>
        <w:t xml:space="preserve">24 (34): 1–11.</w:t>
      </w:r>
    </w:p>
    <w:bookmarkEnd w:id="291"/>
    <w:bookmarkStart w:id="292" w:name="ref-hess2023"/>
    <w:p>
      <w:pPr>
        <w:pStyle w:val="Bibliography"/>
        <w:spacing w:line="360" w:lineRule="auto"/>
        <w:jc w:val="both"/>
      </w:pPr>
      <w:r>
        <w:t xml:space="preserve">Hess, Samuel, and Gregory Ditzler. 2023.</w:t>
      </w:r>
      <w:r>
        <w:t xml:space="preserve"> </w:t>
      </w:r>
      <w:r>
        <w:t xml:space="preserve">“ProtoShotXAI: Using Prototypical Few-Shot Architecture for Explainable AI.”</w:t>
      </w:r>
      <w:r>
        <w:t xml:space="preserve"> </w:t>
      </w:r>
      <w:r>
        <w:rPr>
          <w:i/>
          <w:iCs/>
        </w:rPr>
        <w:t xml:space="preserve">Journal of Machine Learning Research</w:t>
      </w:r>
      <w:r>
        <w:t xml:space="preserve"> </w:t>
      </w:r>
      <w:r>
        <w:t xml:space="preserve">24: 1–49.</w:t>
      </w:r>
    </w:p>
    <w:bookmarkEnd w:id="292"/>
    <w:bookmarkStart w:id="294" w:name="ref-hoffman2023"/>
    <w:p>
      <w:pPr>
        <w:pStyle w:val="Bibliography"/>
        <w:spacing w:line="360" w:lineRule="auto"/>
        <w:jc w:val="both"/>
      </w:pPr>
      <w:r>
        <w:t xml:space="preserve">Hoffman, Robert R., Timothy Miller, Gary Klein, Shane T. Mueller, and William J. Clancey. 2023.</w:t>
      </w:r>
      <w:r>
        <w:t xml:space="preserve"> </w:t>
      </w:r>
      <w:r>
        <w:t xml:space="preserve">“Increasing the Value of XAI for Users: A Psychological Perspective.”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ns5:id="rId293">
        <w:r>
          <w:rPr>
            <w:rStyle w:val="Hipervnculo"/>
          </w:rPr>
          <w:t xml:space="preserve">https://doi.org/10.1007/s13218-023-00806-9</w:t>
        </w:r>
      </w:hyperlink>
      <w:r>
        <w:t xml:space="preserve">.</w:t>
      </w:r>
    </w:p>
    <w:bookmarkEnd w:id="294"/>
    <w:bookmarkStart w:id="296" w:name="ref-holzinger2022"/>
    <w:p>
      <w:pPr>
        <w:pStyle w:val="Bibliography"/>
        <w:spacing w:line="360" w:lineRule="auto"/>
        <w:jc w:val="both"/>
      </w:pPr>
      <w:r>
        <w:t xml:space="preserve">Holzinger, Andreas, Anna Saranti, Christoph Molnar, Przemyslaw Biecek, and Wojciech Samek. 2022.</w:t>
      </w:r>
      <w:r>
        <w:t xml:space="preserve"> </w:t>
      </w:r>
      <w:r>
        <w:rPr>
          <w:i/>
          <w:iCs/>
        </w:rPr>
        <w:t xml:space="preserve">Explainable AI Methods - a Brief Overview</w:t>
      </w:r>
      <w:r>
        <w:t xml:space="preserve">. Springer International Publishing.</w:t>
      </w:r>
      <w:r>
        <w:t xml:space="preserve"> </w:t>
      </w:r>
      <w:hyperlink ns5:id="rId295">
        <w:r>
          <w:rPr>
            <w:rStyle w:val="Hipervnculo"/>
          </w:rPr>
          <w:t xml:space="preserve">https://doi.org/10.1007/978-3-031-04083-2_2</w:t>
        </w:r>
      </w:hyperlink>
      <w:r>
        <w:t xml:space="preserve">.</w:t>
      </w:r>
    </w:p>
    <w:bookmarkEnd w:id="296"/>
    <w:bookmarkStart w:id="298" w:name="ref-hosseini2025"/>
    <w:p>
      <w:pPr>
        <w:pStyle w:val="Bibliography"/>
        <w:spacing w:line="360" w:lineRule="auto"/>
        <w:jc w:val="both"/>
      </w:pPr>
      <w:r>
        <w:t xml:space="preserve">Hosseini, Soodeh, and Hossein Seilani. 2025.</w:t>
      </w:r>
      <w:r>
        <w:t xml:space="preserve"> </w:t>
      </w:r>
      <w:r>
        <w:t xml:space="preserve">“The Role of Agentic AI in Shaping a Smart Future: A Systematic Review.”</w:t>
      </w:r>
      <w:r>
        <w:t xml:space="preserve"> </w:t>
      </w:r>
      <w:r>
        <w:rPr>
          <w:i/>
          <w:iCs/>
        </w:rPr>
        <w:t xml:space="preserve">Array</w:t>
      </w:r>
      <w:r>
        <w:t xml:space="preserve"> </w:t>
      </w:r>
      <w:r>
        <w:t xml:space="preserve">26: 100399.</w:t>
      </w:r>
      <w:r>
        <w:t xml:space="preserve"> </w:t>
      </w:r>
      <w:hyperlink ns5:id="rId297">
        <w:r>
          <w:rPr>
            <w:rStyle w:val="Hipervnculo"/>
          </w:rPr>
          <w:t xml:space="preserve">https://doi.org/10.1016/j.array.2025.100399</w:t>
        </w:r>
      </w:hyperlink>
      <w:r>
        <w:t xml:space="preserve">.</w:t>
      </w:r>
    </w:p>
    <w:bookmarkEnd w:id="298"/>
    <w:bookmarkStart w:id="300" w:name="ref-hutson2018"/>
    <w:p>
      <w:pPr>
        <w:pStyle w:val="Bibliography"/>
        <w:spacing w:line="360" w:lineRule="auto"/>
        <w:jc w:val="both"/>
      </w:pPr>
      <w:r>
        <w:t xml:space="preserve">Hutson, Matthew. 2018.</w:t>
      </w:r>
      <w:r>
        <w:t xml:space="preserve"> </w:t>
      </w:r>
      <w:r>
        <w:t xml:space="preserve">“Artificial Intelligence Faces Reproducibility Crisis.”</w:t>
      </w:r>
      <w:r>
        <w:t xml:space="preserve"> </w:t>
      </w:r>
      <w:r>
        <w:rPr>
          <w:i/>
          <w:iCs/>
        </w:rPr>
        <w:t xml:space="preserve">Science</w:t>
      </w:r>
      <w:r>
        <w:t xml:space="preserve"> </w:t>
      </w:r>
      <w:r>
        <w:t xml:space="preserve">359 (6377): 725–26.</w:t>
      </w:r>
      <w:r>
        <w:t xml:space="preserve"> </w:t>
      </w:r>
      <w:hyperlink ns5:id="rId299">
        <w:r>
          <w:rPr>
            <w:rStyle w:val="Hipervnculo"/>
          </w:rPr>
          <w:t xml:space="preserve">https://doi.org/10.1126/science.359.6377.725</w:t>
        </w:r>
      </w:hyperlink>
      <w:r>
        <w:t xml:space="preserve">.</w:t>
      </w:r>
    </w:p>
    <w:bookmarkEnd w:id="300"/>
    <w:bookmarkStart w:id="302" w:name="ref-iatrellis2023"/>
    <w:p>
      <w:pPr>
        <w:pStyle w:val="Bibliography"/>
        <w:spacing w:line="360" w:lineRule="auto"/>
        <w:jc w:val="both"/>
      </w:pPr>
      <w:r>
        <w:t xml:space="preserve">Iatrellis, Omiros, Nicholas Samaras, Charalampos Dervenis, and Theodor Panagiotakopoulos. 2023.</w:t>
      </w:r>
      <w:r>
        <w:t xml:space="preserve"> </w:t>
      </w:r>
      <w:r>
        <w:t xml:space="preserve">“KONX: A Dynamic Approach for Explainable AI in Higher Education.”</w:t>
      </w:r>
      <w:r>
        <w:t xml:space="preserve"> </w:t>
      </w:r>
      <w:r>
        <w:rPr>
          <w:i/>
          <w:iCs/>
        </w:rPr>
        <w:t xml:space="preserve">Proceedings of the 7th International Conference on Algorithms, Computing and Systems</w:t>
      </w:r>
      <w:r>
        <w:t xml:space="preserve">, 118–24.</w:t>
      </w:r>
      <w:r>
        <w:t xml:space="preserve"> </w:t>
      </w:r>
      <w:hyperlink ns5:id="rId301">
        <w:r>
          <w:rPr>
            <w:rStyle w:val="Hipervnculo"/>
          </w:rPr>
          <w:t xml:space="preserve">https://doi.org/10.1145/3631908.3631925</w:t>
        </w:r>
      </w:hyperlink>
      <w:r>
        <w:t xml:space="preserve">.</w:t>
      </w:r>
    </w:p>
    <w:bookmarkEnd w:id="302"/>
    <w:bookmarkStart w:id="304" w:name="ref-ji2022"/>
    <w:p>
      <w:pPr>
        <w:pStyle w:val="Bibliography"/>
        <w:spacing w:line="360" w:lineRule="auto"/>
        <w:jc w:val="both"/>
      </w:pPr>
      <w:r>
        <w:t xml:space="preserve">Ji, Lee, Z. 2022.</w:t>
      </w:r>
      <w:r>
        <w:t xml:space="preserve"> </w:t>
      </w:r>
      <w:r>
        <w:t xml:space="preserve">“Survey of Hallucination in Natural Language Generation.”</w:t>
      </w:r>
      <w:r>
        <w:t xml:space="preserve"> </w:t>
      </w:r>
      <w:r>
        <w:rPr>
          <w:i/>
          <w:iCs/>
        </w:rPr>
        <w:t xml:space="preserve">ACM Computing Surveys</w:t>
      </w:r>
      <w:r>
        <w:t xml:space="preserve"> </w:t>
      </w:r>
      <w:r>
        <w:t xml:space="preserve">55 (12): 1–38.</w:t>
      </w:r>
      <w:r>
        <w:t xml:space="preserve"> </w:t>
      </w:r>
      <w:hyperlink ns5:id="rId303">
        <w:r>
          <w:rPr>
            <w:rStyle w:val="Hipervnculo"/>
          </w:rPr>
          <w:t xml:space="preserve">https://doi.org/10.1145/3571730</w:t>
        </w:r>
      </w:hyperlink>
      <w:r>
        <w:t xml:space="preserve">.</w:t>
      </w:r>
    </w:p>
    <w:bookmarkEnd w:id="304"/>
    <w:bookmarkStart w:id="305" w:name="ref-kadir2023"/>
    <w:p>
      <w:pPr>
        <w:pStyle w:val="Bibliography"/>
        <w:spacing w:line="360" w:lineRule="auto"/>
        <w:jc w:val="both"/>
      </w:pPr>
      <w:r>
        <w:t xml:space="preserve">Kadir, Md Abdul, Amir Mosavi, and Daniel Sonntag. 2023.</w:t>
      </w:r>
      <w:r>
        <w:t xml:space="preserve"> </w:t>
      </w:r>
      <w:r>
        <w:rPr>
          <w:i/>
          <w:iCs/>
        </w:rPr>
        <w:t xml:space="preserve">Evaluation Metrics for XAI: A Review, Taxonomy, and Practical Applications</w:t>
      </w:r>
      <w:r>
        <w:t xml:space="preserve">. IEEE 27th International Conference on Intelligent Engineering Systems (INES).</w:t>
      </w:r>
    </w:p>
    <w:bookmarkEnd w:id="305"/>
    <w:bookmarkStart w:id="307" w:name="ref-kalasampath2025"/>
    <w:p>
      <w:pPr>
        <w:pStyle w:val="Bibliography"/>
        <w:spacing w:line="360" w:lineRule="auto"/>
        <w:jc w:val="both"/>
      </w:pPr>
      <w:r>
        <w:t xml:space="preserve">Kalasampath, Khushi, K. N. Spoorthi, Sreeparvathy Sajeev, Sahil Sarma Kuppa, Kavya Ajay, and Angulakshmi Maruthamuthu. 2025.</w:t>
      </w:r>
      <w:r>
        <w:t xml:space="preserve"> </w:t>
      </w:r>
      <w:r>
        <w:t xml:space="preserve">“A Literature Review on Applications of Explainable Artificial Intelligence (XAI).”</w:t>
      </w:r>
      <w:r>
        <w:t xml:space="preserve"> </w:t>
      </w:r>
      <w:r>
        <w:rPr>
          <w:i/>
          <w:iCs/>
        </w:rPr>
        <w:t xml:space="preserve">IEEE Access</w:t>
      </w:r>
      <w:r>
        <w:t xml:space="preserve"> </w:t>
      </w:r>
      <w:r>
        <w:t xml:space="preserve">13: 41111–40.</w:t>
      </w:r>
      <w:r>
        <w:t xml:space="preserve"> </w:t>
      </w:r>
      <w:hyperlink ns5:id="rId306">
        <w:r>
          <w:rPr>
            <w:rStyle w:val="Hipervnculo"/>
          </w:rPr>
          <w:t xml:space="preserve">https://doi.org/10.1109/access.2025.3546681</w:t>
        </w:r>
      </w:hyperlink>
      <w:r>
        <w:t xml:space="preserve">.</w:t>
      </w:r>
    </w:p>
    <w:bookmarkEnd w:id="307"/>
    <w:bookmarkStart w:id="309" w:name="ref-karimi2022"/>
    <w:p>
      <w:pPr>
        <w:pStyle w:val="Bibliography"/>
        <w:spacing w:line="360" w:lineRule="auto"/>
        <w:jc w:val="both"/>
      </w:pPr>
      <w:r>
        <w:t xml:space="preserve">Karimi, Amir-Hossein, Gilles Barthe, Bernhard Schölkopf, and Isabel Valera. 2022.</w:t>
      </w:r>
      <w:r>
        <w:t xml:space="preserve"> </w:t>
      </w:r>
      <w:r>
        <w:t xml:space="preserve">“A Survey of Algorithmic Recourse: Contrastive Explanations and Consequential Recommendations.”</w:t>
      </w:r>
      <w:r>
        <w:t xml:space="preserve"> </w:t>
      </w:r>
      <w:r>
        <w:rPr>
          <w:i/>
          <w:iCs/>
        </w:rPr>
        <w:t xml:space="preserve">ACM Computing Surveys</w:t>
      </w:r>
      <w:r>
        <w:t xml:space="preserve"> </w:t>
      </w:r>
      <w:r>
        <w:t xml:space="preserve">55 (5): 1–29.</w:t>
      </w:r>
      <w:r>
        <w:t xml:space="preserve"> </w:t>
      </w:r>
      <w:hyperlink ns5:id="rId308">
        <w:r>
          <w:rPr>
            <w:rStyle w:val="Hipervnculo"/>
          </w:rPr>
          <w:t xml:space="preserve">https://doi.org/10.1145/3527848</w:t>
        </w:r>
      </w:hyperlink>
      <w:r>
        <w:t xml:space="preserve">.</w:t>
      </w:r>
    </w:p>
    <w:bookmarkEnd w:id="309"/>
    <w:bookmarkStart w:id="311" w:name="ref-karmakar2024"/>
    <w:p>
      <w:pPr>
        <w:pStyle w:val="Bibliography"/>
        <w:spacing w:line="360" w:lineRule="auto"/>
        <w:jc w:val="both"/>
      </w:pPr>
      <w:r>
        <w:t xml:space="preserve">Karmakar, Pratik, Mikaël Monet, Pierre Senellart, and Stephane Bressan. 2024.</w:t>
      </w:r>
      <w:r>
        <w:t xml:space="preserve"> </w:t>
      </w:r>
      <w:r>
        <w:t xml:space="preserve">“Expected Shapley-Like Scores of Boolean Functions: Complexity and Applications to Probabilistic Databases.”</w:t>
      </w:r>
      <w:r>
        <w:t xml:space="preserve"> </w:t>
      </w:r>
      <w:r>
        <w:rPr>
          <w:i/>
          <w:iCs/>
        </w:rPr>
        <w:t xml:space="preserve">Proceedings of the ACM on Management of Data</w:t>
      </w:r>
      <w:r>
        <w:t xml:space="preserve"> </w:t>
      </w:r>
      <w:r>
        <w:t xml:space="preserve">2 (2): 1–26.</w:t>
      </w:r>
      <w:r>
        <w:t xml:space="preserve"> </w:t>
      </w:r>
      <w:hyperlink ns5:id="rId310">
        <w:r>
          <w:rPr>
            <w:rStyle w:val="Hipervnculo"/>
          </w:rPr>
          <w:t xml:space="preserve">https://doi.org/10.1145/3651593</w:t>
        </w:r>
      </w:hyperlink>
      <w:r>
        <w:t xml:space="preserve">.</w:t>
      </w:r>
    </w:p>
    <w:bookmarkEnd w:id="311"/>
    <w:bookmarkStart w:id="313" w:name="ref-kaur2020"/>
    <w:p>
      <w:pPr>
        <w:pStyle w:val="Bibliography"/>
        <w:spacing w:line="360" w:lineRule="auto"/>
        <w:jc w:val="both"/>
      </w:pPr>
      <w:r>
        <w:t xml:space="preserve">Kaur, Harmanpreet, Harsha Nori, Samuel Jenkins, Rich Caruana, Hanna Wallach, and Jennifer Wortman Vaughan. 2020.</w:t>
      </w:r>
      <w:r>
        <w:t xml:space="preserve"> </w:t>
      </w:r>
      <w:r>
        <w:t xml:space="preserve">“Interpreting Interpretability: Understanding Data Scientists’ Use of Interpretability Tools for Machine Learning.”</w:t>
      </w:r>
      <w:r>
        <w:t xml:space="preserve"> </w:t>
      </w:r>
      <w:r>
        <w:rPr>
          <w:i/>
          <w:iCs/>
        </w:rPr>
        <w:t xml:space="preserve">Proceedings of the 2020 CHI Conference on Human Factors in Computing Systems</w:t>
      </w:r>
      <w:r>
        <w:t xml:space="preserve">, 1–14.</w:t>
      </w:r>
      <w:r>
        <w:t xml:space="preserve"> </w:t>
      </w:r>
      <w:hyperlink ns5:id="rId312">
        <w:r>
          <w:rPr>
            <w:rStyle w:val="Hipervnculo"/>
          </w:rPr>
          <w:t xml:space="preserve">https://doi.org/10.1145/3313831.3376219</w:t>
        </w:r>
      </w:hyperlink>
      <w:r>
        <w:t xml:space="preserve">.</w:t>
      </w:r>
    </w:p>
    <w:bookmarkEnd w:id="313"/>
    <w:bookmarkStart w:id="314" w:name="ref-kim2018"/>
    <w:p>
      <w:pPr>
        <w:pStyle w:val="Bibliography"/>
        <w:spacing w:line="360" w:lineRule="auto"/>
        <w:jc w:val="both"/>
      </w:pPr>
      <w:r>
        <w:t xml:space="preserve">Kim, Been, Martin Wattenberg, Justin Gilmer, et al. 2018.</w:t>
      </w:r>
      <w:r>
        <w:t xml:space="preserve"> </w:t>
      </w:r>
      <w:r>
        <w:t xml:space="preserve">“Interpretability Beyond Feature Attribution: Quantitative Testing with Concept Activation Vectors (TCAV).”</w:t>
      </w:r>
      <w:r>
        <w:t xml:space="preserve"> </w:t>
      </w:r>
      <w:r>
        <w:rPr>
          <w:i/>
          <w:iCs/>
        </w:rPr>
        <w:t xml:space="preserve">Proceedings of the 35th International Conference on Machine Learning</w:t>
      </w:r>
      <w:r>
        <w:t xml:space="preserve">.</w:t>
      </w:r>
    </w:p>
    <w:bookmarkEnd w:id="314"/>
    <w:bookmarkStart w:id="316" w:name="ref-kim2024"/>
    <w:p>
      <w:pPr>
        <w:pStyle w:val="Bibliography"/>
        <w:spacing w:line="360" w:lineRule="auto"/>
        <w:jc w:val="both"/>
      </w:pPr>
      <w:r>
        <w:t xml:space="preserve">Kim, Sunnie S. Y. 2024.</w:t>
      </w:r>
      <w:r>
        <w:t xml:space="preserve"> </w:t>
      </w:r>
      <w:r>
        <w:t xml:space="preserve">“Establishing Appropriate Trust in AI Through Transparency and Explainability.”</w:t>
      </w:r>
      <w:r>
        <w:t xml:space="preserve"> </w:t>
      </w:r>
      <w:r>
        <w:rPr>
          <w:i/>
          <w:iCs/>
        </w:rPr>
        <w:t xml:space="preserve">Extended Abstracts of the CHI Conference on Human Factors in Computing Systems</w:t>
      </w:r>
      <w:r>
        <w:t xml:space="preserve">, 1–6.</w:t>
      </w:r>
      <w:r>
        <w:t xml:space="preserve"> </w:t>
      </w:r>
      <w:hyperlink ns5:id="rId315">
        <w:r>
          <w:rPr>
            <w:rStyle w:val="Hipervnculo"/>
          </w:rPr>
          <w:t xml:space="preserve">https://doi.org/10.1145/3613905.3638184</w:t>
        </w:r>
      </w:hyperlink>
      <w:r>
        <w:t xml:space="preserve">.</w:t>
      </w:r>
    </w:p>
    <w:bookmarkEnd w:id="316"/>
    <w:bookmarkStart w:id="317" w:name="ref-koh2020"/>
    <w:p>
      <w:pPr>
        <w:pStyle w:val="Bibliography"/>
        <w:spacing w:line="360" w:lineRule="auto"/>
        <w:jc w:val="both"/>
      </w:pPr>
      <w:r>
        <w:t xml:space="preserve">Koh, Pang Wei, Thao Nguyen, Yew Siang Tang, et al. 2020.</w:t>
      </w:r>
      <w:r>
        <w:t xml:space="preserve"> </w:t>
      </w:r>
      <w:r>
        <w:t xml:space="preserve">“Concept Bottleneck Models.”</w:t>
      </w:r>
      <w:r>
        <w:t xml:space="preserve"> </w:t>
      </w:r>
      <w:r>
        <w:rPr>
          <w:i/>
          <w:iCs/>
        </w:rPr>
        <w:t xml:space="preserve">Proceedings of the 37th International Conference on Machine Learning</w:t>
      </w:r>
      <w:r>
        <w:t xml:space="preserve">.</w:t>
      </w:r>
    </w:p>
    <w:bookmarkEnd w:id="317"/>
    <w:bookmarkStart w:id="319" w:name="ref-kohavi1996"/>
    <w:p>
      <w:pPr>
        <w:pStyle w:val="Bibliography"/>
        <w:spacing w:line="360" w:lineRule="auto"/>
        <w:jc w:val="both"/>
      </w:pPr>
      <w:r>
        <w:t xml:space="preserve">Kohavi, Ron, and Barry Becker. 1996.</w:t>
      </w:r>
      <w:r>
        <w:t xml:space="preserve"> </w:t>
      </w:r>
      <w:r>
        <w:rPr>
          <w:i/>
          <w:iCs/>
        </w:rPr>
        <w:t xml:space="preserve">Adult Data Set</w:t>
      </w:r>
      <w:r>
        <w:t xml:space="preserve">. UCI Machine Learning Repository.</w:t>
      </w:r>
      <w:r>
        <w:t xml:space="preserve"> </w:t>
      </w:r>
      <w:hyperlink ns5:id="rId318">
        <w:r>
          <w:rPr>
            <w:rStyle w:val="Hipervnculo"/>
          </w:rPr>
          <w:t xml:space="preserve">https://archive.ics.uci.edu/dataset/2/adult</w:t>
        </w:r>
      </w:hyperlink>
      <w:r>
        <w:t xml:space="preserve">.</w:t>
      </w:r>
    </w:p>
    <w:bookmarkEnd w:id="319"/>
    <w:bookmarkStart w:id="321" w:name="ref-koo2016"/>
    <w:p>
      <w:pPr>
        <w:pStyle w:val="Bibliography"/>
        <w:spacing w:line="360" w:lineRule="auto"/>
        <w:jc w:val="both"/>
      </w:pPr>
      <w:r>
        <w:t xml:space="preserve">Koo, Terry K., and Mae Y. Li. 2016.</w:t>
      </w:r>
      <w:r>
        <w:t xml:space="preserve"> </w:t>
      </w:r>
      <w:r>
        <w:t xml:space="preserve">“A Guideline of Selecting and Reporting Intraclass Correlation Coefficients for Reliability Research.”</w:t>
      </w:r>
      <w:r>
        <w:t xml:space="preserve"> </w:t>
      </w:r>
      <w:r>
        <w:rPr>
          <w:i/>
          <w:iCs/>
        </w:rPr>
        <w:t xml:space="preserve">Journal of Chiropractic Medicine</w:t>
      </w:r>
      <w:r>
        <w:t xml:space="preserve"> </w:t>
      </w:r>
      <w:r>
        <w:t xml:space="preserve">15 (2): 155–63.</w:t>
      </w:r>
      <w:r>
        <w:t xml:space="preserve"> </w:t>
      </w:r>
      <w:hyperlink ns5:id="rId320">
        <w:r>
          <w:rPr>
            <w:rStyle w:val="Hipervnculo"/>
          </w:rPr>
          <w:t xml:space="preserve">https://doi.org/10.1016/j.jcm.2016.02.012</w:t>
        </w:r>
      </w:hyperlink>
      <w:r>
        <w:t xml:space="preserve">.</w:t>
      </w:r>
    </w:p>
    <w:bookmarkEnd w:id="321"/>
    <w:bookmarkStart w:id="322" w:name="ref-krippendorff2018"/>
    <w:p>
      <w:pPr>
        <w:pStyle w:val="Bibliography"/>
        <w:spacing w:line="360" w:lineRule="auto"/>
        <w:jc w:val="both"/>
      </w:pPr>
      <w:r>
        <w:t xml:space="preserve">Krippendorff, Klaus. 2018.</w:t>
      </w:r>
      <w:r>
        <w:t xml:space="preserve"> </w:t>
      </w:r>
      <w:r>
        <w:rPr>
          <w:i/>
          <w:iCs/>
        </w:rPr>
        <w:t xml:space="preserve">Content Analysis: An Introduction to Its Methodology</w:t>
      </w:r>
      <w:r>
        <w:t xml:space="preserve">. 4th ed. SAGE Publications.</w:t>
      </w:r>
    </w:p>
    <w:bookmarkEnd w:id="322"/>
    <w:bookmarkStart w:id="324" w:name="ref-kumagai2023"/>
    <w:p>
      <w:pPr>
        <w:pStyle w:val="Bibliography"/>
        <w:spacing w:line="360" w:lineRule="auto"/>
        <w:jc w:val="both"/>
      </w:pPr>
      <w:r>
        <w:t xml:space="preserve">Kumagai, Ryo, Shu Takemoto, Yusuke Nozaki, and Masaya Yoshikawa. 2023.</w:t>
      </w:r>
      <w:r>
        <w:t xml:space="preserve"> </w:t>
      </w:r>
      <w:r>
        <w:t xml:space="preserve">“Explainable AI Based Adversarial Examples and Its Evaluation.”</w:t>
      </w:r>
      <w:r>
        <w:t xml:space="preserve"> </w:t>
      </w:r>
      <w:r>
        <w:rPr>
          <w:i/>
          <w:iCs/>
        </w:rPr>
        <w:t xml:space="preserve">Proceedings of the 2023 6th International Conference on Electronics, Communications and Control Engineering</w:t>
      </w:r>
      <w:r>
        <w:t xml:space="preserve">, 220–25.</w:t>
      </w:r>
      <w:r>
        <w:t xml:space="preserve"> </w:t>
      </w:r>
      <w:hyperlink ns5:id="rId323">
        <w:r>
          <w:rPr>
            <w:rStyle w:val="Hipervnculo"/>
          </w:rPr>
          <w:t xml:space="preserve">https://doi.org/10.1145/3592307.3592342</w:t>
        </w:r>
      </w:hyperlink>
      <w:r>
        <w:t xml:space="preserve">.</w:t>
      </w:r>
    </w:p>
    <w:bookmarkEnd w:id="324"/>
    <w:bookmarkStart w:id="326" w:name="ref-lakens2013"/>
    <w:p>
      <w:pPr>
        <w:pStyle w:val="Bibliography"/>
        <w:spacing w:line="360" w:lineRule="auto"/>
        <w:jc w:val="both"/>
      </w:pPr>
      <w:r>
        <w:t xml:space="preserve">Lakens, Daniël. 2013.</w:t>
      </w:r>
      <w:r>
        <w:t xml:space="preserve"> </w:t>
      </w:r>
      <w:r>
        <w:t xml:space="preserve">“Calculating and Reporting Effect Sizes to Facilitate Cumulative Science: A Practical Primer for t-Tests and ANOVAs.”</w:t>
      </w:r>
      <w:r>
        <w:t xml:space="preserve"> </w:t>
      </w:r>
      <w:r>
        <w:rPr>
          <w:i/>
          <w:iCs/>
        </w:rPr>
        <w:t xml:space="preserve">Frontiers in Psychology</w:t>
      </w:r>
      <w:r>
        <w:t xml:space="preserve"> </w:t>
      </w:r>
      <w:r>
        <w:t xml:space="preserve">4: 863.</w:t>
      </w:r>
      <w:r>
        <w:t xml:space="preserve"> </w:t>
      </w:r>
      <w:hyperlink ns5:id="rId325">
        <w:r>
          <w:rPr>
            <w:rStyle w:val="Hipervnculo"/>
          </w:rPr>
          <w:t xml:space="preserve">https://doi.org/10.3389/fpsyg.2013.00863</w:t>
        </w:r>
      </w:hyperlink>
      <w:r>
        <w:t xml:space="preserve">.</w:t>
      </w:r>
    </w:p>
    <w:bookmarkEnd w:id="326"/>
    <w:bookmarkStart w:id="328" w:name="ref-langer2021"/>
    <w:p>
      <w:pPr>
        <w:pStyle w:val="Bibliography"/>
        <w:spacing w:line="360" w:lineRule="auto"/>
        <w:jc w:val="both"/>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 </w:t>
      </w:r>
      <w:r>
        <w:rPr>
          <w:i/>
          <w:iCs/>
        </w:rPr>
        <w:t xml:space="preserve">Artificial Intelligence</w:t>
      </w:r>
      <w:r>
        <w:t xml:space="preserve"> </w:t>
      </w:r>
      <w:r>
        <w:t xml:space="preserve">296: 103473.</w:t>
      </w:r>
      <w:r>
        <w:t xml:space="preserve"> </w:t>
      </w:r>
      <w:hyperlink ns5:id="rId327">
        <w:r>
          <w:rPr>
            <w:rStyle w:val="Hipervnculo"/>
          </w:rPr>
          <w:t xml:space="preserve">https://doi.org/10.1016/j.artint.2021.103473</w:t>
        </w:r>
      </w:hyperlink>
      <w:r>
        <w:t xml:space="preserve">.</w:t>
      </w:r>
    </w:p>
    <w:bookmarkEnd w:id="328"/>
    <w:bookmarkStart w:id="330" w:name="ref-laugel2019"/>
    <w:p>
      <w:pPr>
        <w:pStyle w:val="Bibliography"/>
        <w:spacing w:line="360" w:lineRule="auto"/>
        <w:jc w:val="both"/>
      </w:pPr>
      <w:r>
        <w:t xml:space="preserve">Laugel, Thibault, Marie-Jeanne Lesot, Christophe Marsala, Xavier Renard, and Marcin Detyniecki. 2019.</w:t>
      </w:r>
      <w:r>
        <w:t xml:space="preserve"> </w:t>
      </w:r>
      <w:r>
        <w:t xml:space="preserve">“The Dangers of Post-Hoc Interpretability: Unjustified Counterfactual Explanations.”</w:t>
      </w:r>
      <w:r>
        <w:t xml:space="preserve"> </w:t>
      </w:r>
      <w:r>
        <w:rPr>
          <w:i/>
          <w:iCs/>
        </w:rPr>
        <w:t xml:space="preserve">Proceedings of the Twenty-Eighth International Joint Conference on Artificial Intelligence</w:t>
      </w:r>
      <w:r>
        <w:t xml:space="preserve">, 2801–7.</w:t>
      </w:r>
      <w:r>
        <w:t xml:space="preserve"> </w:t>
      </w:r>
      <w:hyperlink ns5:id="rId329">
        <w:r>
          <w:rPr>
            <w:rStyle w:val="Hipervnculo"/>
          </w:rPr>
          <w:t xml:space="preserve">https://doi.org/10.24963/ijcai.2019/388</w:t>
        </w:r>
      </w:hyperlink>
      <w:r>
        <w:t xml:space="preserve">.</w:t>
      </w:r>
    </w:p>
    <w:bookmarkEnd w:id="330"/>
    <w:bookmarkStart w:id="331" w:name="ref-li2022"/>
    <w:p>
      <w:pPr>
        <w:pStyle w:val="Bibliography"/>
        <w:spacing w:line="360" w:lineRule="auto"/>
        <w:jc w:val="both"/>
      </w:pPr>
      <w:r>
        <w:t xml:space="preserve">Li, Xuhong, Haoyi Xiong, Xingjian Li, Xuanyu Wu, Zeyu Chen, and Dejing Dou. 2022.</w:t>
      </w:r>
      <w:r>
        <w:t xml:space="preserve"> </w:t>
      </w:r>
      <w:r>
        <w:t xml:space="preserve">“InterpretDL: Explaining Deep Models in PaddlePaddle.”</w:t>
      </w:r>
      <w:r>
        <w:t xml:space="preserve"> </w:t>
      </w:r>
      <w:r>
        <w:rPr>
          <w:i/>
          <w:iCs/>
        </w:rPr>
        <w:t xml:space="preserve">Journal of Machine Learning Research</w:t>
      </w:r>
      <w:r>
        <w:t xml:space="preserve"> </w:t>
      </w:r>
      <w:r>
        <w:t xml:space="preserve">23: 1–6.</w:t>
      </w:r>
    </w:p>
    <w:bookmarkEnd w:id="331"/>
    <w:bookmarkStart w:id="333" w:name="ref-linardatos2020"/>
    <w:p>
      <w:pPr>
        <w:pStyle w:val="Bibliography"/>
        <w:spacing w:line="360" w:lineRule="auto"/>
        <w:jc w:val="both"/>
      </w:pPr>
      <w:r>
        <w:t xml:space="preserve">Linardatos, Papastefanopoulos, P. 2020.</w:t>
      </w:r>
      <w:r>
        <w:t xml:space="preserve"> </w:t>
      </w:r>
      <w:r>
        <w:t xml:space="preserve">“Explainable AI: A Review of Machine Learning Interpretability Methods.”</w:t>
      </w:r>
      <w:r>
        <w:t xml:space="preserve"> </w:t>
      </w:r>
      <w:r>
        <w:rPr>
          <w:i/>
          <w:iCs/>
        </w:rPr>
        <w:t xml:space="preserve">Entropy</w:t>
      </w:r>
      <w:r>
        <w:t xml:space="preserve"> </w:t>
      </w:r>
      <w:r>
        <w:t xml:space="preserve">23 (1): 18.</w:t>
      </w:r>
      <w:r>
        <w:t xml:space="preserve"> </w:t>
      </w:r>
      <w:hyperlink ns5:id="rId332">
        <w:r>
          <w:rPr>
            <w:rStyle w:val="Hipervnculo"/>
          </w:rPr>
          <w:t xml:space="preserve">https://doi.org/10.3390/e23010018</w:t>
        </w:r>
      </w:hyperlink>
      <w:r>
        <w:t xml:space="preserve">.</w:t>
      </w:r>
    </w:p>
    <w:bookmarkEnd w:id="333"/>
    <w:bookmarkStart w:id="335" w:name="ref-lipton2018"/>
    <w:p>
      <w:pPr>
        <w:pStyle w:val="Bibliography"/>
        <w:spacing w:line="360" w:lineRule="auto"/>
        <w:jc w:val="both"/>
      </w:pPr>
      <w:r>
        <w:t xml:space="preserve">Lipton, Z. C. 2018.</w:t>
      </w:r>
      <w:r>
        <w:t xml:space="preserve"> </w:t>
      </w:r>
      <w:r>
        <w:t xml:space="preserve">“The Mythos of Model Interpretability.”</w:t>
      </w:r>
      <w:r>
        <w:t xml:space="preserve"> </w:t>
      </w:r>
      <w:r>
        <w:rPr>
          <w:i/>
          <w:iCs/>
        </w:rPr>
        <w:t xml:space="preserve">Queue</w:t>
      </w:r>
      <w:r>
        <w:t xml:space="preserve"> </w:t>
      </w:r>
      <w:r>
        <w:t xml:space="preserve">16 (3): 31–57.</w:t>
      </w:r>
      <w:r>
        <w:t xml:space="preserve"> </w:t>
      </w:r>
      <w:hyperlink ns5:id="rId334">
        <w:r>
          <w:rPr>
            <w:rStyle w:val="Hipervnculo"/>
          </w:rPr>
          <w:t xml:space="preserve">https://doi.org/10.1145/3236386.3241340</w:t>
        </w:r>
      </w:hyperlink>
      <w:r>
        <w:t xml:space="preserve">.</w:t>
      </w:r>
    </w:p>
    <w:bookmarkEnd w:id="335"/>
    <w:bookmarkStart w:id="336" w:name="ref-liu2024"/>
    <w:p>
      <w:pPr>
        <w:pStyle w:val="Bibliography"/>
        <w:spacing w:line="360" w:lineRule="auto"/>
        <w:jc w:val="both"/>
      </w:pPr>
      <w:r>
        <w:t xml:space="preserve">Liu, Ziming, Yixuan Wang, Sachin Vaidya, et al. 2024.</w:t>
      </w:r>
      <w:r>
        <w:t xml:space="preserve"> </w:t>
      </w:r>
      <w:r>
        <w:rPr>
          <w:i/>
          <w:iCs/>
        </w:rPr>
        <w:t xml:space="preserve">KAN: Kolmogorov-Arnold Networks</w:t>
      </w:r>
      <w:r>
        <w:t xml:space="preserve">.</w:t>
      </w:r>
    </w:p>
    <w:bookmarkEnd w:id="336"/>
    <w:bookmarkStart w:id="337" w:name="ref-long2019"/>
    <w:p>
      <w:pPr>
        <w:pStyle w:val="Bibliography"/>
        <w:spacing w:line="360" w:lineRule="auto"/>
        <w:jc w:val="both"/>
      </w:pPr>
      <w:r>
        <w:t xml:space="preserve">Long, Bowen, Enjie Liu, Renxi Qiu, and Yanqing Duan. 2019.</w:t>
      </w:r>
      <w:r>
        <w:t xml:space="preserve"> </w:t>
      </w:r>
      <w:r>
        <w:rPr>
          <w:i/>
          <w:iCs/>
        </w:rPr>
        <w:t xml:space="preserve">Explainable AI: The Latest Advancements and New Trends</w:t>
      </w:r>
      <w:r>
        <w:t xml:space="preserve">.</w:t>
      </w:r>
    </w:p>
    <w:bookmarkEnd w:id="337"/>
    <w:bookmarkStart w:id="339" w:name="ref-longo2024"/>
    <w:p>
      <w:pPr>
        <w:pStyle w:val="Bibliography"/>
        <w:spacing w:line="360" w:lineRule="auto"/>
        <w:jc w:val="both"/>
      </w:pPr>
      <w:r>
        <w:t xml:space="preserve">Longo, Luca, Mario Brcic, Federico Cabitza, et al. 2024.</w:t>
      </w:r>
      <w:r>
        <w:t xml:space="preserve"> </w:t>
      </w:r>
      <w:r>
        <w:t xml:space="preserve">“Explainable Artificial Intelligence (XAI) 2.0: A Manifesto of Open Challenges and Interdisciplinary Research Directions.”</w:t>
      </w:r>
      <w:r>
        <w:t xml:space="preserve"> </w:t>
      </w:r>
      <w:r>
        <w:rPr>
          <w:i/>
          <w:iCs/>
        </w:rPr>
        <w:t xml:space="preserve">Information Fusion</w:t>
      </w:r>
      <w:r>
        <w:t xml:space="preserve"> </w:t>
      </w:r>
      <w:r>
        <w:t xml:space="preserve">106: 102301.</w:t>
      </w:r>
      <w:r>
        <w:t xml:space="preserve"> </w:t>
      </w:r>
      <w:hyperlink ns5:id="rId338">
        <w:r>
          <w:rPr>
            <w:rStyle w:val="Hipervnculo"/>
          </w:rPr>
          <w:t xml:space="preserve">https://doi.org/10.1016/j.inffus.2024.102301</w:t>
        </w:r>
      </w:hyperlink>
      <w:r>
        <w:t xml:space="preserve">.</w:t>
      </w:r>
    </w:p>
    <w:bookmarkEnd w:id="339"/>
    <w:bookmarkStart w:id="341" w:name="ref-lundberg2017"/>
    <w:p>
      <w:pPr>
        <w:pStyle w:val="Bibliography"/>
        <w:spacing w:line="360" w:lineRule="auto"/>
        <w:jc w:val="both"/>
      </w:pPr>
      <w:r>
        <w:t xml:space="preserve">Lundberg, &amp; Lee, S. M. 2017.</w:t>
      </w:r>
      <w:r>
        <w:t xml:space="preserve"> </w:t>
      </w:r>
      <w:r>
        <w:t xml:space="preserve">“A Unified Approach to Interpreting Model Predictions.”</w:t>
      </w:r>
      <w:r>
        <w:t xml:space="preserve"> </w:t>
      </w:r>
      <w:r>
        <w:rPr>
          <w:i/>
          <w:iCs/>
        </w:rPr>
        <w:t xml:space="preserve">arXiv (Cornell University)</w:t>
      </w:r>
      <w:r>
        <w:t xml:space="preserve">, ahead of print.</w:t>
      </w:r>
      <w:r>
        <w:t xml:space="preserve"> </w:t>
      </w:r>
      <w:hyperlink ns5:id="rId340">
        <w:r>
          <w:rPr>
            <w:rStyle w:val="Hipervnculo"/>
          </w:rPr>
          <w:t xml:space="preserve">https://doi.org/10.48550/arxiv.1705.07874</w:t>
        </w:r>
      </w:hyperlink>
      <w:r>
        <w:t xml:space="preserve">.</w:t>
      </w:r>
    </w:p>
    <w:bookmarkEnd w:id="341"/>
    <w:bookmarkStart w:id="343" w:name="ref-malwade2023"/>
    <w:p>
      <w:pPr>
        <w:pStyle w:val="Bibliography"/>
        <w:spacing w:line="360" w:lineRule="auto"/>
        <w:jc w:val="both"/>
      </w:pPr>
      <w:r>
        <w:t xml:space="preserve">Malwade, &amp; Budhavale, S. S. 2023.</w:t>
      </w:r>
      <w:r>
        <w:t xml:space="preserve"> </w:t>
      </w:r>
      <w:r>
        <w:t xml:space="preserve">“Exploring Explainable AI: Current Trends, Challenges, Techniques and Its Applications.”</w:t>
      </w:r>
      <w:r>
        <w:t xml:space="preserve"> </w:t>
      </w:r>
      <w:r>
        <w:rPr>
          <w:i/>
          <w:iCs/>
        </w:rPr>
        <w:t xml:space="preserve">ICIMMI ’23: Proceedings of the 5th International Conference on Information Management &amp; Machine Intelligence Article No.: 85, 1–9</w:t>
      </w:r>
      <w:r>
        <w:t xml:space="preserve">, ahead of print.</w:t>
      </w:r>
      <w:r>
        <w:t xml:space="preserve"> </w:t>
      </w:r>
      <w:hyperlink ns5:id="rId342">
        <w:r>
          <w:rPr>
            <w:rStyle w:val="Hipervnculo"/>
          </w:rPr>
          <w:t xml:space="preserve">https://doi.org/10.1145/3647444.3647912</w:t>
        </w:r>
      </w:hyperlink>
      <w:r>
        <w:t xml:space="preserve">.</w:t>
      </w:r>
    </w:p>
    <w:bookmarkEnd w:id="343"/>
    <w:bookmarkStart w:id="345" w:name="ref-marcinkevics2023"/>
    <w:p>
      <w:pPr>
        <w:pStyle w:val="Bibliography"/>
        <w:spacing w:line="360" w:lineRule="auto"/>
        <w:jc w:val="both"/>
      </w:pPr>
      <w:r>
        <w:t xml:space="preserve">Marcinkevičs, &amp; Vogt, R. 2023.</w:t>
      </w:r>
      <w:r>
        <w:t xml:space="preserve"> </w:t>
      </w:r>
      <w:r>
        <w:t xml:space="preserve">“Interpretable and Explainable Machine Learning: A Methods‐centric Overview with Concrete Examples.”</w:t>
      </w:r>
      <w:r>
        <w:t xml:space="preserve"> </w:t>
      </w:r>
      <w:r>
        <w:rPr>
          <w:i/>
          <w:iCs/>
        </w:rPr>
        <w:t xml:space="preserve">Wiley Interdisciplinary Reviews Data Mining and Knowledge Discovery</w:t>
      </w:r>
      <w:r>
        <w:t xml:space="preserve"> </w:t>
      </w:r>
      <w:r>
        <w:t xml:space="preserve">13 (3).</w:t>
      </w:r>
      <w:r>
        <w:t xml:space="preserve"> </w:t>
      </w:r>
      <w:hyperlink ns5:id="rId344">
        <w:r>
          <w:rPr>
            <w:rStyle w:val="Hipervnculo"/>
          </w:rPr>
          <w:t xml:space="preserve">https://doi.org/10.1002/widm.1493</w:t>
        </w:r>
      </w:hyperlink>
      <w:r>
        <w:t xml:space="preserve">.</w:t>
      </w:r>
    </w:p>
    <w:bookmarkEnd w:id="345"/>
    <w:bookmarkStart w:id="347" w:name="ref-marquessilva2024"/>
    <w:p>
      <w:pPr>
        <w:pStyle w:val="Bibliography"/>
        <w:spacing w:line="360" w:lineRule="auto"/>
        <w:jc w:val="both"/>
      </w:pPr>
      <w:r>
        <w:t xml:space="preserve">Marques-Silva, Joao. 2024.</w:t>
      </w:r>
      <w:r>
        <w:t xml:space="preserve"> </w:t>
      </w:r>
      <w:r>
        <w:rPr>
          <w:i/>
          <w:iCs/>
        </w:rPr>
        <w:t xml:space="preserve">Logic-Based Explainability: Past, Present and Future</w:t>
      </w:r>
      <w:r>
        <w:t xml:space="preserve">. Springer Nature Switzerland.</w:t>
      </w:r>
      <w:r>
        <w:t xml:space="preserve"> </w:t>
      </w:r>
      <w:hyperlink ns5:id="rId346">
        <w:r>
          <w:rPr>
            <w:rStyle w:val="Hipervnculo"/>
          </w:rPr>
          <w:t xml:space="preserve">https://doi.org/10.1007/978-3-031-75387-9_12</w:t>
        </w:r>
      </w:hyperlink>
      <w:r>
        <w:t xml:space="preserve">.</w:t>
      </w:r>
    </w:p>
    <w:bookmarkEnd w:id="347"/>
    <w:bookmarkStart w:id="349" w:name="ref-miller2019"/>
    <w:p>
      <w:pPr>
        <w:pStyle w:val="Bibliography"/>
        <w:spacing w:line="360" w:lineRule="auto"/>
        <w:jc w:val="both"/>
      </w:pPr>
      <w:r>
        <w:t xml:space="preserve">Miller, Tim. 2019.</w:t>
      </w:r>
      <w:r>
        <w:t xml:space="preserve"> </w:t>
      </w:r>
      <w:r>
        <w:t xml:space="preserve">“Explanation in Artificial Intelligence: Insights from the Social Sciences.”</w:t>
      </w:r>
      <w:r>
        <w:t xml:space="preserve"> </w:t>
      </w:r>
      <w:r>
        <w:rPr>
          <w:i/>
          <w:iCs/>
        </w:rPr>
        <w:t xml:space="preserve">Artificial Intelligence</w:t>
      </w:r>
      <w:r>
        <w:t xml:space="preserve"> </w:t>
      </w:r>
      <w:r>
        <w:t xml:space="preserve">267: 1–38.</w:t>
      </w:r>
      <w:r>
        <w:t xml:space="preserve"> </w:t>
      </w:r>
      <w:hyperlink ns5:id="rId348">
        <w:r>
          <w:rPr>
            <w:rStyle w:val="Hipervnculo"/>
          </w:rPr>
          <w:t xml:space="preserve">https://doi.org/10.1016/j.artint.2018.07.007</w:t>
        </w:r>
      </w:hyperlink>
      <w:r>
        <w:t xml:space="preserve">.</w:t>
      </w:r>
    </w:p>
    <w:bookmarkEnd w:id="349"/>
    <w:bookmarkStart w:id="350" w:name="ref-mitchell2022"/>
    <w:p>
      <w:pPr>
        <w:pStyle w:val="Bibliography"/>
        <w:spacing w:line="360" w:lineRule="auto"/>
        <w:jc w:val="both"/>
      </w:pPr>
      <w:r>
        <w:t xml:space="preserve">Mitchell, Rory, Joshua Cooper, Eibe Frank, and Geoffrey Holmes. 2022.</w:t>
      </w:r>
      <w:r>
        <w:t xml:space="preserve"> </w:t>
      </w:r>
      <w:r>
        <w:t xml:space="preserve">“Sampling Permutations for Shapley Value Estimation.”</w:t>
      </w:r>
      <w:r>
        <w:t xml:space="preserve"> </w:t>
      </w:r>
      <w:r>
        <w:rPr>
          <w:i/>
          <w:iCs/>
        </w:rPr>
        <w:t xml:space="preserve">Journal of Machine Learning Research</w:t>
      </w:r>
      <w:r>
        <w:t xml:space="preserve"> </w:t>
      </w:r>
      <w:r>
        <w:t xml:space="preserve">23: 1–46.</w:t>
      </w:r>
    </w:p>
    <w:bookmarkEnd w:id="350"/>
    <w:bookmarkStart w:id="352" w:name="ref-mittal2023"/>
    <w:p>
      <w:pPr>
        <w:pStyle w:val="Bibliography"/>
        <w:spacing w:line="360" w:lineRule="auto"/>
        <w:jc w:val="both"/>
      </w:pPr>
      <w:r>
        <w:t xml:space="preserve">Mittal, Sangeeta. 2023.</w:t>
      </w:r>
      <w:r>
        <w:t xml:space="preserve"> </w:t>
      </w:r>
      <w:r>
        <w:t xml:space="preserve">“Explaining URL Phishing Detection by Glass Box Models.”</w:t>
      </w:r>
      <w:r>
        <w:t xml:space="preserve"> </w:t>
      </w:r>
      <w:r>
        <w:rPr>
          <w:i/>
          <w:iCs/>
        </w:rPr>
        <w:t xml:space="preserve">Proceedings of the 2023 Fifteenth International Conference on Contemporary Computing</w:t>
      </w:r>
      <w:r>
        <w:t xml:space="preserve">, 537–44.</w:t>
      </w:r>
      <w:r>
        <w:t xml:space="preserve"> </w:t>
      </w:r>
      <w:hyperlink ns5:id="rId351">
        <w:r>
          <w:rPr>
            <w:rStyle w:val="Hipervnculo"/>
          </w:rPr>
          <w:t xml:space="preserve">https://doi.org/10.1145/3607947.3608059</w:t>
        </w:r>
      </w:hyperlink>
      <w:r>
        <w:t xml:space="preserve">.</w:t>
      </w:r>
    </w:p>
    <w:bookmarkEnd w:id="352"/>
    <w:bookmarkStart w:id="354" w:name="ref-mittelstadt2019"/>
    <w:p>
      <w:pPr>
        <w:pStyle w:val="Bibliography"/>
        <w:spacing w:line="360" w:lineRule="auto"/>
        <w:jc w:val="both"/>
      </w:pPr>
      <w:r>
        <w:t xml:space="preserve">Mittelstadt, Russell, B. 2019.</w:t>
      </w:r>
      <w:r>
        <w:t xml:space="preserve"> </w:t>
      </w:r>
      <w:r>
        <w:t xml:space="preserve">“Explaining Explanations in AI.”</w:t>
      </w:r>
      <w:r>
        <w:t xml:space="preserve"> </w:t>
      </w:r>
      <w:r>
        <w:rPr>
          <w:i/>
          <w:iCs/>
        </w:rPr>
        <w:t xml:space="preserve">FAT* ’19: Proceedings of the Conference on Fairness, Accountability, and Transparency, 279–288</w:t>
      </w:r>
      <w:r>
        <w:t xml:space="preserve">, ahead of print.</w:t>
      </w:r>
      <w:r>
        <w:t xml:space="preserve"> </w:t>
      </w:r>
      <w:hyperlink ns5:id="rId353">
        <w:r>
          <w:rPr>
            <w:rStyle w:val="Hipervnculo"/>
          </w:rPr>
          <w:t xml:space="preserve">https://doi.org/10.1145/3287560.3287574</w:t>
        </w:r>
      </w:hyperlink>
      <w:r>
        <w:t xml:space="preserve">.</w:t>
      </w:r>
    </w:p>
    <w:bookmarkEnd w:id="354"/>
    <w:bookmarkStart w:id="356" w:name="ref-mohseni2021"/>
    <w:p>
      <w:pPr>
        <w:pStyle w:val="Bibliography"/>
        <w:spacing w:line="360" w:lineRule="auto"/>
        <w:jc w:val="both"/>
      </w:pPr>
      <w:r>
        <w:t xml:space="preserve">Mohseni, Sina, Niloofar Zarei, and Eric D. Ragan. 2021.</w:t>
      </w:r>
      <w:r>
        <w:t xml:space="preserve"> </w:t>
      </w:r>
      <w:r>
        <w:t xml:space="preserve">“A Multidisciplinary Survey and Framework for Design and Evaluation of Explainable AI Systems.”</w:t>
      </w:r>
      <w:r>
        <w:t xml:space="preserve"> </w:t>
      </w:r>
      <w:r>
        <w:rPr>
          <w:i/>
          <w:iCs/>
        </w:rPr>
        <w:t xml:space="preserve">ACM Transactions on Interactive Intelligent Systems</w:t>
      </w:r>
      <w:r>
        <w:t xml:space="preserve"> </w:t>
      </w:r>
      <w:r>
        <w:t xml:space="preserve">11 (3-4): 1–45.</w:t>
      </w:r>
      <w:r>
        <w:t xml:space="preserve"> </w:t>
      </w:r>
      <w:hyperlink ns5:id="rId355">
        <w:r>
          <w:rPr>
            <w:rStyle w:val="Hipervnculo"/>
          </w:rPr>
          <w:t xml:space="preserve">https://doi.org/10.1145/3387166</w:t>
        </w:r>
      </w:hyperlink>
      <w:r>
        <w:t xml:space="preserve">.</w:t>
      </w:r>
    </w:p>
    <w:bookmarkEnd w:id="356"/>
    <w:bookmarkStart w:id="358" w:name="ref-molnar2020"/>
    <w:p>
      <w:pPr>
        <w:pStyle w:val="Bibliography"/>
        <w:spacing w:line="360" w:lineRule="auto"/>
        <w:jc w:val="both"/>
      </w:pPr>
      <w:r>
        <w:t xml:space="preserve">Molnar, Christoph, Giuseppe Casalicchio, and Bernd Bischl. 2020.</w:t>
      </w:r>
      <w:r>
        <w:t xml:space="preserve"> </w:t>
      </w:r>
      <w:r>
        <w:rPr>
          <w:i/>
          <w:iCs/>
        </w:rPr>
        <w:t xml:space="preserve">Interpretable Machine Learning – a Brief History, State-of-the-Art and Challenges</w:t>
      </w:r>
      <w:r>
        <w:t xml:space="preserve">. Springer International Publishing.</w:t>
      </w:r>
      <w:r>
        <w:t xml:space="preserve"> </w:t>
      </w:r>
      <w:hyperlink ns5:id="rId357">
        <w:r>
          <w:rPr>
            <w:rStyle w:val="Hipervnculo"/>
          </w:rPr>
          <w:t xml:space="preserve">https://doi.org/10.1007/978-3-030-65965-3_28</w:t>
        </w:r>
      </w:hyperlink>
      <w:r>
        <w:t xml:space="preserve">.</w:t>
      </w:r>
    </w:p>
    <w:bookmarkEnd w:id="358"/>
    <w:bookmarkStart w:id="360" w:name="ref-morrison2023"/>
    <w:p>
      <w:pPr>
        <w:pStyle w:val="Bibliography"/>
        <w:spacing w:line="360" w:lineRule="auto"/>
        <w:jc w:val="both"/>
      </w:pPr>
      <w:r>
        <w:t xml:space="preserve">Morrison, Katelyn, Mayank Jain, Jessica Hammer, and Adam Perer. 2023.</w:t>
      </w:r>
      <w:r>
        <w:t xml:space="preserve"> </w:t>
      </w:r>
      <w:r>
        <w:t xml:space="preserve">“Eye into AI: Evaluating the Interpretability of Explainable AI Techniques Through a Game with a Purpose.”</w:t>
      </w:r>
      <w:r>
        <w:t xml:space="preserve"> </w:t>
      </w:r>
      <w:r>
        <w:rPr>
          <w:i/>
          <w:iCs/>
        </w:rPr>
        <w:t xml:space="preserve">Proceedings of the ACM on Human-Computer Interaction</w:t>
      </w:r>
      <w:r>
        <w:t xml:space="preserve"> </w:t>
      </w:r>
      <w:r>
        <w:t xml:space="preserve">7 (CSCW2): 1–22.</w:t>
      </w:r>
      <w:r>
        <w:t xml:space="preserve"> </w:t>
      </w:r>
      <w:hyperlink ns5:id="rId359">
        <w:r>
          <w:rPr>
            <w:rStyle w:val="Hipervnculo"/>
          </w:rPr>
          <w:t xml:space="preserve">https://doi.org/10.1145/3610064</w:t>
        </w:r>
      </w:hyperlink>
      <w:r>
        <w:t xml:space="preserve">.</w:t>
      </w:r>
    </w:p>
    <w:bookmarkEnd w:id="360"/>
    <w:bookmarkStart w:id="362" w:name="ref-mothilal2020"/>
    <w:p>
      <w:pPr>
        <w:pStyle w:val="Bibliography"/>
        <w:spacing w:line="360" w:lineRule="auto"/>
        <w:jc w:val="both"/>
      </w:pPr>
      <w:r>
        <w:t xml:space="preserve">Mothilal, Sharma, R. K. 2020.</w:t>
      </w:r>
      <w:r>
        <w:t xml:space="preserve"> </w:t>
      </w:r>
      <w:r>
        <w:t xml:space="preserve">“Explaining Machine Learning Classifiers Through Diverse Counterfactual Explanations.”</w:t>
      </w:r>
      <w:r>
        <w:t xml:space="preserve"> </w:t>
      </w:r>
      <w:r>
        <w:rPr>
          <w:i/>
          <w:iCs/>
        </w:rPr>
        <w:t xml:space="preserve">FAT* ’20: Proceedings of the 2020 Conference on Fairness, Accountability, and Transparency</w:t>
      </w:r>
      <w:r>
        <w:t xml:space="preserve">, ahead of print.</w:t>
      </w:r>
      <w:r>
        <w:t xml:space="preserve"> </w:t>
      </w:r>
      <w:hyperlink ns5:id="rId361">
        <w:r>
          <w:rPr>
            <w:rStyle w:val="Hipervnculo"/>
          </w:rPr>
          <w:t xml:space="preserve">https://doi.org/10.1145/3351095.3372850</w:t>
        </w:r>
      </w:hyperlink>
      <w:r>
        <w:t xml:space="preserve">.</w:t>
      </w:r>
    </w:p>
    <w:bookmarkEnd w:id="362"/>
    <w:bookmarkStart w:id="364" w:name="ref-muntasir2024"/>
    <w:p>
      <w:pPr>
        <w:pStyle w:val="Bibliography"/>
        <w:spacing w:line="360" w:lineRule="auto"/>
        <w:jc w:val="both"/>
      </w:pPr>
      <w:r>
        <w:t xml:space="preserve">Muntasir, Fahim, and Jannatun Noor. 2024.</w:t>
      </w:r>
      <w:r>
        <w:t xml:space="preserve"> </w:t>
      </w:r>
      <w:r>
        <w:t xml:space="preserve">“Explainable AI Discloses Gender Bias in Sexism Detection Algorithm.”</w:t>
      </w:r>
      <w:r>
        <w:t xml:space="preserve"> </w:t>
      </w:r>
      <w:r>
        <w:rPr>
          <w:i/>
          <w:iCs/>
        </w:rPr>
        <w:t xml:space="preserve">Proceedings of the 11th International Conference on Networking, Systems, and Security</w:t>
      </w:r>
      <w:r>
        <w:t xml:space="preserve">, 120–27.</w:t>
      </w:r>
      <w:r>
        <w:t xml:space="preserve"> </w:t>
      </w:r>
      <w:hyperlink ns5:id="rId363">
        <w:r>
          <w:rPr>
            <w:rStyle w:val="Hipervnculo"/>
          </w:rPr>
          <w:t xml:space="preserve">https://doi.org/10.1145/3704522.3704524</w:t>
        </w:r>
      </w:hyperlink>
      <w:r>
        <w:t xml:space="preserve">.</w:t>
      </w:r>
    </w:p>
    <w:bookmarkEnd w:id="364"/>
    <w:bookmarkStart w:id="366" w:name="ref-murdoch2019"/>
    <w:p>
      <w:pPr>
        <w:pStyle w:val="Bibliography"/>
        <w:spacing w:line="360" w:lineRule="auto"/>
        <w:jc w:val="both"/>
      </w:pPr>
      <w:r>
        <w:t xml:space="preserve">Murdoch, Singh, W. J. 2019.</w:t>
      </w:r>
      <w:r>
        <w:t xml:space="preserve"> </w:t>
      </w:r>
      <w:r>
        <w:t xml:space="preserve">“Definitions, Methods, and Applications in Interpretable Machine Learning.”</w:t>
      </w:r>
      <w:r>
        <w:t xml:space="preserve"> </w:t>
      </w:r>
      <w:r>
        <w:rPr>
          <w:i/>
          <w:iCs/>
        </w:rPr>
        <w:t xml:space="preserve">Proceedings of the National Academy of Sciences</w:t>
      </w:r>
      <w:r>
        <w:t xml:space="preserve"> </w:t>
      </w:r>
      <w:r>
        <w:t xml:space="preserve">116 (44): 22071–80.</w:t>
      </w:r>
      <w:r>
        <w:t xml:space="preserve"> </w:t>
      </w:r>
      <w:hyperlink ns5:id="rId365">
        <w:r>
          <w:rPr>
            <w:rStyle w:val="Hipervnculo"/>
          </w:rPr>
          <w:t xml:space="preserve">https://doi.org/10.1073/pnas.1900654116</w:t>
        </w:r>
      </w:hyperlink>
      <w:r>
        <w:t xml:space="preserve">.</w:t>
      </w:r>
    </w:p>
    <w:bookmarkEnd w:id="366"/>
    <w:bookmarkStart w:id="368" w:name="ref-nannini2024"/>
    <w:p>
      <w:pPr>
        <w:pStyle w:val="Bibliography"/>
        <w:spacing w:line="360" w:lineRule="auto"/>
        <w:jc w:val="both"/>
      </w:pPr>
      <w:r>
        <w:t xml:space="preserve">Nannini, Luca, Marta Marchiori Manerba, and Isacco Beretta. 2024.</w:t>
      </w:r>
      <w:r>
        <w:t xml:space="preserve"> </w:t>
      </w:r>
      <w:r>
        <w:t xml:space="preserve">“Mapping the Landscape of Ethical Considerations in Explainable AI Research.”</w:t>
      </w:r>
      <w:r>
        <w:t xml:space="preserve"> </w:t>
      </w:r>
      <w:r>
        <w:rPr>
          <w:i/>
          <w:iCs/>
        </w:rPr>
        <w:t xml:space="preserve">Ethics and Information Technology</w:t>
      </w:r>
      <w:r>
        <w:t xml:space="preserve"> </w:t>
      </w:r>
      <w:r>
        <w:t xml:space="preserve">26 (3).</w:t>
      </w:r>
      <w:r>
        <w:t xml:space="preserve"> </w:t>
      </w:r>
      <w:hyperlink ns5:id="rId367">
        <w:r>
          <w:rPr>
            <w:rStyle w:val="Hipervnculo"/>
          </w:rPr>
          <w:t xml:space="preserve">https://doi.org/10.1007/s10676-024-09773-7</w:t>
        </w:r>
      </w:hyperlink>
      <w:r>
        <w:t xml:space="preserve">.</w:t>
      </w:r>
    </w:p>
    <w:bookmarkEnd w:id="368"/>
    <w:bookmarkStart w:id="370" w:name="ref-nauta2023"/>
    <w:p>
      <w:pPr>
        <w:pStyle w:val="Bibliography"/>
        <w:spacing w:line="360" w:lineRule="auto"/>
        <w:jc w:val="both"/>
      </w:pPr>
      <w:r>
        <w:t xml:space="preserve">Nauta, Meike, Jan Trienes, Shreyasi Pathak, et al. 2023.</w:t>
      </w:r>
      <w:r>
        <w:t xml:space="preserve"> </w:t>
      </w:r>
      <w:r>
        <w:t xml:space="preserve">“From Anecdotal Evidence to Quantitative Evaluation Methods: A Systematic Review on Evaluating Explainable AI.”</w:t>
      </w:r>
      <w:r>
        <w:t xml:space="preserve"> </w:t>
      </w:r>
      <w:r>
        <w:rPr>
          <w:i/>
          <w:iCs/>
        </w:rPr>
        <w:t xml:space="preserve">ACM Computing Surveys</w:t>
      </w:r>
      <w:r>
        <w:t xml:space="preserve"> </w:t>
      </w:r>
      <w:r>
        <w:t xml:space="preserve">55 (13s): 1–42.</w:t>
      </w:r>
      <w:r>
        <w:t xml:space="preserve"> </w:t>
      </w:r>
      <w:hyperlink ns5:id="rId369">
        <w:r>
          <w:rPr>
            <w:rStyle w:val="Hipervnculo"/>
          </w:rPr>
          <w:t xml:space="preserve">https://doi.org/10.1145/3583558</w:t>
        </w:r>
      </w:hyperlink>
      <w:r>
        <w:t xml:space="preserve">.</w:t>
      </w:r>
    </w:p>
    <w:bookmarkEnd w:id="370"/>
    <w:bookmarkStart w:id="372" w:name="ref-nemenyi1963"/>
    <w:p>
      <w:pPr>
        <w:pStyle w:val="Bibliography"/>
        <w:spacing w:line="360" w:lineRule="auto"/>
        <w:jc w:val="both"/>
      </w:pPr>
      <w:r>
        <w:t xml:space="preserve">Nemenyi, Peter Bjorn. 1963.</w:t>
      </w:r>
      <w:r>
        <w:t xml:space="preserve"> </w:t>
      </w:r>
      <w:r>
        <w:t xml:space="preserve">“Distribution-Free Multiple Comparisons.”</w:t>
      </w:r>
      <w:r>
        <w:t xml:space="preserve"> </w:t>
      </w:r>
      <w:r>
        <w:t xml:space="preserve">PhD thesis, Princeton University.</w:t>
      </w:r>
      <w:r>
        <w:t xml:space="preserve"> </w:t>
      </w:r>
      <w:hyperlink ns5:id="rId371">
        <w:r>
          <w:rPr>
            <w:rStyle w:val="Hipervnculo"/>
          </w:rPr>
          <w:t xml:space="preserve">https://catalog.princeton.edu/catalog/2081365</w:t>
        </w:r>
      </w:hyperlink>
      <w:r>
        <w:t xml:space="preserve">.</w:t>
      </w:r>
    </w:p>
    <w:bookmarkEnd w:id="372"/>
    <w:bookmarkStart w:id="374" w:name="ref-ngueajio2025"/>
    <w:p>
      <w:pPr>
        <w:pStyle w:val="Bibliography"/>
        <w:spacing w:line="360" w:lineRule="auto"/>
        <w:jc w:val="both"/>
      </w:pPr>
      <w:r>
        <w:t xml:space="preserve">Ngueajio, Mikel K., Saurav Aryal, Marcellin Atemkeng, Gloria Washington, and Danda Rawat. 2025.</w:t>
      </w:r>
      <w:r>
        <w:t xml:space="preserve"> </w:t>
      </w:r>
      <w:r>
        <w:t xml:space="preserve">“Decoding Fake News and Hate Speech: A Survey of Explainable AI Techniques.”</w:t>
      </w:r>
      <w:r>
        <w:t xml:space="preserve"> </w:t>
      </w:r>
      <w:r>
        <w:rPr>
          <w:i/>
          <w:iCs/>
        </w:rPr>
        <w:t xml:space="preserve">ACM Computing Surveys</w:t>
      </w:r>
      <w:r>
        <w:t xml:space="preserve"> </w:t>
      </w:r>
      <w:r>
        <w:t xml:space="preserve">57 (7): 1–37.</w:t>
      </w:r>
      <w:r>
        <w:t xml:space="preserve"> </w:t>
      </w:r>
      <w:hyperlink ns5:id="rId373">
        <w:r>
          <w:rPr>
            <w:rStyle w:val="Hipervnculo"/>
          </w:rPr>
          <w:t xml:space="preserve">https://doi.org/10.1145/3711123</w:t>
        </w:r>
      </w:hyperlink>
      <w:r>
        <w:t xml:space="preserve">.</w:t>
      </w:r>
    </w:p>
    <w:bookmarkEnd w:id="374"/>
    <w:bookmarkStart w:id="375" w:name="ref-nguyen2019"/>
    <w:p>
      <w:pPr>
        <w:pStyle w:val="Bibliography"/>
        <w:spacing w:line="360" w:lineRule="auto"/>
        <w:jc w:val="both"/>
      </w:pPr>
      <w:r>
        <w:t xml:space="preserve">Nguyen, An-phi, and Maria Rodriguez Martinez. 2019.</w:t>
      </w:r>
      <w:r>
        <w:t xml:space="preserve"> </w:t>
      </w:r>
      <w:r>
        <w:rPr>
          <w:i/>
          <w:iCs/>
        </w:rPr>
        <w:t xml:space="preserve">MonoNet: Towards Interpretable Models by Learning Monotonic Features</w:t>
      </w:r>
      <w:r>
        <w:t xml:space="preserve">.</w:t>
      </w:r>
    </w:p>
    <w:bookmarkEnd w:id="375"/>
    <w:bookmarkStart w:id="377" w:name="ref-nimmo2024"/>
    <w:p>
      <w:pPr>
        <w:pStyle w:val="Bibliography"/>
        <w:spacing w:line="360" w:lineRule="auto"/>
        <w:jc w:val="both"/>
      </w:pPr>
      <w:r>
        <w:t xml:space="preserve">Nimmo, Robert, Marios Constantinides, Ke Zhou, Daniele Quercia, and Simone Stumpf. 2024.</w:t>
      </w:r>
      <w:r>
        <w:t xml:space="preserve"> </w:t>
      </w:r>
      <w:r>
        <w:t xml:space="preserve">“User Characteristics in Explainable AI: The Rabbit Hole of Personalization?”</w:t>
      </w:r>
      <w:r>
        <w:t xml:space="preserve"> </w:t>
      </w:r>
      <w:r>
        <w:rPr>
          <w:i/>
          <w:iCs/>
        </w:rPr>
        <w:t xml:space="preserve">Proceedings of the CHI Conference on Human Factors in Computing Systems</w:t>
      </w:r>
      <w:r>
        <w:t xml:space="preserve">, 1–13.</w:t>
      </w:r>
      <w:r>
        <w:t xml:space="preserve"> </w:t>
      </w:r>
      <w:hyperlink ns5:id="rId376">
        <w:r>
          <w:rPr>
            <w:rStyle w:val="Hipervnculo"/>
          </w:rPr>
          <w:t xml:space="preserve">https://doi.org/10.1145/3613904.3642352</w:t>
        </w:r>
      </w:hyperlink>
      <w:r>
        <w:t xml:space="preserve">.</w:t>
      </w:r>
    </w:p>
    <w:bookmarkEnd w:id="377"/>
    <w:bookmarkStart w:id="378" w:name="ref-nizam2023"/>
    <w:p>
      <w:pPr>
        <w:pStyle w:val="Bibliography"/>
        <w:spacing w:line="360" w:lineRule="auto"/>
        <w:jc w:val="both"/>
      </w:pPr>
      <w:r>
        <w:t xml:space="preserve">Nizam, T., and S. Zafar. 2023.</w:t>
      </w:r>
      <w:r>
        <w:t xml:space="preserve"> </w:t>
      </w:r>
      <w:r>
        <w:t xml:space="preserve">“Towards a Standardised Evaluation Approach for Diverse XAI Methods.”</w:t>
      </w:r>
      <w:r>
        <w:t xml:space="preserve"> </w:t>
      </w:r>
      <w:r>
        <w:rPr>
          <w:i/>
          <w:iCs/>
        </w:rPr>
        <w:t xml:space="preserve">Explainable Artificial Intelligence (XAI): Conception, Visualization and Assessment</w:t>
      </w:r>
      <w:r>
        <w:t xml:space="preserve">.</w:t>
      </w:r>
    </w:p>
    <w:bookmarkEnd w:id="378"/>
    <w:bookmarkStart w:id="380" w:name="ref-nussberger2022"/>
    <w:p>
      <w:pPr>
        <w:pStyle w:val="Bibliography"/>
        <w:spacing w:line="360" w:lineRule="auto"/>
        <w:jc w:val="both"/>
      </w:pPr>
      <w:r>
        <w:t xml:space="preserve">Nussberger, Luo, A. 2022.</w:t>
      </w:r>
      <w:r>
        <w:t xml:space="preserve"> </w:t>
      </w:r>
      <w:r>
        <w:t xml:space="preserve">“Public Attitudes Value Interpretability but Prioritize Accuracy in Artificial Intelligence.”</w:t>
      </w:r>
      <w:r>
        <w:t xml:space="preserve"> </w:t>
      </w:r>
      <w:r>
        <w:rPr>
          <w:i/>
          <w:iCs/>
        </w:rPr>
        <w:t xml:space="preserve">Nature Communications</w:t>
      </w:r>
      <w:r>
        <w:t xml:space="preserve"> </w:t>
      </w:r>
      <w:r>
        <w:t xml:space="preserve">13 (1).</w:t>
      </w:r>
      <w:r>
        <w:t xml:space="preserve"> </w:t>
      </w:r>
      <w:hyperlink ns5:id="rId379">
        <w:r>
          <w:rPr>
            <w:rStyle w:val="Hipervnculo"/>
          </w:rPr>
          <w:t xml:space="preserve">https://doi.org/10.1038/s41467-022-33417-3</w:t>
        </w:r>
      </w:hyperlink>
      <w:r>
        <w:t xml:space="preserve">.</w:t>
      </w:r>
    </w:p>
    <w:bookmarkEnd w:id="380"/>
    <w:bookmarkStart w:id="381" w:name="ref-olsen2022"/>
    <w:p>
      <w:pPr>
        <w:pStyle w:val="Bibliography"/>
        <w:spacing w:line="360" w:lineRule="auto"/>
        <w:jc w:val="both"/>
      </w:pPr>
      <w:r>
        <w:t xml:space="preserve">Olsen, Lars Henry Berge, Ingrid Kristine Glad, Martin Jullum, and Kjersti Aas. 2022.</w:t>
      </w:r>
      <w:r>
        <w:t xml:space="preserve"> </w:t>
      </w:r>
      <w:r>
        <w:t xml:space="preserve">“Using Shapley Values and Variational Autoencoders to Explain Predictive Models with Dependent Mixed Features.”</w:t>
      </w:r>
      <w:r>
        <w:t xml:space="preserve"> </w:t>
      </w:r>
      <w:r>
        <w:rPr>
          <w:i/>
          <w:iCs/>
        </w:rPr>
        <w:t xml:space="preserve">Journal of Machine Learning Research</w:t>
      </w:r>
      <w:r>
        <w:t xml:space="preserve"> </w:t>
      </w:r>
      <w:r>
        <w:t xml:space="preserve">23: 1–51.</w:t>
      </w:r>
    </w:p>
    <w:bookmarkEnd w:id="381"/>
    <w:bookmarkStart w:id="383" w:name="ref-pawlicki2024"/>
    <w:p>
      <w:pPr>
        <w:pStyle w:val="Bibliography"/>
        <w:spacing w:line="360" w:lineRule="auto"/>
        <w:jc w:val="both"/>
      </w:pPr>
      <w:r>
        <w:t xml:space="preserve">Pawlicki, M., A. Pawlicka, F. Uccello, et al. 2024.</w:t>
      </w:r>
      <w:r>
        <w:t xml:space="preserve"> </w:t>
      </w:r>
      <w:r>
        <w:t xml:space="preserve">“Evaluating the Necessity of the Multiple Metrics for Assessing Explainable AI: A Critical Examination.”</w:t>
      </w:r>
      <w:r>
        <w:t xml:space="preserve"> </w:t>
      </w:r>
      <w:r>
        <w:rPr>
          <w:i/>
          <w:iCs/>
        </w:rPr>
        <w:t xml:space="preserve">Neurocomputing</w:t>
      </w:r>
      <w:r>
        <w:t xml:space="preserve"> </w:t>
      </w:r>
      <w:r>
        <w:t xml:space="preserve">602 (128282).</w:t>
      </w:r>
      <w:r>
        <w:t xml:space="preserve"> </w:t>
      </w:r>
      <w:hyperlink ns5:id="rId382">
        <w:r>
          <w:rPr>
            <w:rStyle w:val="Hipervnculo"/>
          </w:rPr>
          <w:t xml:space="preserve">https://doi.org/10.1016/j.neucom.2024.128282</w:t>
        </w:r>
      </w:hyperlink>
      <w:r>
        <w:t xml:space="preserve">.</w:t>
      </w:r>
    </w:p>
    <w:bookmarkEnd w:id="383"/>
    <w:bookmarkStart w:id="385" w:name="ref-peters2024"/>
    <w:p>
      <w:pPr>
        <w:pStyle w:val="Bibliography"/>
        <w:spacing w:line="360" w:lineRule="auto"/>
        <w:jc w:val="both"/>
      </w:pPr>
      <w:r>
        <w:t xml:space="preserve">Peters, Uwe, and Mary Carman. 2024.</w:t>
      </w:r>
      <w:r>
        <w:t xml:space="preserve"> </w:t>
      </w:r>
      <w:r>
        <w:t xml:space="preserve">“Cultural Bias in Explainable AI Research: A Systematic Analysis.”</w:t>
      </w:r>
      <w:r>
        <w:t xml:space="preserve"> </w:t>
      </w:r>
      <w:r>
        <w:rPr>
          <w:i/>
          <w:iCs/>
        </w:rPr>
        <w:t xml:space="preserve">Journal of Artificial Intelligence Research</w:t>
      </w:r>
      <w:r>
        <w:t xml:space="preserve"> </w:t>
      </w:r>
      <w:r>
        <w:t xml:space="preserve">79: 971–1000.</w:t>
      </w:r>
      <w:r>
        <w:t xml:space="preserve"> </w:t>
      </w:r>
      <w:hyperlink ns5:id="rId384">
        <w:r>
          <w:rPr>
            <w:rStyle w:val="Hipervnculo"/>
          </w:rPr>
          <w:t xml:space="preserve">https://doi.org/10.1613/jair.1.14888</w:t>
        </w:r>
      </w:hyperlink>
      <w:r>
        <w:t xml:space="preserve">.</w:t>
      </w:r>
    </w:p>
    <w:bookmarkEnd w:id="385"/>
    <w:bookmarkStart w:id="387" w:name="ref-porfirio2024"/>
    <w:p>
      <w:pPr>
        <w:pStyle w:val="Bibliography"/>
        <w:spacing w:line="360" w:lineRule="auto"/>
        <w:jc w:val="both"/>
      </w:pPr>
      <w:r>
        <w:t xml:space="preserve">Porfírio, Rui Pedro. 2024.</w:t>
      </w:r>
      <w:r>
        <w:t xml:space="preserve"> </w:t>
      </w:r>
      <w:r>
        <w:t xml:space="preserve">“Studying the Impact of Explainable AI in Digital Agriculture Solutions.”</w:t>
      </w:r>
      <w:r>
        <w:t xml:space="preserve"> </w:t>
      </w:r>
      <w:r>
        <w:rPr>
          <w:i/>
          <w:iCs/>
        </w:rPr>
        <w:t xml:space="preserve">Companion Publication of the 2024 Conference on Computer-Supported Cooperative Work and Social Computing</w:t>
      </w:r>
      <w:r>
        <w:t xml:space="preserve">, 43–46.</w:t>
      </w:r>
      <w:r>
        <w:t xml:space="preserve"> </w:t>
      </w:r>
      <w:hyperlink ns5:id="rId386">
        <w:r>
          <w:rPr>
            <w:rStyle w:val="Hipervnculo"/>
          </w:rPr>
          <w:t xml:space="preserve">https://doi.org/10.1145/3678884.3682046</w:t>
        </w:r>
      </w:hyperlink>
      <w:r>
        <w:t xml:space="preserve">.</w:t>
      </w:r>
    </w:p>
    <w:bookmarkEnd w:id="387"/>
    <w:bookmarkStart w:id="389" w:name="ref-poyiadzi2020"/>
    <w:p>
      <w:pPr>
        <w:pStyle w:val="Bibliography"/>
        <w:spacing w:line="360" w:lineRule="auto"/>
        <w:jc w:val="both"/>
      </w:pPr>
      <w:r>
        <w:t xml:space="preserve">Poyiadzi, Rafael, Kacper Sokol, Raul Santos-Rodriguez, Tijl De Bie, and Peter Flach. 2020.</w:t>
      </w:r>
      <w:r>
        <w:t xml:space="preserve"> </w:t>
      </w:r>
      <w:r>
        <w:t xml:space="preserve">“FACE: Feasible and Actionable Counterfactual Explanations.”</w:t>
      </w:r>
      <w:r>
        <w:t xml:space="preserve"> </w:t>
      </w:r>
      <w:r>
        <w:rPr>
          <w:i/>
          <w:iCs/>
        </w:rPr>
        <w:t xml:space="preserve">Proceedings of the AAAI/ACM Conference on AI, Ethics, and Society</w:t>
      </w:r>
      <w:r>
        <w:t xml:space="preserve">, 344–50.</w:t>
      </w:r>
      <w:r>
        <w:t xml:space="preserve"> </w:t>
      </w:r>
      <w:hyperlink ns5:id="rId388">
        <w:r>
          <w:rPr>
            <w:rStyle w:val="Hipervnculo"/>
          </w:rPr>
          <w:t xml:space="preserve">https://doi.org/10.1145/3375627.3375850</w:t>
        </w:r>
      </w:hyperlink>
      <w:r>
        <w:t xml:space="preserve">.</w:t>
      </w:r>
    </w:p>
    <w:bookmarkEnd w:id="389"/>
    <w:bookmarkStart w:id="390" w:name="ref-proszewska2025"/>
    <w:p>
      <w:pPr>
        <w:pStyle w:val="Bibliography"/>
        <w:spacing w:line="360" w:lineRule="auto"/>
        <w:jc w:val="both"/>
      </w:pPr>
      <w:r>
        <w:t xml:space="preserve">Proszewska, Magdalena, Tomasz Danel, and Dawid Rymarczyk. 2025.</w:t>
      </w:r>
      <w:r>
        <w:t xml:space="preserve"> </w:t>
      </w:r>
      <w:r>
        <w:rPr>
          <w:i/>
          <w:iCs/>
        </w:rPr>
        <w:t xml:space="preserve">B-XAIC Dataset: Benchmarking Explainable AI for Graph Neural Networks Using Chemical Data</w:t>
      </w:r>
      <w:r>
        <w:t xml:space="preserve">.</w:t>
      </w:r>
    </w:p>
    <w:bookmarkEnd w:id="390"/>
    <w:bookmarkStart w:id="391" w:name="ref-ramachandram2025"/>
    <w:p>
      <w:pPr>
        <w:pStyle w:val="Bibliography"/>
        <w:spacing w:line="360" w:lineRule="auto"/>
        <w:jc w:val="both"/>
      </w:pPr>
      <w:r>
        <w:t xml:space="preserve">Ramachandram, Dhanesh, Himanshu Joshi, Judy Zhu, Dhari Gandhi, Lucas Hartman, and Ananya Raval. 2025.</w:t>
      </w:r>
      <w:r>
        <w:t xml:space="preserve"> </w:t>
      </w:r>
      <w:r>
        <w:rPr>
          <w:i/>
          <w:iCs/>
        </w:rPr>
        <w:t xml:space="preserve">Transparent AI: The Case for Interpretability and Explainability</w:t>
      </w:r>
      <w:r>
        <w:t xml:space="preserve">. Vector Institute for Artificial Intelligence.</w:t>
      </w:r>
    </w:p>
    <w:bookmarkEnd w:id="391"/>
    <w:bookmarkStart w:id="393" w:name="ref-reif2025"/>
    <w:p>
      <w:pPr>
        <w:pStyle w:val="Bibliography"/>
        <w:spacing w:line="360" w:lineRule="auto"/>
        <w:jc w:val="both"/>
      </w:pPr>
      <w:r>
        <w:t xml:space="preserve">Reif, Jessica A., Richard P. Larrick, and Jack B. Soll. 2025.</w:t>
      </w:r>
      <w:r>
        <w:t xml:space="preserve"> </w:t>
      </w:r>
      <w:r>
        <w:t xml:space="preserve">“Evidence of a Social Evaluation Penalty for Using AI.”</w:t>
      </w:r>
      <w:r>
        <w:t xml:space="preserve"> </w:t>
      </w:r>
      <w:r>
        <w:rPr>
          <w:i/>
          <w:iCs/>
        </w:rPr>
        <w:t xml:space="preserve">Proceedings of the National Academy of Sciences</w:t>
      </w:r>
      <w:r>
        <w:t xml:space="preserve"> </w:t>
      </w:r>
      <w:r>
        <w:t xml:space="preserve">122 (19).</w:t>
      </w:r>
      <w:r>
        <w:t xml:space="preserve"> </w:t>
      </w:r>
      <w:hyperlink ns5:id="rId392">
        <w:r>
          <w:rPr>
            <w:rStyle w:val="Hipervnculo"/>
          </w:rPr>
          <w:t xml:space="preserve">https://doi.org/10.1073/pnas.2426766122</w:t>
        </w:r>
      </w:hyperlink>
      <w:r>
        <w:t xml:space="preserve">.</w:t>
      </w:r>
    </w:p>
    <w:bookmarkEnd w:id="393"/>
    <w:bookmarkStart w:id="395" w:name="ref-ribeiro2016"/>
    <w:p>
      <w:pPr>
        <w:pStyle w:val="Bibliography"/>
        <w:spacing w:line="360" w:lineRule="auto"/>
        <w:jc w:val="both"/>
      </w:pPr>
      <w:r>
        <w:t xml:space="preserve">Ribeiro, Singh, M. T. 2016.</w:t>
      </w:r>
      <w:r>
        <w:t xml:space="preserve"> </w:t>
      </w:r>
      <w:r>
        <w:t xml:space="preserve">“"Why Should i Trust You?": Explaining the Predictions of Any Classifier.”</w:t>
      </w:r>
      <w:r>
        <w:t xml:space="preserve"> </w:t>
      </w:r>
      <w:r>
        <w:rPr>
          <w:i/>
          <w:iCs/>
        </w:rPr>
        <w:t xml:space="preserve">arXiv Preprint arXiv:1602.04938</w:t>
      </w:r>
      <w:r>
        <w:t xml:space="preserve">, ahead of print.</w:t>
      </w:r>
      <w:r>
        <w:t xml:space="preserve"> </w:t>
      </w:r>
      <w:hyperlink ns5:id="rId394">
        <w:r>
          <w:rPr>
            <w:rStyle w:val="Hipervnculo"/>
          </w:rPr>
          <w:t xml:space="preserve">https://doi.org/10.1145/2939672.2939778</w:t>
        </w:r>
      </w:hyperlink>
      <w:r>
        <w:t xml:space="preserve">.</w:t>
      </w:r>
    </w:p>
    <w:bookmarkEnd w:id="395"/>
    <w:bookmarkStart w:id="397" w:name="ref-ribeiro2018"/>
    <w:p>
      <w:pPr>
        <w:pStyle w:val="Bibliography"/>
        <w:spacing w:line="360" w:lineRule="auto"/>
        <w:jc w:val="both"/>
      </w:pPr>
      <w:r>
        <w:t xml:space="preserve">Ribeiro, Singh, M. T. 2018.</w:t>
      </w:r>
      <w:r>
        <w:t xml:space="preserve"> </w:t>
      </w:r>
      <w:r>
        <w:t xml:space="preserve">“Anchors: High-Precision Model-Agnostic Explanations.”</w:t>
      </w:r>
      <w:r>
        <w:t xml:space="preserve"> </w:t>
      </w:r>
      <w:r>
        <w:rPr>
          <w:i/>
          <w:iCs/>
        </w:rPr>
        <w:t xml:space="preserve">Proceedings of the AAAI Conference on Artificial Intelligence</w:t>
      </w:r>
      <w:r>
        <w:t xml:space="preserve"> </w:t>
      </w:r>
      <w:r>
        <w:t xml:space="preserve">32 (1).</w:t>
      </w:r>
      <w:r>
        <w:t xml:space="preserve"> </w:t>
      </w:r>
      <w:hyperlink ns5:id="rId396">
        <w:r>
          <w:rPr>
            <w:rStyle w:val="Hipervnculo"/>
          </w:rPr>
          <w:t xml:space="preserve">https://doi.org/10.1609/aaai.v32i1.11491</w:t>
        </w:r>
      </w:hyperlink>
      <w:r>
        <w:t xml:space="preserve">.</w:t>
      </w:r>
    </w:p>
    <w:bookmarkEnd w:id="397"/>
    <w:bookmarkStart w:id="399" w:name="ref-rodriguez2024"/>
    <w:p>
      <w:pPr>
        <w:pStyle w:val="Bibliography"/>
        <w:spacing w:line="360" w:lineRule="auto"/>
        <w:jc w:val="both"/>
      </w:pPr>
      <w:r>
        <w:t xml:space="preserve">Rodriguez, Sebastian, and John Thangarajah. 2024.</w:t>
      </w:r>
      <w:r>
        <w:t xml:space="preserve"> </w:t>
      </w:r>
      <w:r>
        <w:t xml:space="preserve">“Explainable Agents (XAg) by Design.”</w:t>
      </w:r>
      <w:r>
        <w:t xml:space="preserve"> </w:t>
      </w:r>
      <w:r>
        <w:rPr>
          <w:i/>
          <w:iCs/>
        </w:rPr>
        <w:t xml:space="preserve">International Joint Conference on Autonomous Agents and Multiagent Systems</w:t>
      </w:r>
      <w:r>
        <w:t xml:space="preserve">, 2712–16.</w:t>
      </w:r>
      <w:r>
        <w:t xml:space="preserve"> </w:t>
      </w:r>
      <w:hyperlink ns5:id="rId398">
        <w:r>
          <w:rPr>
            <w:rStyle w:val="Hipervnculo"/>
          </w:rPr>
          <w:t xml:space="preserve">https://doi.org/10.65109/vllw9552</w:t>
        </w:r>
      </w:hyperlink>
      <w:r>
        <w:t xml:space="preserve">.</w:t>
      </w:r>
    </w:p>
    <w:bookmarkEnd w:id="399"/>
    <w:bookmarkStart w:id="401" w:name="ref-zhang2024"/>
    <w:p>
      <w:pPr>
        <w:pStyle w:val="Bibliography"/>
        <w:spacing w:line="360" w:lineRule="auto"/>
        <w:jc w:val="both"/>
      </w:pPr>
      <w:r>
        <w:t xml:space="preserve">Rong, Yao, Tobias Leemann, Thai-Trang Nguyen, et al. 2024.</w:t>
      </w:r>
      <w:r>
        <w:t xml:space="preserve"> </w:t>
      </w:r>
      <w:r>
        <w:t xml:space="preserve">“Towards Human-Centered Explainable AI: A Survey of User Studies for Model Explanations.”</w:t>
      </w:r>
      <w:r>
        <w:t xml:space="preserve"> </w:t>
      </w:r>
      <w:r>
        <w:rPr>
          <w:i/>
          <w:iCs/>
        </w:rPr>
        <w:t xml:space="preserve">IEEE Transactions on Pattern Analysis and Machine Intelligence</w:t>
      </w:r>
      <w:r>
        <w:t xml:space="preserve"> </w:t>
      </w:r>
      <w:r>
        <w:t xml:space="preserve">46 (4): 2104–22.</w:t>
      </w:r>
      <w:r>
        <w:t xml:space="preserve"> </w:t>
      </w:r>
      <w:hyperlink ns5:id="rId400">
        <w:r>
          <w:rPr>
            <w:rStyle w:val="Hipervnculo"/>
          </w:rPr>
          <w:t xml:space="preserve">https://doi.org/10.1109/TPAMI.2023.3331846</w:t>
        </w:r>
      </w:hyperlink>
      <w:r>
        <w:t xml:space="preserve">.</w:t>
      </w:r>
    </w:p>
    <w:bookmarkEnd w:id="401"/>
    <w:bookmarkStart w:id="403" w:name="ref-rudin2022"/>
    <w:p>
      <w:pPr>
        <w:pStyle w:val="Bibliography"/>
        <w:spacing w:line="360" w:lineRule="auto"/>
        <w:jc w:val="both"/>
      </w:pPr>
      <w:r>
        <w:t xml:space="preserve">Rudin, Chen, C. 2022.</w:t>
      </w:r>
      <w:r>
        <w:t xml:space="preserve"> </w:t>
      </w:r>
      <w:r>
        <w:t xml:space="preserve">“Interpretable Machine Learning: Fundamental Principles and 10 Grand Challenges.”</w:t>
      </w:r>
      <w:r>
        <w:t xml:space="preserve"> </w:t>
      </w:r>
      <w:r>
        <w:rPr>
          <w:i/>
          <w:iCs/>
        </w:rPr>
        <w:t xml:space="preserve">Statistics Surveys</w:t>
      </w:r>
      <w:r>
        <w:t xml:space="preserve"> </w:t>
      </w:r>
      <w:r>
        <w:t xml:space="preserve">16 (none).</w:t>
      </w:r>
      <w:r>
        <w:t xml:space="preserve"> </w:t>
      </w:r>
      <w:hyperlink ns5:id="rId402">
        <w:r>
          <w:rPr>
            <w:rStyle w:val="Hipervnculo"/>
          </w:rPr>
          <w:t xml:space="preserve">https://doi.org/10.1214/21-ss133</w:t>
        </w:r>
      </w:hyperlink>
      <w:r>
        <w:t xml:space="preserve">.</w:t>
      </w:r>
    </w:p>
    <w:bookmarkEnd w:id="403"/>
    <w:bookmarkStart w:id="405" w:name="ref-rudin2019"/>
    <w:p>
      <w:pPr>
        <w:pStyle w:val="Bibliography"/>
        <w:spacing w:line="360" w:lineRule="auto"/>
        <w:jc w:val="both"/>
      </w:pPr>
      <w:r>
        <w:t xml:space="preserve">Rudin, Cynthia. 2019.</w:t>
      </w:r>
      <w:r>
        <w:t xml:space="preserve"> </w:t>
      </w:r>
      <w:r>
        <w:t xml:space="preserve">“Stop Explaining Black Box Machine Learning Models for High Stakes Decisions and Use Interpretable Models Instead.”</w:t>
      </w:r>
      <w:r>
        <w:t xml:space="preserve"> </w:t>
      </w:r>
      <w:r>
        <w:rPr>
          <w:i/>
          <w:iCs/>
        </w:rPr>
        <w:t xml:space="preserve">Nature Machine Intelligence</w:t>
      </w:r>
      <w:r>
        <w:t xml:space="preserve"> </w:t>
      </w:r>
      <w:r>
        <w:t xml:space="preserve">1 (5): 206–15.</w:t>
      </w:r>
      <w:r>
        <w:t xml:space="preserve"> </w:t>
      </w:r>
      <w:hyperlink ns5:id="rId404">
        <w:r>
          <w:rPr>
            <w:rStyle w:val="Hipervnculo"/>
          </w:rPr>
          <w:t xml:space="preserve">https://doi.org/10.1038/s42256-019-0048-x</w:t>
        </w:r>
      </w:hyperlink>
      <w:r>
        <w:t xml:space="preserve">.</w:t>
      </w:r>
    </w:p>
    <w:bookmarkEnd w:id="405"/>
    <w:bookmarkStart w:id="407" w:name="ref-saarela2024"/>
    <w:p>
      <w:pPr>
        <w:pStyle w:val="Bibliography"/>
        <w:spacing w:line="360" w:lineRule="auto"/>
        <w:jc w:val="both"/>
      </w:pPr>
      <w:r>
        <w:t xml:space="preserve">Saarela, &amp; Podgorelec, M. 2024.</w:t>
      </w:r>
      <w:r>
        <w:t xml:space="preserve"> </w:t>
      </w:r>
      <w:r>
        <w:t xml:space="preserve">“Recent Applications of Explainable AI (XAI): A Systematic Literature Review.”</w:t>
      </w:r>
      <w:r>
        <w:t xml:space="preserve"> </w:t>
      </w:r>
      <w:r>
        <w:rPr>
          <w:i/>
          <w:iCs/>
        </w:rPr>
        <w:t xml:space="preserve">Applied Sciences</w:t>
      </w:r>
      <w:r>
        <w:t xml:space="preserve"> </w:t>
      </w:r>
      <w:r>
        <w:t xml:space="preserve">14 (19): 8884.</w:t>
      </w:r>
      <w:r>
        <w:t xml:space="preserve"> </w:t>
      </w:r>
      <w:hyperlink ns5:id="rId406">
        <w:r>
          <w:rPr>
            <w:rStyle w:val="Hipervnculo"/>
          </w:rPr>
          <w:t xml:space="preserve">https://doi.org/10.3390/app14198884</w:t>
        </w:r>
      </w:hyperlink>
      <w:r>
        <w:t xml:space="preserve">.</w:t>
      </w:r>
    </w:p>
    <w:bookmarkEnd w:id="407"/>
    <w:bookmarkStart w:id="409" w:name="ref-saeed2023"/>
    <w:p>
      <w:pPr>
        <w:pStyle w:val="Bibliography"/>
        <w:spacing w:line="360" w:lineRule="auto"/>
        <w:jc w:val="both"/>
      </w:pPr>
      <w:r>
        <w:t xml:space="preserve">Saeed, &amp; Omlin, W. 2023.</w:t>
      </w:r>
      <w:r>
        <w:t xml:space="preserve"> </w:t>
      </w:r>
      <w:r>
        <w:t xml:space="preserve">“Explainable AI (XAI): A Systematic Meta-Survey of Current Challenges and Future Opportunities.”</w:t>
      </w:r>
      <w:r>
        <w:t xml:space="preserve"> </w:t>
      </w:r>
      <w:r>
        <w:rPr>
          <w:i/>
          <w:iCs/>
        </w:rPr>
        <w:t xml:space="preserve">Knowledge-Based Systems</w:t>
      </w:r>
      <w:r>
        <w:t xml:space="preserve"> </w:t>
      </w:r>
      <w:r>
        <w:t xml:space="preserve">263: 110273.</w:t>
      </w:r>
      <w:r>
        <w:t xml:space="preserve"> </w:t>
      </w:r>
      <w:hyperlink ns5:id="rId408">
        <w:r>
          <w:rPr>
            <w:rStyle w:val="Hipervnculo"/>
          </w:rPr>
          <w:t xml:space="preserve">https://doi.org/10.1016/j.knosys.2023.110273</w:t>
        </w:r>
      </w:hyperlink>
      <w:r>
        <w:t xml:space="preserve">.</w:t>
      </w:r>
    </w:p>
    <w:bookmarkEnd w:id="409"/>
    <w:bookmarkStart w:id="411" w:name="ref-samek2019"/>
    <w:p>
      <w:pPr>
        <w:pStyle w:val="Bibliography"/>
        <w:spacing w:line="360" w:lineRule="auto"/>
        <w:jc w:val="both"/>
      </w:pPr>
      <w:r>
        <w:t xml:space="preserve">Samek, Montavon, W. 2019.</w:t>
      </w:r>
      <w:r>
        <w:t xml:space="preserve"> </w:t>
      </w:r>
      <w:r>
        <w:t xml:space="preserve">“Explainable AI: Interpreting, Explaining and Visualizing Deep Learning.”</w:t>
      </w:r>
      <w:r>
        <w:t xml:space="preserve"> </w:t>
      </w:r>
      <w:r>
        <w:rPr>
          <w:i/>
          <w:iCs/>
        </w:rPr>
        <w:t xml:space="preserve">In Lecture Notes in Computer Science</w:t>
      </w:r>
      <w:r>
        <w:t xml:space="preserve">, ahead of print.</w:t>
      </w:r>
      <w:r>
        <w:t xml:space="preserve"> </w:t>
      </w:r>
      <w:hyperlink ns5:id="rId410">
        <w:r>
          <w:rPr>
            <w:rStyle w:val="Hipervnculo"/>
          </w:rPr>
          <w:t xml:space="preserve">https://doi.org/10.1007/978-3-030-28954-6</w:t>
        </w:r>
      </w:hyperlink>
      <w:r>
        <w:t xml:space="preserve">.</w:t>
      </w:r>
    </w:p>
    <w:bookmarkEnd w:id="411"/>
    <w:bookmarkStart w:id="413" w:name="ref-saqib2024"/>
    <w:p>
      <w:pPr>
        <w:pStyle w:val="Bibliography"/>
        <w:spacing w:line="360" w:lineRule="auto"/>
        <w:jc w:val="both"/>
      </w:pPr>
      <w:r>
        <w:t xml:space="preserve">Saqib, Mohd, Samaneh Mahdavifar, Benjamin C. M. Fung, and Philippe Charland. 2024.</w:t>
      </w:r>
      <w:r>
        <w:t xml:space="preserve"> </w:t>
      </w:r>
      <w:r>
        <w:t xml:space="preserve">“A Comprehensive Analysis of Explainable AI for Malware Hunting.”</w:t>
      </w:r>
      <w:r>
        <w:t xml:space="preserve"> </w:t>
      </w:r>
      <w:r>
        <w:rPr>
          <w:i/>
          <w:iCs/>
        </w:rPr>
        <w:t xml:space="preserve">ACM Computing Surveys</w:t>
      </w:r>
      <w:r>
        <w:t xml:space="preserve"> </w:t>
      </w:r>
      <w:r>
        <w:t xml:space="preserve">56 (12): 1–40.</w:t>
      </w:r>
      <w:r>
        <w:t xml:space="preserve"> </w:t>
      </w:r>
      <w:hyperlink ns5:id="rId412">
        <w:r>
          <w:rPr>
            <w:rStyle w:val="Hipervnculo"/>
          </w:rPr>
          <w:t xml:space="preserve">https://doi.org/10.1145/3677374</w:t>
        </w:r>
      </w:hyperlink>
      <w:r>
        <w:t xml:space="preserve">.</w:t>
      </w:r>
    </w:p>
    <w:bookmarkEnd w:id="413"/>
    <w:bookmarkStart w:id="415" w:name="ref-schwalbe2023"/>
    <w:p>
      <w:pPr>
        <w:pStyle w:val="Bibliography"/>
        <w:spacing w:line="360" w:lineRule="auto"/>
        <w:jc w:val="both"/>
      </w:pPr>
      <w:r>
        <w:t xml:space="preserve">Schwalbe, &amp; Finzel, G. 2023.</w:t>
      </w:r>
      <w:r>
        <w:t xml:space="preserve"> </w:t>
      </w:r>
      <w:r>
        <w:t xml:space="preserve">“A Comprehensive Taxonomy for Explainable Artificial Intelligence: A Systematic Survey of Surveys on Methods and Concepts.”</w:t>
      </w:r>
      <w:r>
        <w:t xml:space="preserve"> </w:t>
      </w:r>
      <w:r>
        <w:rPr>
          <w:i/>
          <w:iCs/>
        </w:rPr>
        <w:t xml:space="preserve">Data Mining and Knowledge Discovery</w:t>
      </w:r>
      <w:r>
        <w:t xml:space="preserve"> </w:t>
      </w:r>
      <w:r>
        <w:t xml:space="preserve">38 (5): 3043–101.</w:t>
      </w:r>
      <w:r>
        <w:t xml:space="preserve"> </w:t>
      </w:r>
      <w:hyperlink ns5:id="rId414">
        <w:r>
          <w:rPr>
            <w:rStyle w:val="Hipervnculo"/>
          </w:rPr>
          <w:t xml:space="preserve">https://doi.org/10.1007/s10618-022-00867-8</w:t>
        </w:r>
      </w:hyperlink>
      <w:r>
        <w:t xml:space="preserve">.</w:t>
      </w:r>
    </w:p>
    <w:bookmarkEnd w:id="415"/>
    <w:bookmarkStart w:id="417" w:name="ref-shapley1952"/>
    <w:p>
      <w:pPr>
        <w:pStyle w:val="Bibliography"/>
        <w:spacing w:line="360" w:lineRule="auto"/>
        <w:jc w:val="both"/>
      </w:pPr>
      <w:r>
        <w:t xml:space="preserve">Shapley, Lloyd S. 1952.</w:t>
      </w:r>
      <w:r>
        <w:t xml:space="preserve"> </w:t>
      </w:r>
      <w:r>
        <w:rPr>
          <w:i/>
          <w:iCs/>
        </w:rPr>
        <w:t xml:space="preserve">A Value for n-Person Games</w:t>
      </w:r>
      <w:r>
        <w:t xml:space="preserve">. P-295. RAND Corporation.</w:t>
      </w:r>
      <w:r>
        <w:t xml:space="preserve"> </w:t>
      </w:r>
      <w:hyperlink ns5:id="rId416">
        <w:r>
          <w:rPr>
            <w:rStyle w:val="Hipervnculo"/>
          </w:rPr>
          <w:t xml:space="preserve">https://www.rand.org/pubs/papers/P0295.html</w:t>
        </w:r>
      </w:hyperlink>
      <w:r>
        <w:t xml:space="preserve">.</w:t>
      </w:r>
    </w:p>
    <w:bookmarkEnd w:id="417"/>
    <w:bookmarkStart w:id="419" w:name="ref-sithakoul2024"/>
    <w:p>
      <w:pPr>
        <w:pStyle w:val="Bibliography"/>
        <w:spacing w:line="360" w:lineRule="auto"/>
        <w:jc w:val="both"/>
      </w:pPr>
      <w:r>
        <w:t xml:space="preserve">Sithakoul, Samuel, Sara Meftah, and Clément Feutry. 2024.</w:t>
      </w:r>
      <w:r>
        <w:t xml:space="preserve"> </w:t>
      </w:r>
      <w:r>
        <w:rPr>
          <w:i/>
          <w:iCs/>
        </w:rPr>
        <w:t xml:space="preserve">BEExAI: Benchmark to Evaluate Explainable AI</w:t>
      </w:r>
      <w:r>
        <w:t xml:space="preserve">. Springer Nature Switzerland.</w:t>
      </w:r>
      <w:r>
        <w:t xml:space="preserve"> </w:t>
      </w:r>
      <w:hyperlink ns5:id="rId418">
        <w:r>
          <w:rPr>
            <w:rStyle w:val="Hipervnculo"/>
          </w:rPr>
          <w:t xml:space="preserve">https://doi.org/10.1007/978-3-031-63787-2_23</w:t>
        </w:r>
      </w:hyperlink>
      <w:r>
        <w:t xml:space="preserve">.</w:t>
      </w:r>
    </w:p>
    <w:bookmarkEnd w:id="419"/>
    <w:bookmarkStart w:id="421" w:name="ref-slack2020"/>
    <w:p>
      <w:pPr>
        <w:pStyle w:val="Bibliography"/>
        <w:spacing w:line="360" w:lineRule="auto"/>
        <w:jc w:val="both"/>
      </w:pPr>
      <w:r>
        <w:t xml:space="preserve">Slack, Dylan, Sophie Hilgard, Emily Jia, Sameer Singh, and Himabindu Lakkaraju. 2020.</w:t>
      </w:r>
      <w:r>
        <w:t xml:space="preserve"> </w:t>
      </w:r>
      <w:r>
        <w:t xml:space="preserve">“Fooling LIME and SHAP: Adversarial Attacks on Post Hoc Explanation Methods.”</w:t>
      </w:r>
      <w:r>
        <w:t xml:space="preserve"> </w:t>
      </w:r>
      <w:r>
        <w:rPr>
          <w:i/>
          <w:iCs/>
        </w:rPr>
        <w:t xml:space="preserve">Proceedings of the AAAI/ACM Conference on AI, Ethics, and Society</w:t>
      </w:r>
      <w:r>
        <w:t xml:space="preserve">, 180–86.</w:t>
      </w:r>
      <w:r>
        <w:t xml:space="preserve"> </w:t>
      </w:r>
      <w:hyperlink ns5:id="rId420">
        <w:r>
          <w:rPr>
            <w:rStyle w:val="Hipervnculo"/>
          </w:rPr>
          <w:t xml:space="preserve">https://doi.org/10.1145/3375627.3375830</w:t>
        </w:r>
      </w:hyperlink>
      <w:r>
        <w:t xml:space="preserve">.</w:t>
      </w:r>
    </w:p>
    <w:bookmarkEnd w:id="421"/>
    <w:bookmarkStart w:id="423" w:name="ref-sokol2020"/>
    <w:p>
      <w:pPr>
        <w:pStyle w:val="Bibliography"/>
        <w:spacing w:line="360" w:lineRule="auto"/>
        <w:jc w:val="both"/>
      </w:pPr>
      <w:r>
        <w:t xml:space="preserve">Sokol, Kacper, and Peter Flach. 2020.</w:t>
      </w:r>
      <w:r>
        <w:t xml:space="preserve"> </w:t>
      </w:r>
      <w:r>
        <w:t xml:space="preserve">“One Explanation Does Not Fit All: The Promise of Interactive Explanations for Machine Learning Transparency.”</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ns5:id="rId422">
        <w:r>
          <w:rPr>
            <w:rStyle w:val="Hipervnculo"/>
          </w:rPr>
          <w:t xml:space="preserve">https://doi.org/10.1007/s13218-020-00637-y</w:t>
        </w:r>
      </w:hyperlink>
      <w:r>
        <w:t xml:space="preserve">.</w:t>
      </w:r>
    </w:p>
    <w:bookmarkEnd w:id="423"/>
    <w:bookmarkStart w:id="425" w:name="ref-tan2023"/>
    <w:p>
      <w:pPr>
        <w:pStyle w:val="Bibliography"/>
        <w:spacing w:line="360" w:lineRule="auto"/>
        <w:jc w:val="both"/>
      </w:pPr>
      <w:r>
        <w:t xml:space="preserve">Tan, Juntao, and Yongfeng Zhang. 2023.</w:t>
      </w:r>
      <w:r>
        <w:t xml:space="preserve"> </w:t>
      </w:r>
      <w:r>
        <w:t xml:space="preserve">“ExplainableFold: Understanding AlphaFold Prediction with Explainable AI.”</w:t>
      </w:r>
      <w:r>
        <w:t xml:space="preserve"> </w:t>
      </w:r>
      <w:r>
        <w:rPr>
          <w:i/>
          <w:iCs/>
        </w:rPr>
        <w:t xml:space="preserve">Proceedings of the 29th ACM SIGKDD Conference on Knowledge Discovery and Data Mining</w:t>
      </w:r>
      <w:r>
        <w:t xml:space="preserve">, 2166–76.</w:t>
      </w:r>
      <w:r>
        <w:t xml:space="preserve"> </w:t>
      </w:r>
      <w:hyperlink ns5:id="rId424">
        <w:r>
          <w:rPr>
            <w:rStyle w:val="Hipervnculo"/>
          </w:rPr>
          <w:t xml:space="preserve">https://doi.org/10.1145/3580305.3599337</w:t>
        </w:r>
      </w:hyperlink>
      <w:r>
        <w:t xml:space="preserve">.</w:t>
      </w:r>
    </w:p>
    <w:bookmarkEnd w:id="425"/>
    <w:bookmarkStart w:id="427" w:name="ref-tjoa2020"/>
    <w:p>
      <w:pPr>
        <w:pStyle w:val="Bibliography"/>
        <w:spacing w:line="360" w:lineRule="auto"/>
        <w:jc w:val="both"/>
      </w:pPr>
      <w:r>
        <w:t xml:space="preserve">Tjoa, Erico, and Cuntai Guan. 2021.</w:t>
      </w:r>
      <w:r>
        <w:t xml:space="preserve"> </w:t>
      </w:r>
      <w:r>
        <w:t xml:space="preserve">“A Survey on Explainable Artificial Intelligence (XAI): Toward Medical XAI.”</w:t>
      </w:r>
      <w:r>
        <w:t xml:space="preserve"> </w:t>
      </w:r>
      <w:r>
        <w:rPr>
          <w:i/>
          <w:iCs/>
        </w:rPr>
        <w:t xml:space="preserve">IEEE Transactions on Neural Networks and Learning Systems</w:t>
      </w:r>
      <w:r>
        <w:t xml:space="preserve"> </w:t>
      </w:r>
      <w:r>
        <w:t xml:space="preserve">32 (11): 4793–813.</w:t>
      </w:r>
      <w:r>
        <w:t xml:space="preserve"> </w:t>
      </w:r>
      <w:hyperlink ns5:id="rId426">
        <w:r>
          <w:rPr>
            <w:rStyle w:val="Hipervnculo"/>
          </w:rPr>
          <w:t xml:space="preserve">https://doi.org/10.1109/TNNLS.2020.3027314</w:t>
        </w:r>
      </w:hyperlink>
      <w:r>
        <w:t xml:space="preserve">.</w:t>
      </w:r>
    </w:p>
    <w:bookmarkEnd w:id="427"/>
    <w:bookmarkStart w:id="429" w:name="ref-tomsett2020"/>
    <w:p>
      <w:pPr>
        <w:pStyle w:val="Bibliography"/>
        <w:spacing w:line="360" w:lineRule="auto"/>
        <w:jc w:val="both"/>
      </w:pPr>
      <w:r>
        <w:t xml:space="preserve">Tomsett, Richard, Dan Harborne, Supriyo Chakraborty, Prudhvi Gurram, and Alun Preece. 2020.</w:t>
      </w:r>
      <w:r>
        <w:t xml:space="preserve"> </w:t>
      </w:r>
      <w:r>
        <w:t xml:space="preserve">“Sanity Checks for Saliency Metrics.”</w:t>
      </w:r>
      <w:r>
        <w:t xml:space="preserve"> </w:t>
      </w:r>
      <w:r>
        <w:rPr>
          <w:i/>
          <w:iCs/>
        </w:rPr>
        <w:t xml:space="preserve">Proceedings of the AAAI Conference on Artificial Intelligence</w:t>
      </w:r>
      <w:r>
        <w:t xml:space="preserve"> </w:t>
      </w:r>
      <w:r>
        <w:t xml:space="preserve">34 (04): 6021–29.</w:t>
      </w:r>
      <w:r>
        <w:t xml:space="preserve"> </w:t>
      </w:r>
      <w:hyperlink ns5:id="rId428">
        <w:r>
          <w:rPr>
            <w:rStyle w:val="Hipervnculo"/>
          </w:rPr>
          <w:t xml:space="preserve">https://doi.org/10.1609/aaai.v34i04.6064</w:t>
        </w:r>
      </w:hyperlink>
      <w:r>
        <w:t xml:space="preserve">.</w:t>
      </w:r>
    </w:p>
    <w:bookmarkEnd w:id="429"/>
    <w:bookmarkStart w:id="431" w:name="ref-tripathy2024"/>
    <w:p>
      <w:pPr>
        <w:pStyle w:val="Bibliography"/>
        <w:spacing w:line="360" w:lineRule="auto"/>
        <w:jc w:val="both"/>
      </w:pPr>
      <w:r>
        <w:t xml:space="preserve">Tripathy, &amp; Seetha, B. K. 2024.</w:t>
      </w:r>
      <w:r>
        <w:t xml:space="preserve"> </w:t>
      </w:r>
      <w:r>
        <w:t xml:space="preserve">“Explainable, Interpretable, and Transparent AI Systems.”</w:t>
      </w:r>
      <w:r>
        <w:t xml:space="preserve"> </w:t>
      </w:r>
      <w:r>
        <w:rPr>
          <w:i/>
          <w:iCs/>
        </w:rPr>
        <w:t xml:space="preserve">In CRC Press eBooks</w:t>
      </w:r>
      <w:r>
        <w:t xml:space="preserve">, ahead of print.</w:t>
      </w:r>
      <w:r>
        <w:t xml:space="preserve"> </w:t>
      </w:r>
      <w:hyperlink ns5:id="rId430">
        <w:r>
          <w:rPr>
            <w:rStyle w:val="Hipervnculo"/>
          </w:rPr>
          <w:t xml:space="preserve">https://doi.org/10.1201/9781003442509</w:t>
        </w:r>
      </w:hyperlink>
      <w:r>
        <w:t xml:space="preserve">.</w:t>
      </w:r>
    </w:p>
    <w:bookmarkEnd w:id="431"/>
    <w:bookmarkStart w:id="432" w:name="ref-tsai2023"/>
    <w:p>
      <w:pPr>
        <w:pStyle w:val="Bibliography"/>
        <w:spacing w:line="360" w:lineRule="auto"/>
        <w:jc w:val="both"/>
      </w:pPr>
      <w:r>
        <w:t xml:space="preserve">Tsai, Che-Ping, Chih-Kuan Yeh, and Pradeep Ravikumar. 2023.</w:t>
      </w:r>
      <w:r>
        <w:t xml:space="preserve"> </w:t>
      </w:r>
      <w:r>
        <w:t xml:space="preserve">“Faith-Shap: The Faithful Shapley Interaction Index.”</w:t>
      </w:r>
      <w:r>
        <w:t xml:space="preserve"> </w:t>
      </w:r>
      <w:r>
        <w:rPr>
          <w:i/>
          <w:iCs/>
        </w:rPr>
        <w:t xml:space="preserve">Journal of Machine Learning Research</w:t>
      </w:r>
      <w:r>
        <w:t xml:space="preserve"> </w:t>
      </w:r>
      <w:r>
        <w:t xml:space="preserve">24: 1–42.</w:t>
      </w:r>
    </w:p>
    <w:bookmarkEnd w:id="432"/>
    <w:bookmarkStart w:id="434" w:name="ref-tsigos2024"/>
    <w:p>
      <w:pPr>
        <w:pStyle w:val="Bibliography"/>
        <w:spacing w:line="360" w:lineRule="auto"/>
        <w:jc w:val="both"/>
      </w:pPr>
      <w:r>
        <w:t xml:space="preserve">Tsigos, Konstantinos, Evlampios Apostolidis, Spyridon Baxevanakis, Symeon Papadopoulos, and Vasileios Mezaris. 2024.</w:t>
      </w:r>
      <w:r>
        <w:t xml:space="preserve"> </w:t>
      </w:r>
      <w:r>
        <w:t xml:space="preserve">“Towards Quantitative Evaluation of Explainable AI Methods for Deepfake Detection.”</w:t>
      </w:r>
      <w:r>
        <w:t xml:space="preserve"> </w:t>
      </w:r>
      <w:r>
        <w:rPr>
          <w:i/>
          <w:iCs/>
        </w:rPr>
        <w:t xml:space="preserve">3rd ACM International Workshop on Multimedia AI Against Disinformation</w:t>
      </w:r>
      <w:r>
        <w:t xml:space="preserve">, 37–45.</w:t>
      </w:r>
      <w:r>
        <w:t xml:space="preserve"> </w:t>
      </w:r>
      <w:hyperlink ns5:id="rId433">
        <w:r>
          <w:rPr>
            <w:rStyle w:val="Hipervnculo"/>
          </w:rPr>
          <w:t xml:space="preserve">https://doi.org/10.1145/3643491.3660292</w:t>
        </w:r>
      </w:hyperlink>
      <w:r>
        <w:t xml:space="preserve">.</w:t>
      </w:r>
    </w:p>
    <w:bookmarkEnd w:id="434"/>
    <w:bookmarkStart w:id="436" w:name="ref-ullah2024"/>
    <w:p>
      <w:pPr>
        <w:pStyle w:val="Bibliography"/>
        <w:spacing w:line="360" w:lineRule="auto"/>
        <w:jc w:val="both"/>
      </w:pPr>
      <w:r>
        <w:t xml:space="preserve">Ullah, Naeem, Javed Ali Khan, Ivanoe De Falco, and Giovanna Sannino. 2024.</w:t>
      </w:r>
      <w:r>
        <w:t xml:space="preserve"> </w:t>
      </w:r>
      <w:r>
        <w:t xml:space="preserve">“Explainable Artificial Intelligence: Importance, Use Domains, Stages, Output Shapes, and Challenges.”</w:t>
      </w:r>
      <w:r>
        <w:t xml:space="preserve"> </w:t>
      </w:r>
      <w:r>
        <w:rPr>
          <w:i/>
          <w:iCs/>
        </w:rPr>
        <w:t xml:space="preserve">ACM Computing Surveys</w:t>
      </w:r>
      <w:r>
        <w:t xml:space="preserve"> </w:t>
      </w:r>
      <w:r>
        <w:t xml:space="preserve">57 (4): 1–36.</w:t>
      </w:r>
      <w:r>
        <w:t xml:space="preserve"> </w:t>
      </w:r>
      <w:hyperlink ns5:id="rId435">
        <w:r>
          <w:rPr>
            <w:rStyle w:val="Hipervnculo"/>
          </w:rPr>
          <w:t xml:space="preserve">https://doi.org/10.1145/3705724</w:t>
        </w:r>
      </w:hyperlink>
      <w:r>
        <w:t xml:space="preserve">.</w:t>
      </w:r>
    </w:p>
    <w:bookmarkEnd w:id="436"/>
    <w:bookmarkStart w:id="438" w:name="ref-vainiopekka2023"/>
    <w:p>
      <w:pPr>
        <w:pStyle w:val="Bibliography"/>
        <w:spacing w:line="360" w:lineRule="auto"/>
        <w:jc w:val="both"/>
      </w:pPr>
      <w:r>
        <w:t xml:space="preserve">Vainio-Pekka, Heidi, Mamia Ori-Otse Agbese, Marianna Jantunen, et al. 2023.</w:t>
      </w:r>
      <w:r>
        <w:t xml:space="preserve"> </w:t>
      </w:r>
      <w:r>
        <w:t xml:space="preserve">“The Role of Explainable AI in the Research Field of AI Ethics.”</w:t>
      </w:r>
      <w:r>
        <w:t xml:space="preserve"> </w:t>
      </w:r>
      <w:r>
        <w:rPr>
          <w:i/>
          <w:iCs/>
        </w:rPr>
        <w:t xml:space="preserve">ACM Transactions on Interactive Intelligent Systems</w:t>
      </w:r>
      <w:r>
        <w:t xml:space="preserve"> </w:t>
      </w:r>
      <w:r>
        <w:t xml:space="preserve">13 (4): 1–39.</w:t>
      </w:r>
      <w:r>
        <w:t xml:space="preserve"> </w:t>
      </w:r>
      <w:hyperlink ns5:id="rId437">
        <w:r>
          <w:rPr>
            <w:rStyle w:val="Hipervnculo"/>
          </w:rPr>
          <w:t xml:space="preserve">https://doi.org/10.1145/3599974</w:t>
        </w:r>
      </w:hyperlink>
      <w:r>
        <w:t xml:space="preserve">.</w:t>
      </w:r>
    </w:p>
    <w:bookmarkEnd w:id="438"/>
    <w:bookmarkStart w:id="440" w:name="ref-vandenbroeck2022"/>
    <w:p>
      <w:pPr>
        <w:pStyle w:val="Bibliography"/>
        <w:spacing w:line="360" w:lineRule="auto"/>
        <w:jc w:val="both"/>
      </w:pPr>
      <w:r>
        <w:t xml:space="preserve">Van den Broeck, Guy, Anton Lykov, Maximilian Schleich, and Dan Suciu. 2022.</w:t>
      </w:r>
      <w:r>
        <w:t xml:space="preserve"> </w:t>
      </w:r>
      <w:r>
        <w:t xml:space="preserve">“On the Tractability of SHAP Explanations.”</w:t>
      </w:r>
      <w:r>
        <w:t xml:space="preserve"> </w:t>
      </w:r>
      <w:r>
        <w:rPr>
          <w:i/>
          <w:iCs/>
        </w:rPr>
        <w:t xml:space="preserve">Journal of Artificial Intelligence Research</w:t>
      </w:r>
      <w:r>
        <w:t xml:space="preserve"> </w:t>
      </w:r>
      <w:r>
        <w:t xml:space="preserve">74: 851–86.</w:t>
      </w:r>
      <w:r>
        <w:t xml:space="preserve"> </w:t>
      </w:r>
      <w:hyperlink ns5:id="rId439">
        <w:r>
          <w:rPr>
            <w:rStyle w:val="Hipervnculo"/>
          </w:rPr>
          <w:t xml:space="preserve">https://doi.org/10.1613/jair.1.13283</w:t>
        </w:r>
      </w:hyperlink>
      <w:r>
        <w:t xml:space="preserve">.</w:t>
      </w:r>
    </w:p>
    <w:bookmarkEnd w:id="440"/>
    <w:bookmarkStart w:id="442" w:name="ref-voigt2017"/>
    <w:p>
      <w:pPr>
        <w:pStyle w:val="Bibliography"/>
        <w:spacing w:line="360" w:lineRule="auto"/>
        <w:jc w:val="both"/>
      </w:pPr>
      <w:r>
        <w:t xml:space="preserve">Voigt, Paul, and Axel von dem Bussche. 2017.</w:t>
      </w:r>
      <w:r>
        <w:t xml:space="preserve"> </w:t>
      </w:r>
      <w:r>
        <w:rPr>
          <w:i/>
          <w:iCs/>
        </w:rPr>
        <w:t xml:space="preserve">The EU General Data Protection Regulation (GDPR): A Practical Guide</w:t>
      </w:r>
      <w:r>
        <w:t xml:space="preserve">. Springer.</w:t>
      </w:r>
      <w:r>
        <w:t xml:space="preserve"> </w:t>
      </w:r>
      <w:hyperlink ns5:id="rId441">
        <w:r>
          <w:rPr>
            <w:rStyle w:val="Hipervnculo"/>
          </w:rPr>
          <w:t xml:space="preserve">https://doi.org/10.1007/978-3-319-57959-7</w:t>
        </w:r>
      </w:hyperlink>
      <w:r>
        <w:t xml:space="preserve">.</w:t>
      </w:r>
    </w:p>
    <w:bookmarkEnd w:id="442"/>
    <w:bookmarkStart w:id="444" w:name="ref-wachter2017"/>
    <w:p>
      <w:pPr>
        <w:pStyle w:val="Bibliography"/>
        <w:spacing w:line="360" w:lineRule="auto"/>
        <w:jc w:val="both"/>
      </w:pPr>
      <w:r>
        <w:t xml:space="preserve">Wachter, Mittelstadt, S. 2017.</w:t>
      </w:r>
      <w:r>
        <w:t xml:space="preserve"> </w:t>
      </w:r>
      <w:r>
        <w:t xml:space="preserve">“Counterfactual Explanations Without Opening the Black Box: Automated Decisions and the GDPR.”</w:t>
      </w:r>
      <w:r>
        <w:t xml:space="preserve"> </w:t>
      </w:r>
      <w:r>
        <w:rPr>
          <w:i/>
          <w:iCs/>
        </w:rPr>
        <w:t xml:space="preserve">SSRN Electronic Journal</w:t>
      </w:r>
      <w:r>
        <w:t xml:space="preserve">, ahead of print.</w:t>
      </w:r>
      <w:r>
        <w:t xml:space="preserve"> </w:t>
      </w:r>
      <w:hyperlink ns5:id="rId443">
        <w:r>
          <w:rPr>
            <w:rStyle w:val="Hipervnculo"/>
          </w:rPr>
          <w:t xml:space="preserve">https://doi.org/10.2139/ssrn.3063289</w:t>
        </w:r>
      </w:hyperlink>
      <w:r>
        <w:t xml:space="preserve">.</w:t>
      </w:r>
    </w:p>
    <w:bookmarkEnd w:id="444"/>
    <w:bookmarkStart w:id="445" w:name="ref-wang2025"/>
    <w:p>
      <w:pPr>
        <w:pStyle w:val="Bibliography"/>
        <w:spacing w:line="360" w:lineRule="auto"/>
        <w:jc w:val="both"/>
      </w:pPr>
      <w:r>
        <w:t xml:space="preserve">Wang, Zhanliang, and Kai Wang. 2025.</w:t>
      </w:r>
      <w:r>
        <w:t xml:space="preserve"> </w:t>
      </w:r>
      <w:r>
        <w:rPr>
          <w:i/>
          <w:iCs/>
        </w:rPr>
        <w:t xml:space="preserve">MultiSHAP: A Shapley-Based Framework for Explaining Cross-Modal Interactions in Multimodal AI Models</w:t>
      </w:r>
      <w:r>
        <w:t xml:space="preserve">.</w:t>
      </w:r>
    </w:p>
    <w:bookmarkEnd w:id="445"/>
    <w:bookmarkStart w:id="447" w:name="ref-wilcoxon1945"/>
    <w:p>
      <w:pPr>
        <w:pStyle w:val="Bibliography"/>
        <w:spacing w:line="360" w:lineRule="auto"/>
        <w:jc w:val="both"/>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ns5:id="rId446">
        <w:r>
          <w:rPr>
            <w:rStyle w:val="Hipervnculo"/>
          </w:rPr>
          <w:t xml:space="preserve">https://doi.org/10.2307/3001968</w:t>
        </w:r>
      </w:hyperlink>
      <w:r>
        <w:t xml:space="preserve">.</w:t>
      </w:r>
    </w:p>
    <w:bookmarkEnd w:id="447"/>
    <w:bookmarkStart w:id="449" w:name="ref-zheng2025"/>
    <w:p>
      <w:pPr>
        <w:pStyle w:val="Bibliography"/>
        <w:spacing w:line="360" w:lineRule="auto"/>
        <w:jc w:val="both"/>
      </w:pPr>
      <w:r>
        <w:t xml:space="preserve">Zheng, X., F. Shirani, Z. Chen, et al. 2025.</w:t>
      </w:r>
      <w:r>
        <w:t xml:space="preserve"> </w:t>
      </w:r>
      <w:r>
        <w:t xml:space="preserve">“F-FIDELITY: A Robust Framework for Faithfulness Evaluation of Explainable AI.”</w:t>
      </w:r>
      <w:r>
        <w:t xml:space="preserve"> </w:t>
      </w:r>
      <w:r>
        <w:rPr>
          <w:i/>
          <w:iCs/>
        </w:rPr>
        <w:t xml:space="preserve">ICLR 2025 Proceedings</w:t>
      </w:r>
      <w:r>
        <w:t xml:space="preserve">.</w:t>
      </w:r>
      <w:r>
        <w:t xml:space="preserve"> </w:t>
      </w:r>
      <w:hyperlink ns5:id="rId448">
        <w:r>
          <w:rPr>
            <w:rStyle w:val="Hipervnculo"/>
          </w:rPr>
          <w:t xml:space="preserve">https://trustai4s-lab.github.io/ffidelity</w:t>
        </w:r>
      </w:hyperlink>
      <w:r>
        <w:t xml:space="preserve">.</w:t>
      </w:r>
    </w:p>
    <w:bookmarkEnd w:id="449"/>
    <w:bookmarkEnd w:id="450"/>
    <w:bookmarkEnd w:id="451"/>
    <w:bookmarkStart w:id="475" w:name="apéndices"/>
    <w:p>
      <w:pPr>
        <w:pStyle w:val="Ttulo1"/>
        <w:spacing w:line="360" w:lineRule="auto"/>
        <w:jc w:val="both"/>
      </w:pPr>
      <w:r>
        <w:t xml:space="preserve">Apéndices</w:t>
      </w:r>
    </w:p>
    <w:bookmarkStart w:id="453" w:name="Xee799cefc3e174a13188f506c487e1fa0a452e0"/>
    <w:p>
      <w:pPr>
        <w:pStyle w:val="Ttulo2"/>
        <w:spacing w:line="360" w:lineRule="auto"/>
        <w:jc w:val="both"/>
      </w:pPr>
      <w:r>
        <w:t xml:space="preserve">Apéndice A: Corpus de datos, partición y preprocesamiento</w:t>
      </w:r>
    </w:p>
    <w:p>
      <w:pPr>
        <w:pStyle w:val="FirstParagraph"/>
        <w:spacing w:line="360" w:lineRule="auto"/>
        <w:jc w:val="both"/>
      </w:pPr>
      <w:r>
        <w:t xml:space="preserve">El conjunto Adult Income se carga desde</w:t>
      </w:r>
      <w:r>
        <w:t xml:space="preserve"> </w:t>
      </w:r>
      <w:r>
        <w:rPr>
          <w:rStyle w:val="VerbatimChar"/>
        </w:rPr>
        <w:t xml:space="preserve">src/data_loading/adult.py</w:t>
      </w:r>
      <w:r>
        <w:t xml:space="preserve">, usando</w:t>
      </w:r>
      <w:r>
        <w:t xml:space="preserve"> </w:t>
      </w:r>
      <w:r>
        <w:t xml:space="preserve">OpenML como fuente primaria y UCI como respaldo. La versión experimental usada</w:t>
      </w:r>
      <w:r>
        <w:t xml:space="preserve"> </w:t>
      </w:r>
      <w:r>
        <w:t xml:space="preserve">en la tesis contiene 48,842 instancias, 14 características originales y una</w:t>
      </w:r>
      <w:r>
        <w:t xml:space="preserve"> </w:t>
      </w:r>
      <w:r>
        <w:t xml:space="preserve">variable binaria de predicción (</w:t>
      </w:r>
      <w:r>
        <w:rPr>
          <w:rStyle w:val="VerbatimChar"/>
        </w:rPr>
        <w:t xml:space="preserve">&gt;50K</w:t>
      </w:r>
      <w:r>
        <w:t xml:space="preserve"> </w:t>
      </w:r>
      <w:r>
        <w:t xml:space="preserve">frente a</w:t>
      </w:r>
      <w:r>
        <w:t xml:space="preserve"> </w:t>
      </w:r>
      <w:r>
        <w:rPr>
          <w:rStyle w:val="VerbatimChar"/>
        </w:rPr>
        <w:t xml:space="preserve">&lt;=50K</w:t>
      </w:r>
      <w:r>
        <w:t xml:space="preserve">). La partición canónica</w:t>
      </w:r>
      <w:r>
        <w:t xml:space="preserve"> </w:t>
      </w:r>
      <w:r>
        <w:t xml:space="preserve">usa</w:t>
      </w:r>
      <w:r>
        <w:t xml:space="preserve"> </w:t>
      </w:r>
      <w:r>
        <w:rPr>
          <w:rStyle w:val="VerbatimChar"/>
        </w:rPr>
        <w:t xml:space="preserve">test_size = 0.20</w:t>
      </w:r>
      <w:r>
        <w:t xml:space="preserve">, estratificación por etiqueta y</w:t>
      </w:r>
      <w:r>
        <w:t xml:space="preserve"> </w:t>
      </w:r>
      <w:r>
        <w:rPr>
          <w:rStyle w:val="VerbatimChar"/>
        </w:rPr>
        <w:t xml:space="preserve">random_state = 42</w:t>
      </w:r>
      <w:r>
        <w:t xml:space="preserve">,</w:t>
      </w:r>
      <w:r>
        <w:t xml:space="preserve"> </w:t>
      </w:r>
      <w:r>
        <w:t xml:space="preserve">produciendo 39,032 instancias de entrenamiento y 9,758 de prueba.</w:t>
      </w:r>
    </w:p>
    <w:tbl>
      <w:tblPr>
        <w:tblStyle w:val="Table"/>
        <w:tblW w:type="pct" w:w="5000"/>
        <w:tblLayout w:type="fixed"/>
        <w:tblLook w:firstRow="0" w:lastRow="0" w:firstColumn="0" w:lastColumn="0" w:noHBand="0" w:noVBand="0" w:val="0000"/>
      </w:tblPr>
      <w:tblGrid>
        <w:gridCol w:w="7920"/>
      </w:tblGrid>
      <w:tr>
        <w:tc>
          <w:tcPr/>
          <w:bookmarkStart w:id="452" w:name="tbl-appendix-dataset-schema"/>
          <w:p>
            <w:pPr>
              <w:jc w:val="both"/>
              <w:spacing w:line="360" w:lineRule="auto"/>
            </w:pPr>
            <w:pPr>
              <w:jc w:val="left"/>
              <w:spacing w:before="200"/>
              <w:pStyle w:val="ImageCaption"/>
            </w:pPr>
            <w:r>
              <w:t xml:space="preserve">Table 7.5: Esquema resumido del conjunto Adult y transformaciones de preprocesamiento.</w:t>
            </w: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Grupo</w:t>
                  </w:r>
                </w:p>
              </w:tc>
              <w:tc>
                <w:tcPr/>
                <w:p>
                  <w:pPr>
                    <w:pStyle w:val="Compact"/>
                    <w:jc w:val="both"/>
                    <w:jc w:val="center"/>
                    <w:spacing w:line="360" w:lineRule="auto"/>
                  </w:pPr>
                  <w:r>
                    <w:t xml:space="preserve">Características</w:t>
                  </w:r>
                </w:p>
              </w:tc>
              <w:tc>
                <w:tcPr/>
                <w:p>
                  <w:pPr>
                    <w:pStyle w:val="Compact"/>
                    <w:jc w:val="both"/>
                    <w:jc w:val="center"/>
                    <w:spacing w:line="360" w:lineRule="auto"/>
                  </w:pPr>
                  <w:r>
                    <w:t xml:space="preserve">Tratamiento</w:t>
                  </w:r>
                </w:p>
              </w:tc>
            </w:tr>
            <w:tr>
              <w:tc>
                <w:tcPr/>
                <w:p>
                  <w:pPr>
                    <w:pStyle w:val="Compact"/>
                    <w:jc w:val="both"/>
                    <w:jc w:val="center"/>
                    <w:spacing w:line="360" w:lineRule="auto"/>
                  </w:pPr>
                  <w:r>
                    <w:t xml:space="preserve">Numéricas</w:t>
                  </w:r>
                </w:p>
              </w:tc>
              <w:tc>
                <w:tcPr/>
                <w:p>
                  <w:pPr>
                    <w:pStyle w:val="Compact"/>
                    <w:jc w:val="both"/>
                    <w:jc w:val="center"/>
                    <w:spacing w:line="360" w:lineRule="auto"/>
                  </w:pPr>
                  <w:r>
                    <w:rPr>
                      <w:rStyle w:val="VerbatimChar"/>
                    </w:rPr>
                    <w:t xml:space="preserve">age</w:t>
                  </w:r>
                  <w:r>
                    <w:t xml:space="preserve">,</w:t>
                  </w:r>
                  <w:r>
                    <w:t xml:space="preserve"> </w:t>
                  </w:r>
                  <w:r>
                    <w:rPr>
                      <w:rStyle w:val="VerbatimChar"/>
                    </w:rPr>
                    <w:t xml:space="preserve">education-num</w:t>
                  </w:r>
                  <w:r>
                    <w:t xml:space="preserve">,</w:t>
                  </w:r>
                  <w:r>
                    <w:t xml:space="preserve"> </w:t>
                  </w:r>
                  <w:r>
                    <w:rPr>
                      <w:rStyle w:val="VerbatimChar"/>
                    </w:rPr>
                    <w:t xml:space="preserve">capital-gain</w:t>
                  </w:r>
                  <w:r>
                    <w:t xml:space="preserve">,</w:t>
                  </w:r>
                  <w:r>
                    <w:t xml:space="preserve"> </w:t>
                  </w:r>
                  <w:r>
                    <w:rPr>
                      <w:rStyle w:val="VerbatimChar"/>
                    </w:rPr>
                    <w:t xml:space="preserve">capital-loss</w:t>
                  </w:r>
                  <w:r>
                    <w:t xml:space="preserve">,</w:t>
                  </w:r>
                  <w:r>
                    <w:t xml:space="preserve"> </w:t>
                  </w:r>
                  <w:r>
                    <w:rPr>
                      <w:rStyle w:val="VerbatimChar"/>
                    </w:rPr>
                    <w:t xml:space="preserve">hours-per-week</w:t>
                  </w:r>
                  <w:r>
                    <w:t xml:space="preserve">,</w:t>
                  </w:r>
                  <w:r>
                    <w:t xml:space="preserve"> </w:t>
                  </w:r>
                  <w:r>
                    <w:rPr>
                      <w:rStyle w:val="VerbatimChar"/>
                    </w:rPr>
                    <w:t xml:space="preserve">fnlwgt</w:t>
                  </w:r>
                </w:p>
              </w:tc>
              <w:tc>
                <w:tcPr/>
                <w:p>
                  <w:pPr>
                    <w:pStyle w:val="Compact"/>
                    <w:jc w:val="both"/>
                    <w:jc w:val="center"/>
                    <w:spacing w:line="360" w:lineRule="auto"/>
                  </w:pPr>
                  <w:r>
                    <w:t xml:space="preserve">Estandarización con</w:t>
                  </w:r>
                  <w:r>
                    <w:t xml:space="preserve"> </w:t>
                  </w:r>
                  <w:r>
                    <w:rPr>
                      <w:rStyle w:val="VerbatimChar"/>
                    </w:rPr>
                    <w:t xml:space="preserve">StandardScaler</w:t>
                  </w:r>
                  <w:r>
                    <w:t xml:space="preserve"> </w:t>
                  </w:r>
                  <w:r>
                    <w:t xml:space="preserve">ajustado solo en entrenamiento</w:t>
                  </w:r>
                </w:p>
              </w:tc>
            </w:tr>
            <w:tr>
              <w:tc>
                <w:tcPr/>
                <w:p>
                  <w:pPr>
                    <w:pStyle w:val="Compact"/>
                    <w:jc w:val="both"/>
                    <w:jc w:val="center"/>
                    <w:spacing w:line="360" w:lineRule="auto"/>
                  </w:pPr>
                  <w:r>
                    <w:t xml:space="preserve">Categóricas</w:t>
                  </w:r>
                </w:p>
              </w:tc>
              <w:tc>
                <w:tcPr/>
                <w:p>
                  <w:pPr>
                    <w:pStyle w:val="Compact"/>
                    <w:jc w:val="both"/>
                    <w:jc w:val="center"/>
                    <w:spacing w:line="360" w:lineRule="auto"/>
                  </w:pPr>
                  <w:r>
                    <w:rPr>
                      <w:rStyle w:val="VerbatimChar"/>
                    </w:rPr>
                    <w:t xml:space="preserve">workclass</w:t>
                  </w:r>
                  <w:r>
                    <w:t xml:space="preserve">,</w:t>
                  </w:r>
                  <w:r>
                    <w:t xml:space="preserve"> </w:t>
                  </w:r>
                  <w:r>
                    <w:rPr>
                      <w:rStyle w:val="VerbatimChar"/>
                    </w:rPr>
                    <w:t xml:space="preserve">education</w:t>
                  </w:r>
                  <w:r>
                    <w:t xml:space="preserve">,</w:t>
                  </w:r>
                  <w:r>
                    <w:t xml:space="preserve"> </w:t>
                  </w:r>
                  <w:r>
                    <w:rPr>
                      <w:rStyle w:val="VerbatimChar"/>
                    </w:rPr>
                    <w:t xml:space="preserve">marital-status</w:t>
                  </w:r>
                  <w:r>
                    <w:t xml:space="preserve">,</w:t>
                  </w:r>
                  <w:r>
                    <w:t xml:space="preserve"> </w:t>
                  </w:r>
                  <w:r>
                    <w:rPr>
                      <w:rStyle w:val="VerbatimChar"/>
                    </w:rPr>
                    <w:t xml:space="preserve">occupation</w:t>
                  </w:r>
                  <w:r>
                    <w:t xml:space="preserve">,</w:t>
                  </w:r>
                  <w:r>
                    <w:t xml:space="preserve"> </w:t>
                  </w:r>
                  <w:r>
                    <w:rPr>
                      <w:rStyle w:val="VerbatimChar"/>
                    </w:rPr>
                    <w:t xml:space="preserve">relationship</w:t>
                  </w:r>
                  <w:r>
                    <w:t xml:space="preserve">,</w:t>
                  </w:r>
                  <w:r>
                    <w:t xml:space="preserve"> </w:t>
                  </w:r>
                  <w:r>
                    <w:rPr>
                      <w:rStyle w:val="VerbatimChar"/>
                    </w:rPr>
                    <w:t xml:space="preserve">race</w:t>
                  </w:r>
                  <w:r>
                    <w:t xml:space="preserve">,</w:t>
                  </w:r>
                  <w:r>
                    <w:t xml:space="preserve"> </w:t>
                  </w:r>
                  <w:r>
                    <w:rPr>
                      <w:rStyle w:val="VerbatimChar"/>
                    </w:rPr>
                    <w:t xml:space="preserve">sex</w:t>
                  </w:r>
                  <w:r>
                    <w:t xml:space="preserve">,</w:t>
                  </w:r>
                  <w:r>
                    <w:t xml:space="preserve"> </w:t>
                  </w:r>
                  <w:r>
                    <w:rPr>
                      <w:rStyle w:val="VerbatimChar"/>
                    </w:rPr>
                    <w:t xml:space="preserve">native-country</w:t>
                  </w:r>
                </w:p>
              </w:tc>
              <w:tc>
                <w:tcPr/>
                <w:p>
                  <w:pPr>
                    <w:pStyle w:val="Compact"/>
                    <w:jc w:val="both"/>
                    <w:jc w:val="center"/>
                    <w:spacing w:line="360" w:lineRule="auto"/>
                  </w:pPr>
                  <w:r>
                    <w:t xml:space="preserve">Codificación</w:t>
                  </w:r>
                  <w:r>
                    <w:t xml:space="preserve"> </w:t>
                  </w:r>
                  <w:r>
                    <w:rPr>
                      <w:rStyle w:val="VerbatimChar"/>
                    </w:rPr>
                    <w:t xml:space="preserve">OneHotEncoder(handle_unknown='ignore')</w:t>
                  </w:r>
                  <w:r>
                    <w:t xml:space="preserve"> </w:t>
                  </w:r>
                  <w:r>
                    <w:t xml:space="preserve">ajustada solo en entrenamiento</w:t>
                  </w:r>
                </w:p>
              </w:tc>
            </w:tr>
            <w:tr>
              <w:tc>
                <w:tcPr/>
                <w:p>
                  <w:pPr>
                    <w:pStyle w:val="Compact"/>
                    <w:jc w:val="both"/>
                    <w:jc w:val="center"/>
                    <w:spacing w:line="360" w:lineRule="auto"/>
                  </w:pPr>
                  <w:r>
                    <w:t xml:space="preserve">Objetivo</w:t>
                  </w:r>
                </w:p>
              </w:tc>
              <w:tc>
                <w:tcPr/>
                <w:p>
                  <w:pPr>
                    <w:pStyle w:val="Compact"/>
                    <w:jc w:val="both"/>
                    <w:jc w:val="center"/>
                    <w:spacing w:line="360" w:lineRule="auto"/>
                  </w:pPr>
                  <w:r>
                    <w:t xml:space="preserve">Ingreso anual binario</w:t>
                  </w:r>
                </w:p>
              </w:tc>
              <w:tc>
                <w:tcPr/>
                <w:p>
                  <w:pPr>
                    <w:pStyle w:val="Compact"/>
                    <w:jc w:val="both"/>
                    <w:jc w:val="center"/>
                    <w:spacing w:line="360" w:lineRule="auto"/>
                  </w:pPr>
                  <w:r>
                    <w:t xml:space="preserve">Normalización de etiquetas</w:t>
                  </w:r>
                  <w:r>
                    <w:t xml:space="preserve"> </w:t>
                  </w:r>
                  <w:r>
                    <w:rPr>
                      <w:rStyle w:val="VerbatimChar"/>
                    </w:rPr>
                    <w:t xml:space="preserve">&gt;50K</w:t>
                  </w:r>
                  <w:r>
                    <w:t xml:space="preserve">/</w:t>
                  </w:r>
                  <w:r>
                    <w:rPr>
                      <w:rStyle w:val="VerbatimChar"/>
                    </w:rPr>
                    <w:t xml:space="preserve">&lt;=50K</w:t>
                  </w:r>
                  <w:r>
                    <w:t xml:space="preserve"> </w:t>
                  </w:r>
                  <w:r>
                    <w:t xml:space="preserve">y variantes con punto final</w:t>
                  </w:r>
                </w:p>
              </w:tc>
            </w:tr>
          </w:tbl>
          <w:bookmarkEnd w:id="452"/>
          <w:p>
            <w:pPr>
              <w:spacing w:line="360" w:lineRule="auto"/>
              <w:jc w:val="both"/>
            </w:pPr>
          </w:p>
        </w:tc>
      </w:tr>
    </w:tbl>
    <w:p>
      <w:pPr>
        <w:pStyle w:val="Textoindependiente"/>
        <w:spacing w:line="360" w:lineRule="auto"/>
        <w:jc w:val="both"/>
      </w:pPr>
      <w:r>
        <w:t xml:space="preserve">Los valores faltantes codificados como</w:t>
      </w:r>
      <w:r>
        <w:t xml:space="preserve"> </w:t>
      </w:r>
      <w:r>
        <w:rPr>
          <w:rStyle w:val="VerbatimChar"/>
        </w:rPr>
        <w:t xml:space="preserve">"?"</w:t>
      </w:r>
      <w:r>
        <w:t xml:space="preserve"> </w:t>
      </w:r>
      <w:r>
        <w:t xml:space="preserve">se convierten a</w:t>
      </w:r>
      <w:r>
        <w:t xml:space="preserve"> </w:t>
      </w:r>
      <w:r>
        <w:rPr>
          <w:rStyle w:val="VerbatimChar"/>
        </w:rPr>
        <w:t xml:space="preserve">NaN</w:t>
      </w:r>
      <w:r>
        <w:t xml:space="preserve">, los textos</w:t>
      </w:r>
      <w:r>
        <w:t xml:space="preserve"> </w:t>
      </w:r>
      <w:r>
        <w:t xml:space="preserve">se normalizan eliminando espacios residuales y los duplicados exactos se</w:t>
      </w:r>
      <w:r>
        <w:t xml:space="preserve"> </w:t>
      </w:r>
      <w:r>
        <w:t xml:space="preserve">descartan antes del ajuste del preprocesador. Las transformaciones se congelan</w:t>
      </w:r>
      <w:r>
        <w:t xml:space="preserve"> </w:t>
      </w:r>
      <w:r>
        <w:t xml:space="preserve">como artefactos compartidos para evitar fuga de datos y diferencias de escalado</w:t>
      </w:r>
      <w:r>
        <w:t xml:space="preserve"> </w:t>
      </w:r>
      <w:r>
        <w:t xml:space="preserve">entre explicadores.</w:t>
      </w:r>
    </w:p>
    <w:bookmarkEnd w:id="453"/>
    <w:bookmarkStart w:id="455" w:name="X0ebb70924a43e56d2f30bdb00fa50fa510507cd"/>
    <w:p>
      <w:pPr>
        <w:pStyle w:val="Ttulo2"/>
        <w:spacing w:line="360" w:lineRule="auto"/>
        <w:jc w:val="both"/>
      </w:pPr>
      <w:r>
        <w:t xml:space="preserve">Apéndice B: Modelos predictivos y artefactos</w:t>
      </w:r>
    </w:p>
    <w:p>
      <w:pPr>
        <w:pStyle w:val="FirstParagraph"/>
        <w:spacing w:line="360" w:lineRule="auto"/>
        <w:jc w:val="both"/>
      </w:pPr>
      <w:r>
        <w:t xml:space="preserve">Los modelos se entrenan en EXP1 y se reutilizan en EXP2 sin reentrenamiento. Los</w:t>
      </w:r>
      <w:r>
        <w:t xml:space="preserve"> </w:t>
      </w:r>
      <w:r>
        <w:t xml:space="preserve">artefactos principales se encuentran en</w:t>
      </w:r>
      <w:r>
        <w:t xml:space="preserve"> </w:t>
      </w:r>
      <w:r>
        <w:rPr>
          <w:rStyle w:val="VerbatimChar"/>
        </w:rPr>
        <w:t xml:space="preserve">experiments/exp1_adult/models/</w:t>
      </w:r>
      <w:r>
        <w:t xml:space="preserve">, con</w:t>
      </w:r>
      <w:r>
        <w:t xml:space="preserve"> </w:t>
      </w:r>
      <w:r>
        <w:t xml:space="preserve">métricas en</w:t>
      </w:r>
      <w:r>
        <w:t xml:space="preserve"> </w:t>
      </w:r>
      <w:r>
        <w:rPr>
          <w:rStyle w:val="VerbatimChar"/>
        </w:rPr>
        <w:t xml:space="preserve">metrics.json</w:t>
      </w:r>
      <w:r>
        <w:t xml:space="preserve"> </w:t>
      </w:r>
      <w:r>
        <w:t xml:space="preserve">por familia de modelo.</w:t>
      </w:r>
    </w:p>
    <w:tbl>
      <w:tblPr>
        <w:tblStyle w:val="Table"/>
        <w:tblW w:type="pct" w:w="5000"/>
        <w:tblLayout w:type="fixed"/>
        <w:tblLook w:firstRow="0" w:lastRow="0" w:firstColumn="0" w:lastColumn="0" w:noHBand="0" w:noVBand="0" w:val="0000"/>
      </w:tblPr>
      <w:tblGrid>
        <w:gridCol w:w="7920"/>
      </w:tblGrid>
      <w:tr>
        <w:tc>
          <w:tcPr/>
          <w:bookmarkStart w:id="454" w:name="tbl-appendix-models"/>
          <w:p>
            <w:pPr>
              <w:jc w:val="both"/>
              <w:spacing w:line="360" w:lineRule="auto"/>
            </w:pPr>
            <w:pPr>
              <w:jc w:val="left"/>
              <w:spacing w:before="200"/>
              <w:pStyle w:val="ImageCaption"/>
            </w:pPr>
            <w:r>
              <w:t xml:space="preserve">Table 7.6: Modelos predictivos, justificación y ubicación de artefactos.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Rol metodológico</w:t>
                  </w:r>
                </w:p>
              </w:tc>
              <w:tc>
                <w:tcPr/>
                <w:p>
                  <w:pPr>
                    <w:pStyle w:val="Compact"/>
                    <w:jc w:val="both"/>
                    <w:jc w:val="center"/>
                    <w:spacing w:line="360" w:lineRule="auto"/>
                  </w:pPr>
                  <w:r>
                    <w:t xml:space="preserve">Artefacto principal</w:t>
                  </w:r>
                </w:p>
              </w:tc>
              <w:tc>
                <w:tcPr/>
                <w:p>
                  <w:pPr>
                    <w:pStyle w:val="Compact"/>
                    <w:jc w:val="both"/>
                    <w:jc w:val="center"/>
                    <w:spacing w:line="360" w:lineRule="auto"/>
                  </w:pPr>
                  <w:r>
                    <w:t xml:space="preserve">Métricas de entrenamiento/prueba</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Baseline transparente lineal</w:t>
                  </w:r>
                </w:p>
              </w:tc>
              <w:tc>
                <w:tcPr/>
                <w:p>
                  <w:pPr>
                    <w:pStyle w:val="Compact"/>
                    <w:jc w:val="both"/>
                    <w:jc w:val="center"/>
                    <w:spacing w:line="360" w:lineRule="auto"/>
                  </w:pPr>
                  <w:r>
                    <w:rPr>
                      <w:rStyle w:val="VerbatimChar"/>
                    </w:rPr>
                    <w:t xml:space="preserve">experiments/exp1_adult/models/logreg/</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Ensamble no lineal</w:t>
                  </w:r>
                </w:p>
              </w:tc>
              <w:tc>
                <w:tcPr/>
                <w:p>
                  <w:pPr>
                    <w:pStyle w:val="Compact"/>
                    <w:jc w:val="both"/>
                    <w:jc w:val="center"/>
                    <w:spacing w:line="360" w:lineRule="auto"/>
                  </w:pPr>
                  <w:r>
                    <w:rPr>
                      <w:rStyle w:val="VerbatimChar"/>
                    </w:rPr>
                    <w:t xml:space="preserve">experiments/exp1_adult/models/rf/</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t xml:space="preserve">Ensamble de alto rendimiento compatible con TreeSHAP</w:t>
                  </w:r>
                </w:p>
              </w:tc>
              <w:tc>
                <w:tcPr/>
                <w:p>
                  <w:pPr>
                    <w:pStyle w:val="Compact"/>
                    <w:jc w:val="both"/>
                    <w:jc w:val="center"/>
                    <w:spacing w:line="360" w:lineRule="auto"/>
                  </w:pPr>
                  <w:r>
                    <w:rPr>
                      <w:rStyle w:val="VerbatimChar"/>
                    </w:rPr>
                    <w:t xml:space="preserve">experiments/exp1_adult/models/xgboost/</w:t>
                  </w:r>
                </w:p>
              </w:tc>
              <w:tc>
                <w:tcPr/>
                <w:p>
                  <w:pPr>
                    <w:pStyle w:val="Compact"/>
                    <w:jc w:val="both"/>
                    <w:jc w:val="center"/>
                    <w:spacing w:line="360" w:lineRule="auto"/>
                  </w:pPr>
                  <w:r>
                    <w:rPr>
                      <w:rStyle w:val="VerbatimChar"/>
                    </w:rPr>
                    <w:t xml:space="preserve">metrics.json</w:t>
                  </w:r>
                  <w:r>
                    <w:t xml:space="preserve">,</w:t>
                  </w:r>
                  <w:r>
                    <w:t xml:space="preserve"> </w:t>
                  </w:r>
                  <w:r>
                    <w:rPr>
                      <w:rStyle w:val="VerbatimChar"/>
                    </w:rPr>
                    <w:t xml:space="preserve">xgb_feature_importance.csv</w:t>
                  </w:r>
                </w:p>
              </w:tc>
            </w:tr>
            <w:tr>
              <w:tc>
                <w:tcPr/>
                <w:p>
                  <w:pPr>
                    <w:pStyle w:val="Compact"/>
                    <w:jc w:val="both"/>
                    <w:jc w:val="center"/>
                    <w:spacing w:line="360" w:lineRule="auto"/>
                  </w:pPr>
                  <w:r>
                    <w:t xml:space="preserve">SVM (</w:t>
                  </w:r>
                  <w:r>
                    <w:rPr>
                      <w:rStyle w:val="VerbatimChar"/>
                    </w:rPr>
                    <w:t xml:space="preserve">svm</w:t>
                  </w:r>
                  <w:r>
                    <w:t xml:space="preserve">)</w:t>
                  </w:r>
                </w:p>
              </w:tc>
              <w:tc>
                <w:tcPr/>
                <w:p>
                  <w:pPr>
                    <w:pStyle w:val="Compact"/>
                    <w:jc w:val="both"/>
                    <w:jc w:val="center"/>
                    <w:spacing w:line="360" w:lineRule="auto"/>
                  </w:pPr>
                  <w:r>
                    <w:t xml:space="preserve">Comportamiento de frontera no lineal/kernel</w:t>
                  </w:r>
                </w:p>
              </w:tc>
              <w:tc>
                <w:tcPr/>
                <w:p>
                  <w:pPr>
                    <w:pStyle w:val="Compact"/>
                    <w:jc w:val="both"/>
                    <w:jc w:val="center"/>
                    <w:spacing w:line="360" w:lineRule="auto"/>
                  </w:pPr>
                  <w:r>
                    <w:rPr>
                      <w:rStyle w:val="VerbatimChar"/>
                    </w:rPr>
                    <w:t xml:space="preserve">experiments/exp1_adult/models/svm/</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MLP (</w:t>
                  </w:r>
                  <w:r>
                    <w:rPr>
                      <w:rStyle w:val="VerbatimChar"/>
                    </w:rPr>
                    <w:t xml:space="preserve">mlp</w:t>
                  </w:r>
                  <w:r>
                    <w:t xml:space="preserve">)</w:t>
                  </w:r>
                </w:p>
              </w:tc>
              <w:tc>
                <w:tcPr/>
                <w:p>
                  <w:pPr>
                    <w:pStyle w:val="Compact"/>
                    <w:jc w:val="both"/>
                    <w:jc w:val="center"/>
                    <w:spacing w:line="360" w:lineRule="auto"/>
                  </w:pPr>
                  <w:r>
                    <w:t xml:space="preserve">Baseline neuronal no lineal</w:t>
                  </w:r>
                </w:p>
              </w:tc>
              <w:tc>
                <w:tcPr/>
                <w:p>
                  <w:pPr>
                    <w:pStyle w:val="Compact"/>
                    <w:jc w:val="both"/>
                    <w:jc w:val="center"/>
                    <w:spacing w:line="360" w:lineRule="auto"/>
                  </w:pPr>
                  <w:r>
                    <w:rPr>
                      <w:rStyle w:val="VerbatimChar"/>
                    </w:rPr>
                    <w:t xml:space="preserve">experiments/exp1_adult/models/mlp/</w:t>
                  </w:r>
                </w:p>
              </w:tc>
              <w:tc>
                <w:tcPr/>
                <w:p>
                  <w:pPr>
                    <w:pStyle w:val="Compact"/>
                    <w:jc w:val="both"/>
                    <w:jc w:val="center"/>
                    <w:spacing w:line="360" w:lineRule="auto"/>
                  </w:pPr>
                  <w:r>
                    <w:rPr>
                      <w:rStyle w:val="VerbatimChar"/>
                    </w:rPr>
                    <w:t xml:space="preserve">metrics.json</w:t>
                  </w:r>
                </w:p>
              </w:tc>
            </w:tr>
          </w:tbl>
          <w:bookmarkEnd w:id="454"/>
          <w:p>
            <w:pPr>
              <w:spacing w:line="360" w:lineRule="auto"/>
              <w:jc w:val="both"/>
            </w:pPr>
          </w:p>
        </w:tc>
      </w:tr>
    </w:tbl>
    <w:p>
      <w:pPr>
        <w:pStyle w:val="Textoindependiente"/>
        <w:spacing w:line="360" w:lineRule="auto"/>
        <w:jc w:val="both"/>
      </w:pPr>
      <w:r>
        <w:t xml:space="preserve">Los umbrales de inclusión usados en la tesis son exactitud</w:t>
      </w:r>
      <w:r>
        <w:t xml:space="preserve"> </w:t>
      </w:r>
      <ns1:oMath>
        <ns1:r>
          <ns1:rPr>
            <ns1:sty ns1:val="p"/>
          </ns1:rPr>
          <ns1:t>≥</ns1:t>
        </ns1:r>
        <ns1:r>
          <ns1:t>0.83</ns1:t>
        </ns1:r>
      </ns1:oMath>
      <w:r>
        <w:t xml:space="preserve"> </w:t>
      </w:r>
      <w:r>
        <w:t xml:space="preserve">y</w:t>
      </w:r>
      <w:r>
        <w:t xml:space="preserve"> </w:t>
      </w:r>
      <w:r>
        <w:t xml:space="preserve">AUC-ROC</w:t>
      </w:r>
      <w:r>
        <w:t xml:space="preserve"> </w:t>
      </w:r>
      <ns1:oMath>
        <ns1:r>
          <ns1:rPr>
            <ns1:sty ns1:val="p"/>
          </ns1:rPr>
          <ns1:t>≥</ns1:t>
        </ns1:r>
        <ns1:r>
          <ns1:t>0.88</ns1:t>
        </ns1:r>
      </ns1:oMath>
      <w:r>
        <w:t xml:space="preserve">. La Tabla 3.1 reporta las métricas finales extraídas de</w:t>
      </w:r>
      <w:r>
        <w:t xml:space="preserve"> </w:t>
      </w:r>
      <w:r>
        <w:t xml:space="preserve">estos artefactos.</w:t>
      </w:r>
    </w:p>
    <w:bookmarkEnd w:id="455"/>
    <w:bookmarkStart w:id="462" w:name="apéndice-c-configuración-de-explicadores"/>
    <w:p>
      <w:pPr>
        <w:pStyle w:val="Ttulo2"/>
        <w:spacing w:line="360" w:lineRule="auto"/>
        <w:jc w:val="both"/>
      </w:pPr>
      <w:r>
        <w:t xml:space="preserve">Apéndice C: Configuración de explicadores</w:t>
      </w:r>
    </w:p>
    <w:p>
      <w:pPr>
        <w:pStyle w:val="FirstParagraph"/>
        <w:spacing w:line="360" w:lineRule="auto"/>
        <w:jc w:val="both"/>
      </w:pPr>
      <w:r>
        <w:t xml:space="preserve">Las configuraciones declarativas de EXP2 se almacenan en</w:t>
      </w:r>
      <w:r>
        <w:t xml:space="preserve"> </w:t>
      </w:r>
      <w:r>
        <w:rPr>
          <w:rStyle w:val="VerbatimChar"/>
        </w:rPr>
        <w:t xml:space="preserve">configs/experiments/exp2_scaled/</w:t>
      </w:r>
      <w:r>
        <w:t xml:space="preserve">. El manifiesto</w:t>
      </w:r>
      <w:r>
        <w:t xml:space="preserve"> </w:t>
      </w:r>
      <w:r>
        <w:rPr>
          <w:rStyle w:val="VerbatimChar"/>
        </w:rPr>
        <w:t xml:space="preserve">manifest.yaml</w:t>
      </w:r>
      <w:r>
        <w:t xml:space="preserve"> </w:t>
      </w:r>
      <w:r>
        <w:t xml:space="preserve">define las 300</w:t>
      </w:r>
      <w:r>
        <w:t xml:space="preserve"> </w:t>
      </w:r>
      <w:r>
        <w:t xml:space="preserve">celdas del diseño factorial y cada YAML por celda fija modelo, explicador,</w:t>
      </w:r>
      <w:r>
        <w:t xml:space="preserve"> </w:t>
      </w:r>
      <w:r>
        <w:t xml:space="preserve">semilla y tamaño de muestra.</w:t>
      </w:r>
    </w:p>
    <w:tbl>
      <w:tblPr>
        <w:tblStyle w:val="Table"/>
        <w:tblW w:type="pct" w:w="5000"/>
        <w:tblLayout w:type="fixed"/>
        <w:tblLook w:firstRow="0" w:lastRow="0" w:firstColumn="0" w:lastColumn="0" w:noHBand="0" w:noVBand="0" w:val="0000"/>
      </w:tblPr>
      <w:tblGrid>
        <w:gridCol w:w="7920"/>
      </w:tblGrid>
      <w:tr>
        <w:tc>
          <w:tcPr/>
          <w:bookmarkStart w:id="456" w:name="tbl-appendix-explainers"/>
          <w:p>
            <w:pPr>
              <w:jc w:val="both"/>
              <w:spacing w:line="360" w:lineRule="auto"/>
            </w:pPr>
            <w:pPr>
              <w:jc w:val="left"/>
              <w:spacing w:before="200"/>
              <w:pStyle w:val="ImageCaption"/>
            </w:pPr>
            <w:r>
              <w:t xml:space="preserve">Table 7.7: Configuración de explicadores y caveats operativos.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Explicador</w:t>
                  </w:r>
                </w:p>
              </w:tc>
              <w:tc>
                <w:tcPr/>
                <w:p>
                  <w:pPr>
                    <w:pStyle w:val="Compact"/>
                    <w:jc w:val="both"/>
                    <w:jc w:val="center"/>
                    <w:spacing w:line="360" w:lineRule="auto"/>
                  </w:pPr>
                  <w:r>
                    <w:t xml:space="preserve">Configuración efectiva</w:t>
                  </w:r>
                </w:p>
              </w:tc>
              <w:tc>
                <w:tcPr/>
                <w:p>
                  <w:pPr>
                    <w:pStyle w:val="Compact"/>
                    <w:jc w:val="both"/>
                    <w:jc w:val="center"/>
                    <w:spacing w:line="360" w:lineRule="auto"/>
                  </w:pPr>
                  <w:r>
                    <w:t xml:space="preserve">Implementación</w:t>
                  </w:r>
                </w:p>
              </w:tc>
              <w:tc>
                <w:tcPr/>
                <w:p>
                  <w:pPr>
                    <w:pStyle w:val="Compact"/>
                    <w:jc w:val="both"/>
                    <w:jc w:val="center"/>
                    <w:spacing w:line="360" w:lineRule="auto"/>
                  </w:pPr>
                  <w:r>
                    <w:t xml:space="preserve">Caveat</w:t>
                  </w:r>
                </w:p>
              </w:tc>
            </w:tr>
            <w:tr>
              <w:tc>
                <w:tcPr/>
                <w:p>
                  <w:pPr>
                    <w:pStyle w:val="Compact"/>
                    <w:jc w:val="both"/>
                    <w:jc w:val="center"/>
                    <w:spacing w:line="360" w:lineRule="auto"/>
                  </w:pPr>
                  <w:r>
                    <w:t xml:space="preserve">SHAP</w:t>
                  </w:r>
                </w:p>
              </w:tc>
              <w:tc>
                <w:tcPr/>
                <w:p>
                  <w:pPr>
                    <w:pStyle w:val="Compact"/>
                    <w:jc w:val="both"/>
                    <w:jc w:val="center"/>
                    <w:spacing w:line="360" w:lineRule="auto"/>
                  </w:pPr>
                  <w:r>
                    <w:rPr>
                      <w:rStyle w:val="VerbatimChar"/>
                    </w:rPr>
                    <w:t xml:space="preserve">TreeExplainer</w:t>
                  </w:r>
                  <w:r>
                    <w:t xml:space="preserve"> </w:t>
                  </w:r>
                  <w:r>
                    <w:t xml:space="preserve">para</w:t>
                  </w:r>
                  <w:r>
                    <w:t xml:space="preserve"> </w:t>
                  </w:r>
                  <w:r>
                    <w:rPr>
                      <w:rStyle w:val="VerbatimChar"/>
                    </w:rPr>
                    <w:t xml:space="preserve">rf</w:t>
                  </w:r>
                  <w:r>
                    <w:t xml:space="preserve">/</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rPr>
                      <w:rStyle w:val="VerbatimChar"/>
                    </w:rPr>
                    <w:t xml:space="preserve">svm</w:t>
                  </w:r>
                  <w:r>
                    <w:t xml:space="preserve">/</w:t>
                  </w:r>
                  <w:r>
                    <w:rPr>
                      <w:rStyle w:val="VerbatimChar"/>
                    </w:rPr>
                    <w:t xml:space="preserve">mlp</w:t>
                  </w:r>
                  <w:r>
                    <w:t xml:space="preserve">; fondo de 50 muestras</w:t>
                  </w:r>
                </w:p>
              </w:tc>
              <w:tc>
                <w:tcPr/>
                <w:p>
                  <w:pPr>
                    <w:pStyle w:val="Compact"/>
                    <w:jc w:val="both"/>
                    <w:jc w:val="center"/>
                    <w:spacing w:line="360" w:lineRule="auto"/>
                  </w:pPr>
                  <w:r>
                    <w:rPr>
                      <w:rStyle w:val="VerbatimChar"/>
                    </w:rPr>
                    <w:t xml:space="preserve">src/xai/shap_tabular.py</w:t>
                  </w:r>
                </w:p>
              </w:tc>
              <w:tc>
                <w:tcPr/>
                <w:p>
                  <w:pPr>
                    <w:pStyle w:val="Compact"/>
                    <w:jc w:val="both"/>
                    <w:jc w:val="center"/>
                    <w:spacing w:line="360" w:lineRule="auto"/>
                  </w:pPr>
                  <w:r>
                    <w:t xml:space="preserve">KernelSHAP domina el coste en SVM y MLP</w:t>
                  </w:r>
                </w:p>
              </w:tc>
            </w:tr>
            <w:tr>
              <w:tc>
                <w:tcPr/>
                <w:p>
                  <w:pPr>
                    <w:pStyle w:val="Compact"/>
                    <w:jc w:val="both"/>
                    <w:jc w:val="center"/>
                    <w:spacing w:line="360" w:lineRule="auto"/>
                  </w:pPr>
                  <w:r>
                    <w:t xml:space="preserve">LIME</w:t>
                  </w:r>
                </w:p>
              </w:tc>
              <w:tc>
                <w:tcPr/>
                <w:p>
                  <w:pPr>
                    <w:pStyle w:val="Compact"/>
                    <w:jc w:val="both"/>
                    <w:jc w:val="center"/>
                    <w:spacing w:line="360" w:lineRule="auto"/>
                  </w:pP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numérica</w:t>
                  </w:r>
                </w:p>
              </w:tc>
              <w:tc>
                <w:tcPr/>
                <w:p>
                  <w:pPr>
                    <w:pStyle w:val="Compact"/>
                    <w:jc w:val="both"/>
                    <w:jc w:val="center"/>
                    <w:spacing w:line="360" w:lineRule="auto"/>
                  </w:pPr>
                  <w:r>
                    <w:rPr>
                      <w:rStyle w:val="VerbatimChar"/>
                    </w:rPr>
                    <w:t xml:space="preserve">src/xai/lime_tabular.py</w:t>
                  </w:r>
                </w:p>
              </w:tc>
              <w:tc>
                <w:tcPr/>
                <w:p>
                  <w:pPr>
                    <w:pStyle w:val="Compact"/>
                    <w:jc w:val="both"/>
                    <w:jc w:val="center"/>
                    <w:spacing w:line="360" w:lineRule="auto"/>
                  </w:pPr>
                  <w:r>
                    <w:t xml:space="preserve">Sensible al muestreo local</w:t>
                  </w:r>
                </w:p>
              </w:tc>
            </w:tr>
            <w:tr>
              <w:tc>
                <w:tcPr/>
                <w:p>
                  <w:pPr>
                    <w:pStyle w:val="Compact"/>
                    <w:jc w:val="both"/>
                    <w:jc w:val="center"/>
                    <w:spacing w:line="360" w:lineRule="auto"/>
                  </w:pPr>
                  <w:r>
                    <w:t xml:space="preserve">Anchors</w:t>
                  </w:r>
                </w:p>
              </w:tc>
              <w:tc>
                <w:tcPr/>
                <w:p>
                  <w:pPr>
                    <w:pStyle w:val="Compact"/>
                    <w:jc w:val="both"/>
                    <w:jc w:val="center"/>
                    <w:spacing w:line="360" w:lineRule="auto"/>
                  </w:pPr>
                  <w:r>
                    <w:rPr>
                      <w:rStyle w:val="VerbatimChar"/>
                    </w:rPr>
                    <w:t xml:space="preserve">AnchorTabular</w:t>
                  </w:r>
                  <w:r>
                    <w:t xml:space="preserve">, umbral efectivo</w:t>
                  </w:r>
                  <w:r>
                    <w:t xml:space="preserve"> </w:t>
                  </w:r>
                  <ns1:oMath>
                    <ns1:r>
                      <ns1:t>τ</ns1:t>
                    </ns1:r>
                    <ns1:r>
                      <ns1:rPr>
                        <ns1:sty ns1:val="p"/>
                      </ns1:rPr>
                      <ns1:t>=</ns1:t>
                    </ns1:r>
                    <ns1:r>
                      <ns1:t>0.95</ns1:t>
                    </ns1:r>
                  </ns1:oMath>
                </w:p>
              </w:tc>
              <w:tc>
                <w:tcPr/>
                <w:p>
                  <w:pPr>
                    <w:pStyle w:val="Compact"/>
                    <w:jc w:val="both"/>
                    <w:jc w:val="center"/>
                    <w:spacing w:line="360" w:lineRule="auto"/>
                  </w:pPr>
                  <w:r>
                    <w:rPr>
                      <w:rStyle w:val="VerbatimChar"/>
                    </w:rPr>
                    <w:t xml:space="preserve">src/xai/anchors_wrapper.py</w:t>
                  </w:r>
                </w:p>
              </w:tc>
              <w:tc>
                <w:tcPr/>
                <w:p>
                  <w:pPr>
                    <w:pStyle w:val="Compact"/>
                    <w:jc w:val="both"/>
                    <w:jc w:val="center"/>
                    <w:spacing w:line="360" w:lineRule="auto"/>
                  </w:pPr>
                  <w:r>
                    <w:t xml:space="preserve">Algunos parámetros YAML no son consumidos en runtime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Backend aleatorio, clase opuesta,</w:t>
                  </w:r>
                  <w:r>
                    <w:t xml:space="preserve"> </w:t>
                  </w:r>
                  <w:r>
                    <w:rPr>
                      <w:rStyle w:val="VerbatimChar"/>
                    </w:rPr>
                    <w:t xml:space="preserve">total_CFs = 1</w:t>
                  </w:r>
                  <w:r>
                    <w:t xml:space="preserve"> </w:t>
                  </w:r>
                  <w:r>
                    <w:t xml:space="preserve">efectivo</w:t>
                  </w:r>
                </w:p>
              </w:tc>
              <w:tc>
                <w:tcPr/>
                <w:p>
                  <w:pPr>
                    <w:pStyle w:val="Compact"/>
                    <w:jc w:val="both"/>
                    <w:jc w:val="center"/>
                    <w:spacing w:line="360" w:lineRule="auto"/>
                  </w:pPr>
                  <w:r>
                    <w:rPr>
                      <w:rStyle w:val="VerbatimChar"/>
                    </w:rPr>
                    <w:t xml:space="preserve">src/xai/dice_wrapper.py</w:t>
                  </w:r>
                </w:p>
              </w:tc>
              <w:tc>
                <w:tcPr/>
                <w:p>
                  <w:pPr>
                    <w:pStyle w:val="Compact"/>
                    <w:jc w:val="both"/>
                    <w:jc w:val="center"/>
                    <w:spacing w:line="360" w:lineRule="auto"/>
                  </w:pPr>
                  <w:r>
                    <w:t xml:space="preserve">La importancia se deriva de</w:t>
                  </w:r>
                  <w:r>
                    <w:t xml:space="preserve"> </w:t>
                  </w:r>
                  <ns1:oMath>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p>
              </w:tc>
            </w:tr>
          </w:tbl>
          <w:bookmarkEnd w:id="456"/>
          <w:p>
            <w:pPr>
              <w:spacing w:line="360" w:lineRule="auto"/>
              <w:jc w:val="both"/>
            </w:pPr>
          </w:p>
        </w:tc>
      </w:tr>
    </w:tbl>
    <w:p>
      <w:pPr>
        <w:pStyle w:val="Textoindependiente"/>
        <w:spacing w:line="360" w:lineRule="auto"/>
        <w:jc w:val="both"/>
      </w:pPr>
      <w:r>
        <w:t xml:space="preserve">El tiempo de ejecución y las importancias se registran mediante</w:t>
      </w:r>
      <w:r>
        <w:t xml:space="preserve"> </w:t>
      </w:r>
      <w:r>
        <w:rPr>
          <w:rStyle w:val="VerbatimChar"/>
        </w:rPr>
        <w:t xml:space="preserve">ExplainerWrapper.explain_instance</w:t>
      </w:r>
      <w:r>
        <w:t xml:space="preserve">, con restricciones de recursos controladas</w:t>
      </w:r>
      <w:r>
        <w:t xml:space="preserve"> </w:t>
      </w:r>
      <w:r>
        <w:t xml:space="preserve">por</w:t>
      </w:r>
      <w:r>
        <w:t xml:space="preserve"> </w:t>
      </w:r>
      <w:r>
        <w:rPr>
          <w:rStyle w:val="VerbatimChar"/>
        </w:rPr>
        <w:t xml:space="preserve">src/utils/resource_control.py</w:t>
      </w:r>
      <w:r>
        <w:t xml:space="preserve">.</w:t>
      </w:r>
    </w:p>
    <w:bookmarkStart w:id="461" w:name="X19223749bd91808c35bfde79d8d5a77d7c56c01"/>
    <w:p>
      <w:pPr>
        <w:pStyle w:val="Ttulo3"/>
        <w:spacing w:line="360" w:lineRule="auto"/>
        <w:jc w:val="both"/>
      </w:pPr>
      <w:r>
        <w:t xml:space="preserve">C.1 Análisis exploratorio de sensibilidad a hiperparámetros</w:t>
      </w:r>
    </w:p>
    <w:p>
      <w:pPr>
        <w:pStyle w:val="FirstParagraph"/>
        <w:spacing w:line="360" w:lineRule="auto"/>
        <w:jc w:val="both"/>
      </w:pPr>
      <w:r>
        <w:t xml:space="preserve">Este análisis evalúa en qué medida los resultados principales son robustos a</w:t>
      </w:r>
      <w:r>
        <w:t xml:space="preserve"> </w:t>
      </w:r>
      <w:r>
        <w:t xml:space="preserve">variaciones en los hiperparámetros de configuración de cada explicador. No forma</w:t>
      </w:r>
      <w:r>
        <w:t xml:space="preserve"> </w:t>
      </w:r>
      <w:r>
        <w:t xml:space="preserve">parte de las hipótesis confirmativas H1-H3; su función es delimitar el alcance</w:t>
      </w:r>
      <w:r>
        <w:t xml:space="preserve"> </w:t>
      </w:r>
      <w:r>
        <w:t xml:space="preserve">de los resultados y orientar configuraciones futuras. El análisis opera sobre el</w:t>
      </w:r>
      <w:r>
        <w:t xml:space="preserve"> </w:t>
      </w:r>
      <w:r>
        <w:t xml:space="preserve">modelo RF con semilla 42 y</w:t>
      </w:r>
      <w:r>
        <w:t xml:space="preserve"> </w:t>
      </w:r>
      <ns1:oMath>
        <ns1:r>
          <ns1:t>N</ns1:t>
        </ns1:r>
        <ns1:r>
          <ns1:rPr>
            <ns1:sty ns1:val="p"/>
          </ns1:rPr>
          <ns1:t>=</ns1:t>
        </ns1:r>
        <ns1:r>
          <ns1:t>100</ns1:t>
        </ns1:r>
      </ns1:oMath>
      <w:r>
        <w:t xml:space="preserve"> </w:t>
      </w:r>
      <w:r>
        <w:t xml:space="preserve">como condición de referencia.</w:t>
      </w:r>
    </w:p>
    <w:p>
      <w:pPr>
        <w:pStyle w:val="Textoindependiente"/>
        <w:spacing w:line="360" w:lineRule="auto"/>
        <w:jc w:val="both"/>
      </w:pPr>
      <w:r>
        <w:rPr>
          <w:b/>
          <w:bCs/>
        </w:rPr>
        <w:t xml:space="preserve">LIME — sensibilidad a</w:t>
      </w:r>
      <w:r>
        <w:rPr>
          <w:b/>
          <w:bCs/>
        </w:rPr>
        <w:t xml:space="preserve"> </w:t>
      </w:r>
      <w:r>
        <w:rPr>
          <w:rStyle w:val="VerbatimChar"/>
          <w:b/>
          <w:bCs/>
        </w:rPr>
        <w:t xml:space="preserve">num_samples</w:t>
      </w:r>
      <w:r>
        <w:rPr>
          <w:b/>
          <w:bCs/>
        </w:rPr>
        <w:t xml:space="preserve">.</w:t>
      </w:r>
      <w:r>
        <w:t xml:space="preserve"> </w:t>
      </w:r>
      <w:r>
        <w:t xml:space="preserve">Se varía el número de muestras de</w:t>
      </w:r>
      <w:r>
        <w:t xml:space="preserve"> </w:t>
      </w:r>
      <w:r>
        <w:t xml:space="preserve">perturbación local (</w:t>
      </w:r>
      <ns1:oMath>
        <ns1:r>
          <ns1:rPr>
            <ns1:sty ns1:val="p"/>
          </ns1:rPr>
          <ns1:t>{</ns1:t>
        </ns1:r>
        <ns1:r>
          <ns1:t>500</ns1:t>
        </ns1:r>
        <ns1:r>
          <ns1:rPr>
            <ns1:sty ns1:val="p"/>
          </ns1:rPr>
          <ns1:t>,</ns1:t>
        </ns1:r>
        <ns1:r>
          <ns1:t>1000</ns1:t>
        </ns1:r>
        <ns1:r>
          <ns1:rPr>
            <ns1:sty ns1:val="p"/>
          </ns1:rPr>
          <ns1:t>,</ns1:t>
        </ns1:r>
        <ns1:r>
          <ns1:t>2000</ns1:t>
        </ns1:r>
        <ns1:r>
          <ns1:rPr>
            <ns1:sty ns1:val="p"/>
          </ns1:rPr>
          <ns1:t>}</ns1:t>
        </ns1:r>
      </ns1:oMath>
      <w:r>
        <w:t xml:space="preserve">) manteniendo</w:t>
      </w:r>
      <w:r>
        <w:t xml:space="preserve"> </w:t>
      </w:r>
      <w:r>
        <w:rPr>
          <w:rStyle w:val="VerbatimChar"/>
        </w:rPr>
        <w:t xml:space="preserve">kernel_width = 3.0</w:t>
      </w:r>
      <w:r>
        <w:t xml:space="preserve"> </w:t>
      </w:r>
      <w:r>
        <w:t xml:space="preserve">y</w:t>
      </w:r>
      <w:r>
        <w:t xml:space="preserve"> </w:t>
      </w:r>
      <w:r>
        <w:rPr>
          <w:rStyle w:val="VerbatimChar"/>
        </w:rPr>
        <w:t xml:space="preserve">num_features = 10</w:t>
      </w:r>
      <w:r>
        <w:t xml:space="preserve"> </w:t>
      </w:r>
      <w:r>
        <w:t xml:space="preserve">constantes.</w:t>
      </w:r>
    </w:p>
    <w:tbl>
      <w:tblPr>
        <w:tblStyle w:val="Table"/>
        <w:tblW w:type="pct" w:w="5000"/>
        <w:tblLayout w:type="fixed"/>
        <w:tblLook w:firstRow="0" w:lastRow="0" w:firstColumn="0" w:lastColumn="0" w:noHBand="0" w:noVBand="0" w:val="0000"/>
      </w:tblPr>
      <w:tblGrid>
        <w:gridCol w:w="7920"/>
      </w:tblGrid>
      <w:tr>
        <w:tc>
          <w:tcPr/>
          <w:bookmarkStart w:id="457" w:name="tbl-appendix-lime-sensitivity"/>
          <w:p>
            <w:pPr>
              <w:jc w:val="both"/>
              <w:spacing w:line="360" w:lineRule="auto"/>
            </w:pPr>
            <w:pPr>
              <w:jc w:val="left"/>
              <w:spacing w:before="200"/>
              <w:pStyle w:val="ImageCaption"/>
            </w:pPr>
            <w:r>
              <w:t xml:space="preserve">Table 7.8: Sensibilidad de LIME a</w:t>
            </w:r>
            <w:r>
              <w:t xml:space="preserve"> </w:t>
            </w:r>
            <w:r>
              <w:rPr>
                <w:rStyle w:val="VerbatimChar"/>
              </w:rPr>
              <w:t xml:space="preserve">num_samples</w:t>
            </w:r>
            <w:r>
              <w:t xml:space="preserve"> </w:t>
            </w:r>
            <w:r>
              <w:t xml:space="preserve">(RF, semilla 42,</w:t>
            </w:r>
            <w:r>
              <w:t xml:space="preserve"> </w:t>
            </w:r>
            <ns1:oMath>
              <ns1:r>
                <ns1:t>N</ns1:t>
              </ns1:r>
              <ns1:r>
                <ns1:rPr>
                  <ns1:sty ns1:val="p"/>
                </ns1:rPr>
                <ns1:t>=</ns1:t>
              </ns1:r>
              <ns1:r>
                <ns1:t>100</ns1:t>
              </ns1:r>
            </ns1:oMath>
            <w:r>
              <w:t xml:space="preserve">). Medición</w:t>
            </w:r>
            <w:r>
              <w:t xml:space="preserve"> </w:t>
            </w:r>
            <w:r>
              <w:t xml:space="preserve">exploratoria histórica: sus valores no han podido re-derivarse bajo el entorno</w:t>
            </w:r>
            <w:r>
              <w:t xml:space="preserve"> </w:t>
            </w:r>
            <w:r>
              <w:t xml:space="preserve">actual (véase la nota de procedencia siguiente).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rStyle w:val="VerbatimChar"/>
                    </w:rPr>
                    <w:t xml:space="preserve">num_samples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500</w:t>
                  </w:r>
                </w:p>
              </w:tc>
              <w:tc>
                <w:tcPr/>
                <w:p>
                  <w:pPr>
                    <w:pStyle w:val="Compact"/>
                    <w:jc w:val="both"/>
                    <w:jc w:val="center"/>
                    <w:spacing w:line="360" w:lineRule="auto"/>
                  </w:pPr>
                  <w:r>
                    <w:t xml:space="preserve">0.452</w:t>
                  </w:r>
                </w:p>
              </w:tc>
              <w:tc>
                <w:tcPr/>
                <w:p>
                  <w:pPr>
                    <w:pStyle w:val="Compact"/>
                    <w:jc w:val="both"/>
                    <w:jc w:val="center"/>
                    <w:spacing w:line="360" w:lineRule="auto"/>
                  </w:pPr>
                  <w:r>
                    <w:t xml:space="preserve">0.011</w:t>
                  </w:r>
                </w:p>
              </w:tc>
              <w:tc>
                <w:tcPr/>
                <w:p>
                  <w:pPr>
                    <w:pStyle w:val="Compact"/>
                    <w:jc w:val="both"/>
                    <w:jc w:val="center"/>
                    <w:spacing w:line="360" w:lineRule="auto"/>
                  </w:pPr>
                  <w:r>
                    <w:t xml:space="preserve">114</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1000 (referencia)</w:t>
                  </w:r>
                </w:p>
              </w:tc>
              <w:tc>
                <w:tcPr/>
                <w:p>
                  <w:pPr>
                    <w:pStyle w:val="Compact"/>
                    <w:jc w:val="both"/>
                    <w:jc w:val="center"/>
                    <w:spacing w:line="360" w:lineRule="auto"/>
                  </w:pPr>
                  <w:r>
                    <w:t xml:space="preserve">0.461</w:t>
                  </w:r>
                </w:p>
              </w:tc>
              <w:tc>
                <w:tcPr/>
                <w:p>
                  <w:pPr>
                    <w:pStyle w:val="Compact"/>
                    <w:jc w:val="both"/>
                    <w:jc w:val="center"/>
                    <w:spacing w:line="360" w:lineRule="auto"/>
                  </w:pPr>
                  <w:r>
                    <w:t xml:space="preserve">0.014</w:t>
                  </w:r>
                </w:p>
              </w:tc>
              <w:tc>
                <w:tcPr/>
                <w:p>
                  <w:pPr>
                    <w:pStyle w:val="Compact"/>
                    <w:jc w:val="both"/>
                    <w:jc w:val="center"/>
                    <w:spacing w:line="360" w:lineRule="auto"/>
                  </w:pPr>
                  <w:r>
                    <w:t xml:space="preserve">226</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2000</w:t>
                  </w:r>
                </w:p>
              </w:tc>
              <w:tc>
                <w:tcPr/>
                <w:p>
                  <w:pPr>
                    <w:pStyle w:val="Compact"/>
                    <w:jc w:val="both"/>
                    <w:jc w:val="center"/>
                    <w:spacing w:line="360" w:lineRule="auto"/>
                  </w:pPr>
                  <w:r>
                    <w:t xml:space="preserve">0.459</w:t>
                  </w:r>
                </w:p>
              </w:tc>
              <w:tc>
                <w:tcPr/>
                <w:p>
                  <w:pPr>
                    <w:pStyle w:val="Compact"/>
                    <w:jc w:val="both"/>
                    <w:jc w:val="center"/>
                    <w:spacing w:line="360" w:lineRule="auto"/>
                  </w:pPr>
                  <w:r>
                    <w:t xml:space="preserve">0.016</w:t>
                  </w:r>
                </w:p>
              </w:tc>
              <w:tc>
                <w:tcPr/>
                <w:p>
                  <w:pPr>
                    <w:pStyle w:val="Compact"/>
                    <w:jc w:val="both"/>
                    <w:jc w:val="center"/>
                    <w:spacing w:line="360" w:lineRule="auto"/>
                  </w:pPr>
                  <w:r>
                    <w:t xml:space="preserve">451</w:t>
                  </w:r>
                </w:p>
              </w:tc>
              <w:tc>
                <w:tcPr/>
                <w:p>
                  <w:pPr>
                    <w:pStyle w:val="Compact"/>
                    <w:jc w:val="both"/>
                    <w:jc w:val="center"/>
                    <w:spacing w:line="360" w:lineRule="auto"/>
                  </w:pPr>
                  <w:r>
                    <w:t xml:space="preserve">0.085</w:t>
                  </w:r>
                </w:p>
              </w:tc>
            </w:tr>
          </w:tbl>
          <w:bookmarkEnd w:id="457"/>
          <w:p>
            <w:pPr>
              <w:spacing w:line="360" w:lineRule="auto"/>
              <w:jc w:val="both"/>
            </w:pPr>
          </w:p>
        </w:tc>
      </w:tr>
    </w:tbl>
    <w:p>
      <w:pPr>
        <w:pStyle w:val="Textoindependiente"/>
        <w:spacing w:line="360" w:lineRule="auto"/>
        <w:jc w:val="both"/>
      </w:pPr>
      <w:r>
        <w:t xml:space="preserve">La fidelidad de LIME es insensible a</w:t>
      </w:r>
      <w:r>
        <w:t xml:space="preserve"> </w:t>
      </w:r>
      <w:r>
        <w:rPr>
          <w:rStyle w:val="VerbatimChar"/>
        </w:rPr>
        <w:t xml:space="preserve">num_samples</w:t>
      </w:r>
      <w:r>
        <w:t xml:space="preserve"> </w:t>
      </w:r>
      <w:r>
        <w:t xml:space="preserve">(variación &lt; 2%);</w:t>
      </w:r>
      <w:r>
        <w:t xml:space="preserve"> </w:t>
      </w:r>
      <w:r>
        <w:t xml:space="preserve">la estabilidad permanece cercana a cero en todos los niveles. El coste escala</w:t>
      </w:r>
      <w:r>
        <w:t xml:space="preserve"> </w:t>
      </w:r>
      <w:r>
        <w:t xml:space="preserve">aproximadamente de forma lineal. Este resultado indica que la inestabilidad</w:t>
      </w:r>
      <w:r>
        <w:t xml:space="preserve"> </w:t>
      </w:r>
      <w:r>
        <w:t xml:space="preserve">de LIME no se resuelve aumentando el número de muestras, sino que</w:t>
      </w:r>
      <w:r>
        <w:t xml:space="preserve"> </w:t>
      </w:r>
      <w:r>
        <w:t xml:space="preserve">es inherente a la variabilidad del proceso de muestreo local.</w:t>
      </w:r>
    </w:p>
    <w:p>
      <w:pPr>
        <w:pStyle w:val="Textoindependiente"/>
        <w:spacing w:line="360" w:lineRule="auto"/>
        <w:jc w:val="both"/>
      </w:pPr>
      <w:r>
        <w:rPr>
          <w:i/>
          <w:iCs/>
        </w:rPr>
        <w:t xml:space="preserve">Nota de procedencia y alcance.</w:t>
      </w:r>
      <w:r>
        <w:t xml:space="preserve"> </w:t>
      </w:r>
      <w:r>
        <w:t xml:space="preserve">Esta sonda es una medición exploratoria</w:t>
      </w:r>
      <w:r>
        <w:t xml:space="preserve"> </w:t>
      </w:r>
      <w:r>
        <w:t xml:space="preserve">anterior cuyo artefacto de salida no se conserva en el repositorio, a diferencia</w:t>
      </w:r>
      <w:r>
        <w:t xml:space="preserve"> </w:t>
      </w:r>
      <w:r>
        <w:t xml:space="preserve">de la sonda de</w:t>
      </w:r>
      <w:r>
        <w:t xml:space="preserve"> </w:t>
      </w:r>
      <w:r>
        <w:rPr>
          <w:rStyle w:val="VerbatimChar"/>
        </w:rPr>
        <w:t xml:space="preserve">kernel_width</w:t>
      </w:r>
      <w:r>
        <w:t xml:space="preserve"> </w:t>
      </w:r>
      <w:r>
        <w:t xml:space="preserve">(</w:t>
      </w:r>
      <w:hyperlink w:anchor="tbl-appendix-lime-kw-sensitivity">
        <w:r>
          <w:rPr>
            <w:rStyle w:val="Hipervnculo"/>
          </w:rPr>
          <w:t xml:space="preserve">Table 7.11</w:t>
        </w:r>
      </w:hyperlink>
      <w:r>
        <w:t xml:space="preserve">), que se</w:t>
      </w:r>
      <w:r>
        <w:t xml:space="preserve"> </w:t>
      </w:r>
      <w:r>
        <w:t xml:space="preserve">re-deriva de</w:t>
      </w:r>
      <w:r>
        <w:t xml:space="preserve"> </w:t>
      </w:r>
      <w:r>
        <w:rPr>
          <w:rStyle w:val="VerbatimChar"/>
        </w:rPr>
        <w:t xml:space="preserve">outputs/analysis/lime_kernel_width_sensitivity.csv</w:t>
      </w:r>
      <w:r>
        <w:t xml:space="preserve">. Ambas tablas</w:t>
      </w:r>
      <w:r>
        <w:t xml:space="preserve"> </w:t>
      </w:r>
      <w:r>
        <w:t xml:space="preserve">declaran la misma condición de referencia (RF, semilla 42,</w:t>
      </w:r>
      <w:r>
        <w:t xml:space="preserve"> </w:t>
      </w:r>
      <ns1:oMath>
        <ns1:r>
          <ns1:t>N</ns1:t>
        </ns1:r>
        <ns1:r>
          <ns1:rPr>
            <ns1:sty ns1:val="p"/>
          </ns1:rPr>
          <ns1:t>=</ns1:t>
        </ns1:r>
        <ns1:r>
          <ns1:t>100</ns1:t>
        </ns1:r>
      </ns1:oMath>
      <w:r>
        <w:t xml:space="preserve">,</w:t>
      </w:r>
      <w:r>
        <w:t xml:space="preserve"> </w:t>
      </w:r>
      <w:r>
        <w:rPr>
          <w:rStyle w:val="VerbatimChar"/>
        </w:rPr>
        <w:t xml:space="preserve">num_samples = 1000</w:t>
      </w:r>
      <w:r>
        <w:t xml:space="preserve">,</w:t>
      </w:r>
      <w:r>
        <w:t xml:space="preserve"> </w:t>
      </w:r>
      <w:r>
        <w:rPr>
          <w:rStyle w:val="VerbatimChar"/>
        </w:rPr>
        <w:t xml:space="preserve">kernel_width = 3.0</w:t>
      </w:r>
      <w:r>
        <w:t xml:space="preserve">) pero reportan valores distintos para</w:t>
      </w:r>
      <w:r>
        <w:t xml:space="preserve"> </w:t>
      </w:r>
      <w:r>
        <w:t xml:space="preserve">ella —fidelidad 0.461 frente a 0.518, estabilidad 0.014 frente a 0.000, coste</w:t>
      </w:r>
      <w:r>
        <w:t xml:space="preserve"> </w:t>
      </w:r>
      <w:r>
        <w:t xml:space="preserve">226 ms frente a 30 ms—, lo que indica que fueron ejecutadas con instrumentaciones</w:t>
      </w:r>
      <w:r>
        <w:t xml:space="preserve"> </w:t>
      </w:r>
      <w:r>
        <w:t xml:space="preserve">distintas: el coste de ambas queda además por debajo del rango observado para</w:t>
      </w:r>
      <w:r>
        <w:t xml:space="preserve"> </w:t>
      </w:r>
      <w:r>
        <w:t xml:space="preserve">LIME sobre RF en EXP2 (300–919 ms por ejecución), de modo que ninguna de las dos</w:t>
      </w:r>
      <w:r>
        <w:t xml:space="preserve"> </w:t>
      </w:r>
      <w:r>
        <w:t xml:space="preserve">mide una ejecución completa del protocolo EXP2. Las dos sondas se reportan aquí</w:t>
      </w:r>
      <w:r>
        <w:t xml:space="preserve"> </w:t>
      </w:r>
      <w:r>
        <w:t xml:space="preserve">por su valor cualitativo —la dirección del efecto de</w:t>
      </w:r>
      <w:r>
        <w:t xml:space="preserve"> </w:t>
      </w:r>
      <w:r>
        <w:rPr>
          <w:rStyle w:val="VerbatimChar"/>
        </w:rPr>
        <w:t xml:space="preserve">num_samples</w:t>
      </w:r>
      <w:r>
        <w:t xml:space="preserve"> </w:t>
      </w:r>
      <w:r>
        <w:t xml:space="preserve">y de</w:t>
      </w:r>
      <w:r>
        <w:t xml:space="preserve"> </w:t>
      </w:r>
      <w:r>
        <w:rPr>
          <w:rStyle w:val="VerbatimChar"/>
        </w:rPr>
        <w:t xml:space="preserve">kernel_width</w:t>
      </w:r>
      <w:r>
        <w:t xml:space="preserve">— y no como estimaciones puntuales comparables entre sí ni con las</w:t>
      </w:r>
      <w:r>
        <w:t xml:space="preserve"> </w:t>
      </w:r>
      <w:r>
        <w:t xml:space="preserve">medias de EXP2. La conclusión que ambas sostienen conjuntamente, y que sí es</w:t>
      </w:r>
      <w:r>
        <w:t xml:space="preserve"> </w:t>
      </w:r>
      <w:r>
        <w:t xml:space="preserve">robusta a esta discrepancia, es direccional: aumentar</w:t>
      </w:r>
      <w:r>
        <w:t xml:space="preserve"> </w:t>
      </w:r>
      <w:r>
        <w:rPr>
          <w:rStyle w:val="VerbatimChar"/>
        </w:rPr>
        <w:t xml:space="preserve">num_samples</w:t>
      </w:r>
      <w:r>
        <w:t xml:space="preserve"> </w:t>
      </w:r>
      <w:r>
        <w:t xml:space="preserve">no recupera</w:t>
      </w:r>
      <w:r>
        <w:t xml:space="preserve"> </w:t>
      </w:r>
      <w:r>
        <w:t xml:space="preserve">estabilidad, mientras que ampliar</w:t>
      </w:r>
      <w:r>
        <w:t xml:space="preserve"> </w:t>
      </w:r>
      <w:r>
        <w:rPr>
          <w:rStyle w:val="VerbatimChar"/>
        </w:rPr>
        <w:t xml:space="preserve">kernel_width</w:t>
      </w:r>
      <w:r>
        <w:t xml:space="preserve"> </w:t>
      </w:r>
      <w:r>
        <w:t xml:space="preserve">sí lo hace a costa de fidelidad.</w:t>
      </w:r>
      <w:r>
        <w:t xml:space="preserve"> </w:t>
      </w:r>
      <w:r>
        <w:t xml:space="preserve">Re-ejecutar la sonda de</w:t>
      </w:r>
      <w:r>
        <w:t xml:space="preserve"> </w:t>
      </w:r>
      <w:r>
        <w:rPr>
          <w:rStyle w:val="VerbatimChar"/>
        </w:rPr>
        <w:t xml:space="preserve">num_samples</w:t>
      </w:r>
      <w:r>
        <w:t xml:space="preserve"> </w:t>
      </w:r>
      <w:r>
        <w:t xml:space="preserve">produciría una medición nueva y no una</w:t>
      </w:r>
      <w:r>
        <w:t xml:space="preserve"> </w:t>
      </w:r>
      <w:r>
        <w:t xml:space="preserve">reproducción de esta tabla, dado que el script de sensibilidad conservado</w:t>
      </w:r>
      <w:r>
        <w:t xml:space="preserve"> </w:t>
      </w:r>
      <w:r>
        <w:t xml:space="preserve">(</w:t>
      </w:r>
      <w:r>
        <w:rPr>
          <w:rStyle w:val="VerbatimChar"/>
        </w:rPr>
        <w:t xml:space="preserve">src/scripts/run_sensitivity_analysis.py</w:t>
      </w:r>
      <w:r>
        <w:t xml:space="preserve">) recorre una rejilla distinta</w:t>
      </w:r>
      <w:r>
        <w:t xml:space="preserve"> </w:t>
      </w:r>
      <w:r>
        <w:t xml:space="preserve">(</w:t>
      </w:r>
      <ns1:oMath>
        <ns1:r>
          <ns1:rPr>
            <ns1:sty ns1:val="p"/>
          </ns1:rPr>
          <ns1:t>{</ns1:t>
        </ns1:r>
        <ns1:r>
          <ns1:t>500</ns1:t>
        </ns1:r>
        <ns1:r>
          <ns1:rPr>
            <ns1:sty ns1:val="p"/>
          </ns1:rPr>
          <ns1:t>,</ns1:t>
        </ns1:r>
        <ns1:r>
          <ns1:t>1000</ns1:t>
        </ns1:r>
        <ns1:r>
          <ns1:rPr>
            <ns1:sty ns1:val="p"/>
          </ns1:rPr>
          <ns1:t>,</ns1:t>
        </ns1:r>
        <ns1:r>
          <ns1:t>2000</ns1:t>
        </ns1:r>
        <ns1:r>
          <ns1:rPr>
            <ns1:sty ns1:val="p"/>
          </ns1:rPr>
          <ns1:t>,</ns1:t>
        </ns1:r>
        <ns1:r>
          <ns1:t>5000</ns1:t>
        </ns1:r>
        <ns1:r>
          <ns1:rPr>
            <ns1:sty ns1:val="p"/>
          </ns1:rPr>
          <ns1:t>,</ns1:t>
        </ns1:r>
        <ns1:r>
          <ns1:t>10000</ns1:t>
        </ns1:r>
        <ns1:r>
          <ns1:rPr>
            <ns1:sty ns1:val="p"/>
          </ns1:rPr>
          <ns1:t>}</ns1:t>
        </ns1:r>
      </ns1:oMath>
      <w:r>
        <w:t xml:space="preserve">) sobre la configuración base de EXP1.</w:t>
      </w:r>
    </w:p>
    <w:p>
      <w:pPr>
        <w:pStyle w:val="Textoindependiente"/>
        <w:spacing w:line="360" w:lineRule="auto"/>
        <w:jc w:val="both"/>
      </w:pPr>
      <w:r>
        <w:rPr>
          <w:b/>
          <w:bCs/>
        </w:rPr>
        <w:t xml:space="preserve">SHAP — sensibilidad al tamaño del conjunto de referencia.</w:t>
      </w:r>
      <w:r>
        <w:t xml:space="preserve"> </w:t>
      </w:r>
      <w:r>
        <w:t xml:space="preserve">Se varía el</w:t>
      </w:r>
      <w:r>
        <w:t xml:space="preserve"> </w:t>
      </w:r>
      <w:r>
        <w:t xml:space="preserve">número de instancias de referencia del</w:t>
      </w:r>
      <w:r>
        <w:t xml:space="preserve"> </w:t>
      </w:r>
      <w:r>
        <w:rPr>
          <w:rStyle w:val="VerbatimChar"/>
        </w:rPr>
        <w:t xml:space="preserve">KernelExplainer</w:t>
      </w:r>
      <w:r>
        <w:t xml:space="preserve"> </w:t>
      </w:r>
      <w:r>
        <w:t xml:space="preserve">(</w:t>
      </w:r>
      <ns1:oMath>
        <ns1:r>
          <ns1:rPr>
            <ns1:sty ns1:val="p"/>
          </ns1:rPr>
          <ns1:t>{</ns1:t>
        </ns1:r>
        <ns1:r>
          <ns1:t>25</ns1:t>
        </ns1:r>
        <ns1:r>
          <ns1:rPr>
            <ns1:sty ns1:val="p"/>
          </ns1:rPr>
          <ns1:t>,</ns1:t>
        </ns1:r>
        <ns1:r>
          <ns1:t>50</ns1:t>
        </ns1:r>
        <ns1:r>
          <ns1:rPr>
            <ns1:sty ns1:val="p"/>
          </ns1:rPr>
          <ns1:t>,</ns1:t>
        </ns1:r>
        <ns1:r>
          <ns1:t>100</ns1:t>
        </ns1:r>
        <ns1:r>
          <ns1:rPr>
            <ns1:sty ns1:val="p"/>
          </ns1:rPr>
          <ns1:t>}</ns1:t>
        </ns1:r>
      </ns1:oMath>
      <w:r>
        <w:t xml:space="preserve">)</w:t>
      </w:r>
      <w:r>
        <w:t xml:space="preserve"> </w:t>
      </w:r>
      <w:r>
        <w:t xml:space="preserve">para el modelo SVM (donde KernelSHAP es el método de cálculo).</w:t>
      </w:r>
    </w:p>
    <w:tbl>
      <w:tblPr>
        <w:tblStyle w:val="Table"/>
        <w:tblW w:type="pct" w:w="5000"/>
        <w:tblLayout w:type="fixed"/>
        <w:tblLook w:firstRow="0" w:lastRow="0" w:firstColumn="0" w:lastColumn="0" w:noHBand="0" w:noVBand="0" w:val="0000"/>
      </w:tblPr>
      <w:tblGrid>
        <w:gridCol w:w="7920"/>
      </w:tblGrid>
      <w:tr>
        <w:tc>
          <w:tcPr/>
          <w:bookmarkStart w:id="458" w:name="tbl-appendix-shap-sensitivity"/>
          <w:p>
            <w:pPr>
              <w:jc w:val="both"/>
              <w:spacing w:line="360" w:lineRule="auto"/>
            </w:pPr>
            <w:pPr>
              <w:jc w:val="left"/>
              <w:spacing w:before="200"/>
              <w:pStyle w:val="ImageCaption"/>
            </w:pPr>
            <w:r>
              <w:t xml:space="preserve">Table 7.9: Sensibilidad de KernelSHAP al tamaño del conjunto de referencia (SVM,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Referencia (</w:t>
                  </w:r>
                  <ns1:oMath>
                    <ns1:r>
                      <ns1:t>k</ns1:t>
                    </ns1:r>
                  </ns1:oMath>
                  <w:r>
                    <w:t xml:space="preserve">)</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25</w:t>
                  </w:r>
                </w:p>
              </w:tc>
              <w:tc>
                <w:tcPr/>
                <w:p>
                  <w:pPr>
                    <w:pStyle w:val="Compact"/>
                    <w:jc w:val="both"/>
                    <w:jc w:val="center"/>
                    <w:spacing w:line="360" w:lineRule="auto"/>
                  </w:pPr>
                  <w:r>
                    <w:t xml:space="preserve">0.921</w:t>
                  </w:r>
                </w:p>
              </w:tc>
              <w:tc>
                <w:tcPr/>
                <w:p>
                  <w:pPr>
                    <w:pStyle w:val="Compact"/>
                    <w:jc w:val="both"/>
                    <w:jc w:val="center"/>
                    <w:spacing w:line="360" w:lineRule="auto"/>
                  </w:pPr>
                  <w:r>
                    <w:t xml:space="preserve">0.728</w:t>
                  </w:r>
                </w:p>
              </w:tc>
              <w:tc>
                <w:tcPr/>
                <w:p>
                  <w:pPr>
                    <w:pStyle w:val="Compact"/>
                    <w:jc w:val="both"/>
                    <w:jc w:val="center"/>
                    <w:spacing w:line="360" w:lineRule="auto"/>
                  </w:pPr>
                  <w:r>
                    <w:t xml:space="preserve">41,233</w:t>
                  </w:r>
                </w:p>
              </w:tc>
            </w:tr>
            <w:tr>
              <w:tc>
                <w:tcPr/>
                <w:p>
                  <w:pPr>
                    <w:pStyle w:val="Compact"/>
                    <w:jc w:val="both"/>
                    <w:jc w:val="center"/>
                    <w:spacing w:line="360" w:lineRule="auto"/>
                  </w:pPr>
                  <w:r>
                    <w:t xml:space="preserve">50 (referencia)</w:t>
                  </w:r>
                </w:p>
              </w:tc>
              <w:tc>
                <w:tcPr/>
                <w:p>
                  <w:pPr>
                    <w:pStyle w:val="Compact"/>
                    <w:jc w:val="both"/>
                    <w:jc w:val="center"/>
                    <w:spacing w:line="360" w:lineRule="auto"/>
                  </w:pPr>
                  <w:r>
                    <w:t xml:space="preserve">0.928</w:t>
                  </w:r>
                </w:p>
              </w:tc>
              <w:tc>
                <w:tcPr/>
                <w:p>
                  <w:pPr>
                    <w:pStyle w:val="Compact"/>
                    <w:jc w:val="both"/>
                    <w:jc w:val="center"/>
                    <w:spacing w:line="360" w:lineRule="auto"/>
                  </w:pPr>
                  <w:r>
                    <w:t xml:space="preserve">0.731</w:t>
                  </w:r>
                </w:p>
              </w:tc>
              <w:tc>
                <w:tcPr/>
                <w:p>
                  <w:pPr>
                    <w:pStyle w:val="Compact"/>
                    <w:jc w:val="both"/>
                    <w:jc w:val="center"/>
                    <w:spacing w:line="360" w:lineRule="auto"/>
                  </w:pPr>
                  <w:r>
                    <w:t xml:space="preserve">159,059</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0.929</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614,820</w:t>
                  </w:r>
                </w:p>
              </w:tc>
            </w:tr>
          </w:tbl>
          <w:bookmarkEnd w:id="458"/>
          <w:p>
            <w:pPr>
              <w:spacing w:line="360" w:lineRule="auto"/>
              <w:jc w:val="both"/>
            </w:pPr>
          </w:p>
        </w:tc>
      </w:tr>
    </w:tbl>
    <w:p>
      <w:pPr>
        <w:pStyle w:val="Textoindependiente"/>
        <w:spacing w:line="360" w:lineRule="auto"/>
        <w:jc w:val="both"/>
      </w:pPr>
      <w:r>
        <w:t xml:space="preserve">La fidelidad y estabilidad de SHAP son robustas al tamaño del conjunto de</w:t>
      </w:r>
      <w:r>
        <w:t xml:space="preserve"> </w:t>
      </w:r>
      <w:r>
        <w:t xml:space="preserve">referencia en los niveles evaluados (variación &lt; 1%); el coste crece de forma</w:t>
      </w:r>
      <w:r>
        <w:t xml:space="preserve"> </w:t>
      </w:r>
      <w:r>
        <w:t xml:space="preserve">supralineal con</w:t>
      </w:r>
      <w:r>
        <w:t xml:space="preserve"> </w:t>
      </w:r>
      <ns1:oMath>
        <ns1:r>
          <ns1:t>k</ns1:t>
        </ns1:r>
      </ns1:oMath>
      <w:r>
        <w:t xml:space="preserve">. Este resultado sugiere que el conjunto de referencia de 50</w:t>
      </w:r>
      <w:r>
        <w:t xml:space="preserve"> </w:t>
      </w:r>
      <w:r>
        <w:t xml:space="preserve">instancias usado en la tesis es suficiente para obtener atribuciones estables</w:t>
      </w:r>
      <w:r>
        <w:t xml:space="preserve"> </w:t>
      </w:r>
      <w:r>
        <w:t xml:space="preserve">sin incurrir en el coste computacional de referencias mayores.</w:t>
      </w:r>
    </w:p>
    <w:p>
      <w:pPr>
        <w:pStyle w:val="Textoindependiente"/>
        <w:spacing w:line="360" w:lineRule="auto"/>
        <w:jc w:val="both"/>
      </w:pPr>
      <w:r>
        <w:rPr>
          <w:b/>
          <w:bCs/>
        </w:rPr>
        <w:t xml:space="preserve">Anchors — sensibilidad al umbral de precisión</w:t>
      </w:r>
      <w:r>
        <w:rPr>
          <w:b/>
          <w:bCs/>
        </w:rPr>
        <w:t xml:space="preserve"> </w:t>
      </w:r>
      <ns1:oMath>
        <ns1:r>
          <ns1:t>τ</ns1:t>
        </ns1:r>
      </ns1:oMath>
      <w:r>
        <w:rPr>
          <w:b/>
          <w:bCs/>
        </w:rPr>
        <w:t xml:space="preserve">.</w:t>
      </w:r>
      <w:r>
        <w:t xml:space="preserve"> </w:t>
      </w:r>
      <w:r>
        <w:t xml:space="preserve">Se varía el umbral</w:t>
      </w:r>
      <w:r>
        <w:t xml:space="preserve"> </w:t>
      </w:r>
      <w:r>
        <w:t xml:space="preserve">de precisión mínima para aceptar una regla (</w:t>
      </w:r>
      <ns1:oMath>
        <ns1:r>
          <ns1:rPr>
            <ns1:sty ns1:val="p"/>
          </ns1:rPr>
          <ns1:t>{</ns1:t>
        </ns1:r>
        <ns1:r>
          <ns1:t>0.90</ns1:t>
        </ns1:r>
        <ns1:r>
          <ns1:rPr>
            <ns1:sty ns1:val="p"/>
          </ns1:rPr>
          <ns1:t>,</ns1:t>
        </ns1:r>
        <ns1:r>
          <ns1:t>0.95</ns1:t>
        </ns1:r>
        <ns1:r>
          <ns1:rPr>
            <ns1:sty ns1:val="p"/>
          </ns1:rPr>
          <ns1:t>,</ns1:t>
        </ns1:r>
        <ns1:r>
          <ns1:t>0.99</ns1:t>
        </ns1:r>
        <ns1:r>
          <ns1:rPr>
            <ns1:sty ns1:val="p"/>
          </ns1:rPr>
          <ns1:t>}</ns1:t>
        </ns1:r>
      </ns1:oMath>
      <w:r>
        <w:t xml:space="preserve">) sobre el</w:t>
      </w:r>
      <w:r>
        <w:t xml:space="preserve"> </w:t>
      </w:r>
      <w:r>
        <w:t xml:space="preserve">modelo RF.</w:t>
      </w:r>
    </w:p>
    <w:tbl>
      <w:tblPr>
        <w:tblStyle w:val="Table"/>
        <w:tblW w:type="pct" w:w="5000"/>
        <w:tblLayout w:type="fixed"/>
        <w:tblLook w:firstRow="0" w:lastRow="0" w:firstColumn="0" w:lastColumn="0" w:noHBand="0" w:noVBand="0" w:val="0000"/>
      </w:tblPr>
      <w:tblGrid>
        <w:gridCol w:w="7920"/>
      </w:tblGrid>
      <w:tr>
        <w:tc>
          <w:tcPr/>
          <w:bookmarkStart w:id="459" w:name="tbl-appendix-anchors-sensitivity"/>
          <w:p>
            <w:pPr>
              <w:jc w:val="both"/>
              <w:spacing w:line="360" w:lineRule="auto"/>
            </w:pPr>
            <w:pPr>
              <w:jc w:val="left"/>
              <w:spacing w:before="200"/>
              <w:pStyle w:val="ImageCaption"/>
            </w:pPr>
            <w:r>
              <w:t xml:space="preserve">Table 7.10: Sensibilidad de Anchors al umbral de precisión</w:t>
            </w:r>
            <w:r>
              <w:t xml:space="preserve"> </w:t>
            </w:r>
            <ns1:oMath>
              <ns1:r>
                <ns1:t>τ</ns1:t>
              </ns1:r>
            </ns1:oMath>
            <w:r>
              <w:t xml:space="preserve">.</w:t>
            </w:r>
            <w:r>
              <w:t xml:space="preserve"> </w:t>
            </w:r>
            <w:r>
              <w:rPr>
                <w:b/>
                <w:bCs/>
              </w:rPr>
              <w:t xml:space="preserve">Las dos columnas</w:t>
            </w:r>
            <w:r>
              <w:rPr>
                <w:b/>
                <w:bCs/>
              </w:rPr>
              <w:t xml:space="preserve"> </w:t>
            </w:r>
            <w:r>
              <w:rPr>
                <w:b/>
                <w:bCs/>
              </w:rPr>
              <w:t xml:space="preserve">tienen alcances distintos</w:t>
            </w:r>
            <w:r>
              <w:t xml:space="preserve">: la cobertura se computa sobre las 75 celdas del</w:t>
            </w:r>
            <w:r>
              <w:t xml:space="preserve"> </w:t>
            </w:r>
            <w:r>
              <w:t xml:space="preserve">diseño completo de Anchors (5 modelos</w:t>
            </w:r>
            <w:r>
              <w:t xml:space="preserve"> </w:t>
            </w:r>
            <ns1:oMath>
              <ns1:r>
                <ns1:rPr>
                  <ns1:sty ns1:val="p"/>
                </ns1:rPr>
                <ns1:t>×</ns1:t>
              </ns1:r>
            </ns1:oMath>
            <w:r>
              <w:t xml:space="preserve"> </w:t>
            </w:r>
            <w:r>
              <w:t xml:space="preserve">5 semillas</w:t>
            </w:r>
            <w:r>
              <w:t xml:space="preserve"> </w:t>
            </w:r>
            <ns1:oMath>
              <ns1:r>
                <ns1:rPr>
                  <ns1:sty ns1:val="p"/>
                </ns1:rPr>
                <ns1:t>×</ns1:t>
              </ns1:r>
            </ns1:oMath>
            <w:r>
              <w:t xml:space="preserve"> </w:t>
            </w:r>
            <w:r>
              <w:t xml:space="preserve">3 tamaños) —de</w:t>
            </w:r>
            <w:r>
              <w:t xml:space="preserve"> </w:t>
            </w:r>
            <w:r>
              <w:t xml:space="preserve">ahí que la fila de referencia coincida exactamente con el 57/75 = 76.0% de</w:t>
            </w:r>
            <w:r>
              <w:t xml:space="preserve"> </w:t>
            </w:r>
            <w:hyperlink w:anchor="tbl-coverage-method">
              <w:r>
                <w:rPr>
                  <w:rStyle w:val="Hipervnculo"/>
                </w:rPr>
                <w:t xml:space="preserve">Table 4.5</w:t>
              </w:r>
            </w:hyperlink>
            <w:r>
              <w:t xml:space="preserve">—, mientras que la fidelidad y el coste corresponden a la</w:t>
            </w:r>
            <w:r>
              <w:t xml:space="preserve"> </w:t>
            </w:r>
            <w:r>
              <w:t xml:space="preserve">condición de sondeo RF, semilla 42.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ns1:oMath>
                    <ns1:r>
                      <ns1:t>τ</ns1:t>
                    </ns1:r>
                  </ns1:oMath>
                </w:p>
              </w:tc>
              <w:tc>
                <w:tcPr/>
                <w:p>
                  <w:pPr>
                    <w:pStyle w:val="Compact"/>
                    <w:jc w:val="both"/>
                    <w:jc w:val="center"/>
                    <w:spacing w:line="360" w:lineRule="auto"/>
                  </w:pPr>
                  <w:r>
                    <w:t xml:space="preserve">Cobertura del diseño completo (75 celdas)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0.90</w:t>
                  </w:r>
                </w:p>
              </w:tc>
              <w:tc>
                <w:tcPr/>
                <w:p>
                  <w:pPr>
                    <w:pStyle w:val="Compact"/>
                    <w:jc w:val="both"/>
                    <w:jc w:val="center"/>
                    <w:spacing w:line="360" w:lineRule="auto"/>
                  </w:pPr>
                  <w:r>
                    <w:t xml:space="preserve">72/75 (96%)</w:t>
                  </w:r>
                </w:p>
              </w:tc>
              <w:tc>
                <w:tcPr/>
                <w:p>
                  <w:pPr>
                    <w:pStyle w:val="Compact"/>
                    <w:jc w:val="both"/>
                    <w:jc w:val="center"/>
                    <w:spacing w:line="360" w:lineRule="auto"/>
                  </w:pPr>
                  <w:r>
                    <w:t xml:space="preserve">0.421</w:t>
                  </w:r>
                </w:p>
              </w:tc>
              <w:tc>
                <w:tcPr/>
                <w:p>
                  <w:pPr>
                    <w:pStyle w:val="Compact"/>
                    <w:jc w:val="both"/>
                    <w:jc w:val="center"/>
                    <w:spacing w:line="360" w:lineRule="auto"/>
                  </w:pPr>
                  <w:r>
                    <w:t xml:space="preserve">9,843</w:t>
                  </w:r>
                </w:p>
              </w:tc>
            </w:tr>
            <w:tr>
              <w:tc>
                <w:tcPr/>
                <w:p>
                  <w:pPr>
                    <w:pStyle w:val="Compact"/>
                    <w:jc w:val="both"/>
                    <w:jc w:val="center"/>
                    <w:spacing w:line="360" w:lineRule="auto"/>
                  </w:pPr>
                  <w:r>
                    <w:t xml:space="preserve">0.95 (referencia)</w:t>
                  </w:r>
                </w:p>
              </w:tc>
              <w:tc>
                <w:tcPr/>
                <w:p>
                  <w:pPr>
                    <w:pStyle w:val="Compact"/>
                    <w:jc w:val="both"/>
                    <w:jc w:val="center"/>
                    <w:spacing w:line="360" w:lineRule="auto"/>
                  </w:pPr>
                  <w:r>
                    <w:t xml:space="preserve">57/75 (76%)</w:t>
                  </w:r>
                </w:p>
              </w:tc>
              <w:tc>
                <w:tcPr/>
                <w:p>
                  <w:pPr>
                    <w:pStyle w:val="Compact"/>
                    <w:jc w:val="both"/>
                    <w:jc w:val="center"/>
                    <w:spacing w:line="360" w:lineRule="auto"/>
                  </w:pPr>
                  <w:r>
                    <w:t xml:space="preserve">0.386</w:t>
                  </w:r>
                </w:p>
              </w:tc>
              <w:tc>
                <w:tcPr/>
                <w:p>
                  <w:pPr>
                    <w:pStyle w:val="Compact"/>
                    <w:jc w:val="both"/>
                    <w:jc w:val="center"/>
                    <w:spacing w:line="360" w:lineRule="auto"/>
                  </w:pPr>
                  <w:r>
                    <w:t xml:space="preserve">16,000</w:t>
                  </w:r>
                </w:p>
              </w:tc>
            </w:tr>
            <w:tr>
              <w:tc>
                <w:tcPr/>
                <w:p>
                  <w:pPr>
                    <w:pStyle w:val="Compact"/>
                    <w:jc w:val="both"/>
                    <w:jc w:val="center"/>
                    <w:spacing w:line="360" w:lineRule="auto"/>
                  </w:pPr>
                  <w:r>
                    <w:t xml:space="preserve">0.99</w:t>
                  </w:r>
                </w:p>
              </w:tc>
              <w:tc>
                <w:tcPr/>
                <w:p>
                  <w:pPr>
                    <w:pStyle w:val="Compact"/>
                    <w:jc w:val="both"/>
                    <w:jc w:val="center"/>
                    <w:spacing w:line="360" w:lineRule="auto"/>
                  </w:pPr>
                  <w:r>
                    <w:t xml:space="preserve">31/75 (41%)</w:t>
                  </w:r>
                </w:p>
              </w:tc>
              <w:tc>
                <w:tcPr/>
                <w:p>
                  <w:pPr>
                    <w:pStyle w:val="Compact"/>
                    <w:jc w:val="both"/>
                    <w:jc w:val="center"/>
                    <w:spacing w:line="360" w:lineRule="auto"/>
                  </w:pPr>
                  <w:r>
                    <w:t xml:space="preserve">0.411</w:t>
                  </w:r>
                </w:p>
              </w:tc>
              <w:tc>
                <w:tcPr/>
                <w:p>
                  <w:pPr>
                    <w:pStyle w:val="Compact"/>
                    <w:jc w:val="both"/>
                    <w:jc w:val="center"/>
                    <w:spacing w:line="360" w:lineRule="auto"/>
                  </w:pPr>
                  <w:r>
                    <w:t xml:space="preserve">28,721</w:t>
                  </w:r>
                </w:p>
              </w:tc>
            </w:tr>
          </w:tbl>
          <w:bookmarkEnd w:id="459"/>
          <w:p>
            <w:pPr>
              <w:spacing w:line="360" w:lineRule="auto"/>
              <w:jc w:val="both"/>
            </w:pPr>
          </w:p>
        </w:tc>
      </w:tr>
    </w:tbl>
    <w:p>
      <w:pPr>
        <w:pStyle w:val="Textoindependiente"/>
        <w:spacing w:line="360" w:lineRule="auto"/>
        <w:jc w:val="both"/>
      </w:pPr>
      <w:r>
        <w:t xml:space="preserve">La cobertura de Anchors es extremadamente sensible a</w:t>
      </w:r>
      <w:r>
        <w:t xml:space="preserve"> </w:t>
      </w:r>
      <ns1:oMath>
        <ns1:r>
          <ns1:t>τ</ns1:t>
        </ns1:r>
      </ns1:oMath>
      <w:r>
        <w:t xml:space="preserve">: reducir el umbral</w:t>
      </w:r>
      <w:r>
        <w:t xml:space="preserve"> </w:t>
      </w:r>
      <w:r>
        <w:t xml:space="preserve">a 0.90 aumenta la cobertura de 76% a 96%, mientras que elevar a 0.99 la reduce</w:t>
      </w:r>
      <w:r>
        <w:t xml:space="preserve"> </w:t>
      </w:r>
      <w:r>
        <w:t xml:space="preserve">a 41%. Este resultado indica que la elección de</w:t>
      </w:r>
      <w:r>
        <w:t xml:space="preserve"> </w:t>
      </w:r>
      <ns1:oMath>
        <ns1:r>
          <ns1:t>τ</ns1:t>
        </ns1:r>
      </ns1:oMath>
      <w:r>
        <w:t xml:space="preserve"> </w:t>
      </w:r>
      <w:r>
        <w:t xml:space="preserve">es la decisión de</w:t>
      </w:r>
      <w:r>
        <w:t xml:space="preserve"> </w:t>
      </w:r>
      <w:r>
        <w:t xml:space="preserve">configuración de mayor impacto en Anchors y debe documentarse explícitamente en</w:t>
      </w:r>
      <w:r>
        <w:t xml:space="preserve"> </w:t>
      </w:r>
      <w:r>
        <w:t xml:space="preserve">cualquier benchmark que incluya este método. La fidelidad no mejora</w:t>
      </w:r>
      <w:r>
        <w:t xml:space="preserve"> </w:t>
      </w:r>
      <w:r>
        <w:t xml:space="preserve">monotónicamente con</w:t>
      </w:r>
      <w:r>
        <w:t xml:space="preserve"> </w:t>
      </w:r>
      <ns1:oMath>
        <ns1:r>
          <ns1:t>τ</ns1:t>
        </ns1:r>
      </ns1:oMath>
      <w:r>
        <w:t xml:space="preserve">, dado que reglas de mayor precisión no</w:t>
      </w:r>
      <w:r>
        <w:t xml:space="preserve"> </w:t>
      </w:r>
      <w:r>
        <w:t xml:space="preserve">necesariamente son más informativas bajo la métrica de correlación de</w:t>
      </w:r>
      <w:r>
        <w:t xml:space="preserve"> </w:t>
      </w:r>
      <w:r>
        <w:t xml:space="preserve">importancias.</w:t>
      </w:r>
    </w:p>
    <w:p>
      <w:pPr>
        <w:pStyle w:val="Textoindependiente"/>
        <w:spacing w:line="360" w:lineRule="auto"/>
        <w:jc w:val="both"/>
      </w:pPr>
      <w:r>
        <w:rPr>
          <w:b/>
          <w:bCs/>
        </w:rPr>
        <w:t xml:space="preserve">LIME — sensibilidad a</w:t>
      </w:r>
      <w:r>
        <w:rPr>
          <w:b/>
          <w:bCs/>
        </w:rPr>
        <w:t xml:space="preserve"> </w:t>
      </w:r>
      <w:r>
        <w:rPr>
          <w:rStyle w:val="VerbatimChar"/>
          <w:b/>
          <w:bCs/>
        </w:rPr>
        <w:t xml:space="preserve">kernel_width</w:t>
      </w:r>
      <w:r>
        <w:rPr>
          <w:b/>
          <w:bCs/>
        </w:rPr>
        <w:t xml:space="preserve">.</w:t>
      </w:r>
      <w:r>
        <w:t xml:space="preserve"> </w:t>
      </w:r>
      <w:r>
        <w:t xml:space="preserve">Se varía el ancho del kernel exponencial (</w:t>
      </w:r>
      <ns1:oMath>
        <ns1:r>
          <ns1:rPr>
            <ns1:sty ns1:val="p"/>
          </ns1:rPr>
          <ns1:t>{</ns1:t>
        </ns1:r>
        <ns1:r>
          <ns1:t>0.25</ns1:t>
        </ns1:r>
        <ns1:r>
          <ns1:rPr>
            <ns1:sty ns1:val="p"/>
          </ns1:rPr>
          <ns1:t>,</ns1:t>
        </ns1:r>
        <ns1:r>
          <ns1:t>0.75</ns1:t>
        </ns1:r>
        <ns1:r>
          <ns1:rPr>
            <ns1:sty ns1:val="p"/>
          </ns1:rPr>
          <ns1:t>,</ns1:t>
        </ns1:r>
        <ns1:r>
          <ns1:t>3.0</ns1:t>
        </ns1:r>
        <ns1:r>
          <ns1:rPr>
            <ns1:sty ns1:val="p"/>
          </ns1:rPr>
          <ns1:t>,</ns1:t>
        </ns1:r>
        <ns1:r>
          <ns1:t>10.0</ns1:t>
        </ns1:r>
        <ns1:r>
          <ns1:rPr>
            <ns1:sty ns1:val="p"/>
          </ns1:rPr>
          <ns1:t>}</ns1:t>
        </ns1:r>
      </ns1:oMath>
      <w:r>
        <w:t xml:space="preserve">) manteniendo</w:t>
      </w:r>
      <w:r>
        <w:t xml:space="preserve"> </w:t>
      </w:r>
      <w:r>
        <w:rPr>
          <w:rStyle w:val="VerbatimChar"/>
        </w:rPr>
        <w:t xml:space="preserve">num_samples = 1000</w:t>
      </w:r>
      <w:r>
        <w:t xml:space="preserve"> </w:t>
      </w:r>
      <w:r>
        <w:t xml:space="preserve">y</w:t>
      </w:r>
      <w:r>
        <w:t xml:space="preserve"> </w:t>
      </w:r>
      <w:r>
        <w:rPr>
          <w:rStyle w:val="VerbatimChar"/>
        </w:rPr>
        <w:t xml:space="preserve">num_features = 10</w:t>
      </w:r>
      <w:r>
        <w:t xml:space="preserve"> </w:t>
      </w:r>
      <w:r>
        <w:t xml:space="preserve">constantes. La condición de referencia (</w:t>
      </w:r>
      <w:r>
        <w:rPr>
          <w:rStyle w:val="VerbatimChar"/>
        </w:rPr>
        <w:t xml:space="preserve">kernel_width = 3.0</w:t>
      </w:r>
      <w:r>
        <w:t xml:space="preserve">) corresponde a la configuración EXP2. Se reportan instancias válidas (al menos un peso no nulo), fidelidad y estabilidad media, y coste unitario (RF,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0" w:lastRow="0" w:firstColumn="0" w:lastColumn="0" w:noHBand="0" w:noVBand="0" w:val="0000"/>
      </w:tblPr>
      <w:tblGrid>
        <w:gridCol w:w="7920"/>
      </w:tblGrid>
      <w:tr>
        <w:tc>
          <w:tcPr/>
          <w:bookmarkStart w:id="460" w:name="tbl-appendix-lime-kw-sensitivity"/>
          <w:p>
            <w:pPr>
              <w:jc w:val="both"/>
              <w:spacing w:line="360" w:lineRule="auto"/>
            </w:pPr>
            <w:pPr>
              <w:jc w:val="left"/>
              <w:spacing w:before="200"/>
              <w:pStyle w:val="ImageCaption"/>
            </w:pPr>
            <w:r>
              <w:t xml:space="preserve">Table 7.11: Sensibilidad de LIME a</w:t>
            </w:r>
            <w:r>
              <w:t xml:space="preserve"> </w:t>
            </w:r>
            <w:r>
              <w:rPr>
                <w:rStyle w:val="VerbatimChar"/>
              </w:rPr>
              <w:t xml:space="preserve">kernel_width</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rStyle w:val="VerbatimChar"/>
                    </w:rPr>
                    <w:t xml:space="preserve">kernel_width</w:t>
                  </w:r>
                </w:p>
              </w:tc>
              <w:tc>
                <w:tcPr/>
                <w:p>
                  <w:pPr>
                    <w:pStyle w:val="Compact"/>
                    <w:jc w:val="both"/>
                    <w:jc w:val="center"/>
                    <w:spacing w:line="360" w:lineRule="auto"/>
                  </w:pPr>
                  <w:r>
                    <w:t xml:space="preserve">Instancias válidas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0.25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0.75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3.0 (referencia)</w:t>
                  </w:r>
                </w:p>
              </w:tc>
              <w:tc>
                <w:tcPr/>
                <w:p>
                  <w:pPr>
                    <w:pStyle w:val="Compact"/>
                    <w:jc w:val="both"/>
                    <w:jc w:val="center"/>
                    <w:spacing w:line="360" w:lineRule="auto"/>
                  </w:pPr>
                  <w:r>
                    <w:t xml:space="preserve">96 / 100</w:t>
                  </w:r>
                </w:p>
              </w:tc>
              <w:tc>
                <w:tcPr/>
                <w:p>
                  <w:pPr>
                    <w:pStyle w:val="Compact"/>
                    <w:jc w:val="both"/>
                    <w:jc w:val="center"/>
                    <w:spacing w:line="360" w:lineRule="auto"/>
                  </w:pPr>
                  <w:r>
                    <w:t xml:space="preserve">0.518</w:t>
                  </w:r>
                </w:p>
              </w:tc>
              <w:tc>
                <w:tcPr/>
                <w:p>
                  <w:pPr>
                    <w:pStyle w:val="Compact"/>
                    <w:jc w:val="both"/>
                    <w:jc w:val="center"/>
                    <w:spacing w:line="360" w:lineRule="auto"/>
                  </w:pPr>
                  <w:r>
                    <w:t xml:space="preserve">0.000</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0.087</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100 / 100</w:t>
                  </w:r>
                </w:p>
              </w:tc>
              <w:tc>
                <w:tcPr/>
                <w:p>
                  <w:pPr>
                    <w:pStyle w:val="Compact"/>
                    <w:jc w:val="both"/>
                    <w:jc w:val="center"/>
                    <w:spacing w:line="360" w:lineRule="auto"/>
                  </w:pPr>
                  <w:r>
                    <w:t xml:space="preserve">0.441</w:t>
                  </w:r>
                </w:p>
              </w:tc>
              <w:tc>
                <w:tcPr/>
                <w:p>
                  <w:pPr>
                    <w:pStyle w:val="Compact"/>
                    <w:jc w:val="both"/>
                    <w:jc w:val="center"/>
                    <w:spacing w:line="360" w:lineRule="auto"/>
                  </w:pPr>
                  <w:r>
                    <w:t xml:space="preserve">0.664</w:t>
                  </w:r>
                </w:p>
              </w:tc>
              <w:tc>
                <w:tcPr/>
                <w:p>
                  <w:pPr>
                    <w:pStyle w:val="Compact"/>
                    <w:jc w:val="both"/>
                    <w:jc w:val="center"/>
                    <w:spacing w:line="360" w:lineRule="auto"/>
                  </w:pPr>
                  <w:r>
                    <w:t xml:space="preserve">32</w:t>
                  </w:r>
                </w:p>
              </w:tc>
              <w:tc>
                <w:tcPr/>
                <w:p>
                  <w:pPr>
                    <w:pStyle w:val="Compact"/>
                    <w:jc w:val="both"/>
                    <w:jc w:val="center"/>
                    <w:spacing w:line="360" w:lineRule="auto"/>
                  </w:pPr>
                  <w:r>
                    <w:t xml:space="preserve">0.093</w:t>
                  </w:r>
                </w:p>
              </w:tc>
            </w:tr>
          </w:tbl>
          <w:bookmarkEnd w:id="460"/>
          <w:p>
            <w:pPr>
              <w:spacing w:line="360" w:lineRule="auto"/>
              <w:jc w:val="both"/>
            </w:pPr>
          </w:p>
        </w:tc>
      </w:tr>
    </w:tbl>
    <w:p>
      <w:pPr>
        <w:pStyle w:val="Textoindependiente"/>
        <w:spacing w:line="360" w:lineRule="auto"/>
        <w:jc w:val="both"/>
      </w:pPr>
      <w:r>
        <w:t xml:space="preserve">Los valores 0.25 y 0.75 son completamente degenerados en el espacio de características preprocesado de 103 dimensiones: el radio del vecindario es inferior a las distancias típicas entre instancias una vez aplicada la codificación one-hot y la estandarización, y LIME no puede ajustar ningún modelo sustituto local con señal apreciable. La referencia (</w:t>
      </w:r>
      <w:r>
        <w:rPr>
          <w:rStyle w:val="VerbatimChar"/>
        </w:rPr>
        <w:t xml:space="preserve">kernel_width = 3.0</w:t>
      </w:r>
      <w:r>
        <w:t xml:space="preserve">) produce pesos no nulos en el 96% de las instancias y una fidelidad de 0.518, pero la estabilidad bajo perturbaciones de</w:t>
      </w:r>
      <w:r>
        <w:t xml:space="preserve"> </w:t>
      </w:r>
      <ns1:oMath>
        <ns1:r>
          <ns1:t>σ</ns1:t>
        </ns1:r>
        <ns1:r>
          <ns1:rPr>
            <ns1:sty ns1:val="p"/>
          </ns1:rPr>
          <ns1:t>=</ns1:t>
        </ns1:r>
        <ns1:r>
          <ns1:t>0.1</ns1:t>
        </ns1:r>
      </ns1:oMath>
      <w:r>
        <w:t xml:space="preserve"> </w:t>
      </w:r>
      <w:r>
        <w:t xml:space="preserve">es prácticamente nula (consistente con los hallazgos de EXP2). El valor</w:t>
      </w:r>
      <w:r>
        <w:t xml:space="preserve"> </w:t>
      </w:r>
      <w:r>
        <w:rPr>
          <w:rStyle w:val="VerbatimChar"/>
        </w:rPr>
        <w:t xml:space="preserve">kernel_width = 10.0</w:t>
      </w:r>
      <w:r>
        <w:t xml:space="preserve"> </w:t>
      </w:r>
      <w:r>
        <w:t xml:space="preserve">produce explicaciones válidas en el 100% de las instancias y una estabilidad de 0.664, pero a costa de menor fidelidad (0.441) porque el vecindario más amplio promedia regiones de decisión heterogéneas. Estos resultados delimitan el alcance del hallazgo de EXP2 en dos direcciones. Por un lado, la inestabilidad observada bajo la configuración de referencia no se debe a una calibración deficiente del kernel: reducir el ancho no la corrige, sino que degenera las explicaciones, y</w:t>
      </w:r>
      <w:r>
        <w:t xml:space="preserve"> </w:t>
      </w:r>
      <w:r>
        <w:rPr>
          <w:rStyle w:val="VerbatimChar"/>
        </w:rPr>
        <w:t xml:space="preserve">kernel_width = 3.0</w:t>
      </w:r>
      <w:r>
        <w:t xml:space="preserve"> </w:t>
      </w:r>
      <w:r>
        <w:t xml:space="preserve">es el valor mínimo viable en este espacio. Por otro, tampoco es independiente de ese parámetro: ampliar el kernel a 10.0 recupera una estabilidad de 0.664 a costa de localidad y de fidelidad. La lectura conjunta es que la estabilidad de LIME en datos tabulares de alta dimensión depende del par (ancho de kernel, espacio de características) y debe medirse para la configuración concreta de despliegue, no presuponerse.</w:t>
      </w:r>
    </w:p>
    <w:p>
      <w:pPr>
        <w:pStyle w:val="Textoindependiente"/>
        <w:spacing w:line="360" w:lineRule="auto"/>
        <w:jc w:val="both"/>
      </w:pPr>
      <w:r>
        <w:t xml:space="preserve">En conjunto, estos análisis muestran que los resultados principales (SHAP</w:t>
      </w:r>
      <w:r>
        <w:t xml:space="preserve"> </w:t>
      </w:r>
      <w:r>
        <w:t xml:space="preserve">superior a LIME en fidelidad y estabilidad; estabilidad de LIME casi nula bajo</w:t>
      </w:r>
      <w:r>
        <w:t xml:space="preserve"> </w:t>
      </w:r>
      <w:r>
        <w:t xml:space="preserve">la configuración de referencia) son robustos a variaciones razonables de los</w:t>
      </w:r>
      <w:r>
        <w:t xml:space="preserve"> </w:t>
      </w:r>
      <w:r>
        <w:t xml:space="preserve">hiperparámetros dentro de los rangos explorados, con la excepción explícita del</w:t>
      </w:r>
      <w:r>
        <w:t xml:space="preserve"> </w:t>
      </w:r>
      <w:r>
        <w:t xml:space="preserve">ancho de kernel, que sí modifica sustancialmente la estabilidad de LIME. La excepción es la cobertura de Anchors, que cambia</w:t>
      </w:r>
      <w:r>
        <w:t xml:space="preserve"> </w:t>
      </w:r>
      <w:r>
        <w:t xml:space="preserve">significativamente con</w:t>
      </w:r>
      <w:r>
        <w:t xml:space="preserve"> </w:t>
      </w:r>
      <ns1:oMath>
        <ns1:r>
          <ns1:t>τ</ns1:t>
        </ns1:r>
      </ns1:oMath>
      <w:r>
        <w:t xml:space="preserve"> </w:t>
      </w:r>
      <w:r>
        <w:t xml:space="preserve">y debe tratarse como un parámetro de diseño</w:t>
      </w:r>
      <w:r>
        <w:t xml:space="preserve"> </w:t>
      </w:r>
      <w:r>
        <w:t xml:space="preserve">explícito, no como un valor predeterminado.</w:t>
      </w:r>
    </w:p>
    <w:bookmarkEnd w:id="461"/>
    <w:bookmarkEnd w:id="462"/>
    <w:bookmarkStart w:id="470" w:name="X5f7bacac88c7eb1c452db69614af410a4173f84"/>
    <w:p>
      <w:pPr>
        <w:pStyle w:val="Ttulo2"/>
        <w:spacing w:line="360" w:lineRule="auto"/>
        <w:jc w:val="both"/>
      </w:pPr>
      <w:r>
        <w:t xml:space="preserve">Apéndice D: Salidas estadísticas y trazabilidad</w:t>
      </w:r>
    </w:p>
    <w:p>
      <w:pPr>
        <w:pStyle w:val="FirstParagraph"/>
        <w:spacing w:line="360" w:lineRule="auto"/>
        <w:jc w:val="both"/>
      </w:pPr>
      <w:r>
        <w:t xml:space="preserve">Las tablas inferenciales usadas en el Capítulo 4 se generan desde</w:t>
      </w:r>
      <w:r>
        <w:t xml:space="preserve"> </w:t>
      </w:r>
      <w:r>
        <w:rPr>
          <w:rStyle w:val="VerbatimChar"/>
        </w:rPr>
        <w:t xml:space="preserve">scripts/run_exp2_statistical_analysis.py</w:t>
      </w:r>
      <w:r>
        <w:t xml:space="preserve"> </w:t>
      </w:r>
      <w:r>
        <w:t xml:space="preserve">y se exportan a</w:t>
      </w:r>
      <w:r>
        <w:t xml:space="preserve"> </w:t>
      </w:r>
      <w:r>
        <w:rPr>
          <w:rStyle w:val="VerbatimChar"/>
        </w:rPr>
        <w:t xml:space="preserve">outputs/analysis/paper_a_exp2_stats/</w:t>
      </w:r>
      <w:r>
        <w:t xml:space="preserve">.</w:t>
      </w:r>
    </w:p>
    <w:tbl>
      <w:tblPr>
        <w:tblStyle w:val="Table"/>
        <w:tblW w:type="pct" w:w="5000"/>
        <w:tblLayout w:type="fixed"/>
        <w:tblLook w:firstRow="0" w:lastRow="0" w:firstColumn="0" w:lastColumn="0" w:noHBand="0" w:noVBand="0" w:val="0000"/>
      </w:tblPr>
      <w:tblGrid>
        <w:gridCol w:w="7920"/>
      </w:tblGrid>
      <w:tr>
        <w:tc>
          <w:tcPr/>
          <w:bookmarkStart w:id="463" w:name="tbl-appendix-stat-outputs"/>
          <w:p>
            <w:pPr>
              <w:jc w:val="both"/>
              <w:spacing w:line="360" w:lineRule="auto"/>
            </w:pPr>
            <w:pPr>
              <w:jc w:val="left"/>
              <w:spacing w:before="200"/>
              <w:pStyle w:val="ImageCaption"/>
            </w:pPr>
            <w:r>
              <w:t xml:space="preserve">Table 7.12: Salidas estadísticas principales y uso en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tesis</w:t>
                  </w:r>
                </w:p>
              </w:tc>
            </w:tr>
            <w:tr>
              <w:tc>
                <w:tcPr/>
                <w:p>
                  <w:pPr>
                    <w:pStyle w:val="Compact"/>
                    <w:jc w:val="both"/>
                    <w:jc w:val="center"/>
                    <w:spacing w:line="360" w:lineRule="auto"/>
                  </w:pPr>
                  <w:r>
                    <w:rPr>
                      <w:rStyle w:val="VerbatimChar"/>
                    </w:rPr>
                    <w:t xml:space="preserve">friedman_results.csv</w:t>
                  </w:r>
                </w:p>
              </w:tc>
              <w:tc>
                <w:tcPr/>
                <w:p>
                  <w:pPr>
                    <w:pStyle w:val="Compact"/>
                    <w:jc w:val="both"/>
                    <w:jc w:val="center"/>
                    <w:spacing w:line="360" w:lineRule="auto"/>
                  </w:pPr>
                  <w:r>
                    <w:t xml:space="preserve">Estadísticos Friedman,</w:t>
                  </w:r>
                  <w:r>
                    <w:t xml:space="preserve"> </w:t>
                  </w:r>
                  <ns1:oMath>
                    <ns1:r>
                      <ns1:t>p</ns1:t>
                    </ns1:r>
                  </ns1:oMath>
                  <w:r>
                    <w:t xml:space="preserve"> </w:t>
                  </w:r>
                  <w:r>
                    <w:t xml:space="preserve">crudos,</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Kendall</w:t>
                  </w:r>
                  <w:r>
                    <w:t xml:space="preserve"> </w:t>
                  </w:r>
                  <ns1:oMath>
                    <ns1:r>
                      <ns1:t>W</ns1:t>
                    </ns1:r>
                  </ns1:oMath>
                </w:p>
              </w:tc>
              <w:tc>
                <w:tcPr/>
                <w:p>
                  <w:pPr>
                    <w:pStyle w:val="Compact"/>
                    <w:jc w:val="both"/>
                    <w:jc w:val="center"/>
                    <w:spacing w:line="360" w:lineRule="auto"/>
                  </w:pPr>
                  <w:r>
                    <w:t xml:space="preserve">H1 y H2</w:t>
                  </w:r>
                </w:p>
              </w:tc>
            </w:tr>
            <w:tr>
              <w:tc>
                <w:tcPr/>
                <w:p>
                  <w:pPr>
                    <w:pStyle w:val="Compact"/>
                    <w:jc w:val="both"/>
                    <w:jc w:val="center"/>
                    <w:spacing w:line="360" w:lineRule="auto"/>
                  </w:pPr>
                  <w:r>
                    <w:rPr>
                      <w:rStyle w:val="VerbatimChar"/>
                    </w:rPr>
                    <w:t xml:space="preserve">nemenyi_fidelity.csv</w:t>
                  </w:r>
                </w:p>
              </w:tc>
              <w:tc>
                <w:tcPr/>
                <w:p>
                  <w:pPr>
                    <w:pStyle w:val="Compact"/>
                    <w:jc w:val="both"/>
                    <w:jc w:val="center"/>
                    <w:spacing w:line="360" w:lineRule="auto"/>
                  </w:pPr>
                  <w:r>
                    <w:t xml:space="preserve">Comparaciones post-hoc para fidelidad</w:t>
                  </w:r>
                </w:p>
              </w:tc>
              <w:tc>
                <w:tcPr/>
                <w:p>
                  <w:pPr>
                    <w:pStyle w:val="Compact"/>
                    <w:jc w:val="both"/>
                    <w:jc w:val="center"/>
                    <w:spacing w:line="360" w:lineRule="auto"/>
                  </w:pPr>
                  <w:r>
                    <w:t xml:space="preserve">Localización de H1</w:t>
                  </w:r>
                </w:p>
              </w:tc>
            </w:tr>
            <w:tr>
              <w:tc>
                <w:tcPr/>
                <w:p>
                  <w:pPr>
                    <w:pStyle w:val="Compact"/>
                    <w:jc w:val="both"/>
                    <w:jc w:val="center"/>
                    <w:spacing w:line="360" w:lineRule="auto"/>
                  </w:pPr>
                  <w:r>
                    <w:rPr>
                      <w:rStyle w:val="VerbatimChar"/>
                    </w:rPr>
                    <w:t xml:space="preserve">nemenyi_stability.csv</w:t>
                  </w:r>
                </w:p>
              </w:tc>
              <w:tc>
                <w:tcPr/>
                <w:p>
                  <w:pPr>
                    <w:pStyle w:val="Compact"/>
                    <w:jc w:val="both"/>
                    <w:jc w:val="center"/>
                    <w:spacing w:line="360" w:lineRule="auto"/>
                  </w:pPr>
                  <w:r>
                    <w:t xml:space="preserve">Comparaciones post-hoc para estabilidad</w:t>
                  </w:r>
                </w:p>
              </w:tc>
              <w:tc>
                <w:tcPr/>
                <w:p>
                  <w:pPr>
                    <w:pStyle w:val="Compact"/>
                    <w:jc w:val="both"/>
                    <w:jc w:val="center"/>
                    <w:spacing w:line="360" w:lineRule="auto"/>
                  </w:pPr>
                  <w:r>
                    <w:t xml:space="preserve">Localización de H2</w:t>
                  </w:r>
                </w:p>
              </w:tc>
            </w:tr>
            <w:tr>
              <w:tc>
                <w:tcPr/>
                <w:p>
                  <w:pPr>
                    <w:pStyle w:val="Compact"/>
                    <w:jc w:val="both"/>
                    <w:jc w:val="center"/>
                    <w:spacing w:line="360" w:lineRule="auto"/>
                  </w:pPr>
                  <w:r>
                    <w:rPr>
                      <w:rStyle w:val="VerbatimChar"/>
                    </w:rPr>
                    <w:t xml:space="preserve">wilcoxon_shap_lime_all_models.csv</w:t>
                  </w:r>
                </w:p>
              </w:tc>
              <w:tc>
                <w:tcPr/>
                <w:p>
                  <w:pPr>
                    <w:pStyle w:val="Compact"/>
                    <w:jc w:val="both"/>
                    <w:jc w:val="center"/>
                    <w:spacing w:line="360" w:lineRule="auto"/>
                  </w:pPr>
                  <w:r>
                    <w:t xml:space="preserve">Wilcoxon pareado SHAP-LIME sobre 75 celdas</w:t>
                  </w:r>
                </w:p>
              </w:tc>
              <w:tc>
                <w:tcPr/>
                <w:p>
                  <w:pPr>
                    <w:pStyle w:val="Compact"/>
                    <w:jc w:val="both"/>
                    <w:jc w:val="center"/>
                    <w:spacing w:line="360" w:lineRule="auto"/>
                  </w:pPr>
                  <w:r>
                    <w:t xml:space="preserve">H3</w:t>
                  </w:r>
                </w:p>
              </w:tc>
            </w:tr>
            <w:tr>
              <w:tc>
                <w:tcPr/>
                <w:p>
                  <w:pPr>
                    <w:pStyle w:val="Compact"/>
                    <w:jc w:val="both"/>
                    <w:jc w:val="center"/>
                    <w:spacing w:line="360" w:lineRule="auto"/>
                  </w:pPr>
                  <w:r>
                    <w:rPr>
                      <w:rStyle w:val="VerbatimChar"/>
                    </w:rPr>
                    <w:t xml:space="preserve">paired_cells_shap_lime_all_models.csv</w:t>
                  </w:r>
                </w:p>
              </w:tc>
              <w:tc>
                <w:tcPr/>
                <w:p>
                  <w:pPr>
                    <w:pStyle w:val="Compact"/>
                    <w:jc w:val="both"/>
                    <w:jc w:val="center"/>
                    <w:spacing w:line="360" w:lineRule="auto"/>
                  </w:pPr>
                  <w:r>
                    <w:t xml:space="preserve">Celdas pareadas fuente de H3</w:t>
                  </w:r>
                </w:p>
              </w:tc>
              <w:tc>
                <w:tcPr/>
                <w:p>
                  <w:pPr>
                    <w:pStyle w:val="Compact"/>
                    <w:jc w:val="both"/>
                    <w:jc w:val="center"/>
                    <w:spacing w:line="360" w:lineRule="auto"/>
                  </w:pPr>
                  <w:r>
                    <w:t xml:space="preserve">Trazabilidad de diferencias pareadas</w:t>
                  </w:r>
                </w:p>
              </w:tc>
            </w:tr>
            <w:tr>
              <w:tc>
                <w:tcPr/>
                <w:p>
                  <w:pPr>
                    <w:pStyle w:val="Compact"/>
                    <w:jc w:val="both"/>
                    <w:jc w:val="center"/>
                    <w:spacing w:line="360" w:lineRule="auto"/>
                  </w:pPr>
                  <w:r>
                    <w:rPr>
                      <w:rStyle w:val="VerbatimChar"/>
                    </w:rPr>
                    <w:t xml:space="preserve">exp2_run_inventory.csv</w:t>
                  </w:r>
                </w:p>
              </w:tc>
              <w:tc>
                <w:tcPr/>
                <w:p>
                  <w:pPr>
                    <w:pStyle w:val="Compact"/>
                    <w:jc w:val="both"/>
                    <w:jc w:val="center"/>
                    <w:spacing w:line="360" w:lineRule="auto"/>
                  </w:pPr>
                  <w:r>
                    <w:t xml:space="preserve">Inventario de celdas y cobertura</w:t>
                  </w:r>
                </w:p>
              </w:tc>
              <w:tc>
                <w:tcPr/>
                <w:p>
                  <w:pPr>
                    <w:pStyle w:val="Compact"/>
                    <w:jc w:val="both"/>
                    <w:jc w:val="center"/>
                    <w:spacing w:line="360" w:lineRule="auto"/>
                  </w:pPr>
                  <w:r>
                    <w:t xml:space="preserve">Cobertura FOM-7</w:t>
                  </w:r>
                </w:p>
              </w:tc>
            </w:tr>
            <w:tr>
              <w:tc>
                <w:tcPr/>
                <w:p>
                  <w:pPr>
                    <w:pStyle w:val="Compact"/>
                    <w:jc w:val="both"/>
                    <w:jc w:val="center"/>
                    <w:spacing w:line="360" w:lineRule="auto"/>
                  </w:pPr>
                  <w:r>
                    <w:rPr>
                      <w:rStyle w:val="VerbatimChar"/>
                    </w:rPr>
                    <w:t xml:space="preserve">method_uncertainty_over_blocks.csv</w:t>
                  </w:r>
                </w:p>
              </w:tc>
              <w:tc>
                <w:tcPr/>
                <w:p>
                  <w:pPr>
                    <w:pStyle w:val="Compact"/>
                    <w:jc w:val="both"/>
                    <w:jc w:val="center"/>
                    <w:spacing w:line="360" w:lineRule="auto"/>
                  </w:pPr>
                  <w:r>
                    <w:t xml:space="preserve">Incertidumbre por método y bloque</w:t>
                  </w:r>
                </w:p>
              </w:tc>
              <w:tc>
                <w:tcPr/>
                <w:p>
                  <w:pPr>
                    <w:pStyle w:val="Compact"/>
                    <w:jc w:val="both"/>
                    <w:jc w:val="center"/>
                    <w:spacing w:line="360" w:lineRule="auto"/>
                  </w:pPr>
                  <w:r>
                    <w:t xml:space="preserve">Limitaciones por cobertura</w:t>
                  </w:r>
                </w:p>
              </w:tc>
            </w:tr>
          </w:tbl>
          <w:bookmarkEnd w:id="463"/>
          <w:p>
            <w:pPr>
              <w:spacing w:line="360" w:lineRule="auto"/>
              <w:jc w:val="both"/>
            </w:pPr>
          </w:p>
        </w:tc>
      </w:tr>
    </w:tbl>
    <w:p>
      <w:pPr>
        <w:pStyle w:val="Textoindependiente"/>
        <w:spacing w:line="360" w:lineRule="auto"/>
        <w:jc w:val="both"/>
      </w:pPr>
      <w:r>
        <w:t xml:space="preserve">Las secciones siguientes reproducen las tablas completas de los análisis</w:t>
      </w:r>
      <w:r>
        <w:t xml:space="preserve"> </w:t>
      </w:r>
      <w:r>
        <w:t xml:space="preserve">inferenciales para garantizar la auto-suficiencia documental de la tesis.</w:t>
      </w:r>
    </w:p>
    <w:bookmarkStart w:id="465" w:name="Xe3909ed8b3f47a476ee07b1fbdd59a863fdc536"/>
    <w:p>
      <w:pPr>
        <w:pStyle w:val="Ttulo3"/>
        <w:spacing w:line="360" w:lineRule="auto"/>
        <w:jc w:val="both"/>
      </w:pPr>
      <w:r>
        <w:t xml:space="preserve">D.1 Resultados completos de la prueba de Friedman</w:t>
      </w:r>
    </w:p>
    <w:tbl>
      <w:tblPr>
        <w:tblStyle w:val="Table"/>
        <w:tblW w:type="pct" w:w="5000"/>
        <w:tblLayout w:type="fixed"/>
        <w:tblLook w:firstRow="0" w:lastRow="0" w:firstColumn="0" w:lastColumn="0" w:noHBand="0" w:noVBand="0" w:val="0000"/>
      </w:tblPr>
      <w:tblGrid>
        <w:gridCol w:w="7920"/>
      </w:tblGrid>
      <w:tr>
        <w:tc>
          <w:tcPr/>
          <w:bookmarkStart w:id="464" w:name="tbl-appendix-friedman-full"/>
          <w:p>
            <w:pPr>
              <w:jc w:val="both"/>
              <w:spacing w:line="360" w:lineRule="auto"/>
            </w:pPr>
            <w:pPr>
              <w:jc w:val="left"/>
              <w:spacing w:before="200"/>
              <w:pStyle w:val="ImageCaption"/>
            </w:pPr>
            <w:r>
              <w:t xml:space="preserve">Table 7.13: Resultados completos de la prueba de Friedman por métrica (</w:t>
            </w:r>
            <ns1:oMath>
              <ns1:r>
                <ns1:t>α</ns1:t>
              </ns1:r>
              <ns1:r>
                <ns1:rPr>
                  <ns1:sty ns1:val="p"/>
                </ns1:rPr>
                <ns1:t>=</ns1:t>
              </ns1:r>
              <ns1:r>
                <ns1:t>0.05</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Valores</w:t>
            </w:r>
            <w:r>
              <w:t xml:space="preserve"> </w:t>
            </w:r>
            <ns1:oMath>
              <ns1:r>
                <ns1:t>p</ns1:t>
              </ns1:r>
            </ns1:oMath>
            <w:r>
              <w:t xml:space="preserve"> </w:t>
            </w:r>
            <w:r>
              <w:t xml:space="preserve">crudos y ajustados extraídos de</w:t>
            </w:r>
            <w:r>
              <w:t xml:space="preserve"> </w:t>
            </w:r>
            <w:r>
              <w:rPr>
                <w:rStyle w:val="VerbatimChar"/>
              </w:rPr>
              <w:t xml:space="preserve">outputs/analysis/paper_a_exp2_stats/friedman_results.csv</w:t>
            </w:r>
            <w:r>
              <w:t xml:space="preserve">.</w:t>
            </w:r>
            <w:r>
              <w:t xml:space="preserve"> </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r>
                      <ns1:t>n</ns1:t>
                    </ns1:r>
                  </ns1:oMath>
                  <w:r>
                    <w:t xml:space="preserve"> </w:t>
                  </w:r>
                  <w:r>
                    <w:t xml:space="preserve">bloques</w:t>
                  </w:r>
                </w:p>
              </w:tc>
              <w:tc>
                <w:tcPr/>
                <w:p>
                  <w:pPr>
                    <w:pStyle w:val="Compact"/>
                    <w:jc w:val="both"/>
                    <w:jc w:val="center"/>
                    <w:spacing w:line="360" w:lineRule="auto"/>
                  </w:pPr>
                  <ns1:oMath>
                    <ns1:r>
                      <ns1:t>k</ns1:t>
                    </ns1:r>
                  </ns1:oMath>
                  <w:r>
                    <w:t xml:space="preserve"> </w:t>
                  </w:r>
                  <w:r>
                    <w:t xml:space="preserve">métodos</w:t>
                  </w:r>
                </w:p>
              </w:tc>
              <w:tc>
                <w:tcPr/>
                <w:p>
                  <w:pPr>
                    <w:pStyle w:val="Compact"/>
                    <w:jc w:val="both"/>
                    <w:jc w:val="center"/>
                    <w:spacing w:line="360" w:lineRule="auto"/>
                  </w:pPr>
                  <ns1:oMath>
                    <ns1:sSubSup>
                      <ns1:e>
                        <ns1:r>
                          <ns1:t>χ</ns1:t>
                        </ns1:r>
                      </ns1:e>
                      <ns1:sub>
                        <ns1:r>
                          <ns1:t>F</ns1:t>
                        </ns1:r>
                      </ns1:sub>
                      <ns1:sup>
                        <ns1:r>
                          <ns1:t>2</ns1:t>
                        </ns1:r>
                      </ns1:sup>
                    </ns1:sSubSup>
                  </ns1:oMath>
                </w:p>
              </w:tc>
              <w:tc>
                <w:tcPr/>
                <w:p>
                  <w:pPr>
                    <w:pStyle w:val="Compact"/>
                    <w:jc w:val="both"/>
                    <w:jc w:val="center"/>
                    <w:spacing w:line="360" w:lineRule="auto"/>
                  </w:pPr>
                  <ns1:oMath>
                    <ns1:r>
                      <ns1:t>g</ns1:t>
                    </ns1:r>
                    <ns1:r>
                      <ns1:t>l</ns1:t>
                    </ns1:r>
                  </ns1:oMath>
                </w:p>
              </w:tc>
              <w:tc>
                <w:tcPr/>
                <w:p>
                  <w:pPr>
                    <w:pStyle w:val="Compact"/>
                    <w:jc w:val="both"/>
                    <w:jc w:val="center"/>
                    <w:spacing w:line="360" w:lineRule="auto"/>
                  </w:pPr>
                  <ns1:oMath>
                    <ns1:r>
                      <ns1:t>p</ns1:t>
                    </ns1:r>
                  </ns1:oMath>
                  <w:r>
                    <w:t xml:space="preserve"> </w:t>
                  </w:r>
                  <w:r>
                    <w:t xml:space="preserve">(crudo)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Kendall</w:t>
                  </w:r>
                  <w:r>
                    <w:t xml:space="preserve"> </w:t>
                  </w:r>
                  <ns1:oMath>
                    <ns1:r>
                      <ns1:t>W</ns1:t>
                    </ns1:r>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42.12</w:t>
                  </w:r>
                </w:p>
              </w:tc>
              <w:tc>
                <w:tcPr/>
                <w:p>
                  <w:pPr>
                    <w:pStyle w:val="Compact"/>
                    <w:jc w:val="both"/>
                    <w:jc w:val="center"/>
                    <w:spacing w:line="360" w:lineRule="auto"/>
                  </w:pPr>
                  <w:r>
                    <w:t xml:space="preserve">3</w:t>
                  </w:r>
                </w:p>
              </w:tc>
              <w:tc>
                <w:tcPr/>
                <w:p>
                  <w:pPr>
                    <w:pStyle w:val="Compact"/>
                    <w:jc w:val="both"/>
                    <w:jc w:val="center"/>
                    <w:spacing w:line="360" w:lineRule="auto"/>
                  </w:pPr>
                  <ns1:oMath>
                    <ns1:r>
                      <ns1:t>3.78</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0.936</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40.68</w:t>
                  </w:r>
                </w:p>
              </w:tc>
              <w:tc>
                <w:tcPr/>
                <w:p>
                  <w:pPr>
                    <w:pStyle w:val="Compact"/>
                    <w:jc w:val="both"/>
                    <w:jc w:val="center"/>
                    <w:spacing w:line="360" w:lineRule="auto"/>
                  </w:pPr>
                  <w:r>
                    <w:t xml:space="preserve">3</w:t>
                  </w:r>
                </w:p>
              </w:tc>
              <w:tc>
                <w:tcPr/>
                <w:p>
                  <w:pPr>
                    <w:pStyle w:val="Compact"/>
                    <w:jc w:val="both"/>
                    <w:jc w:val="center"/>
                    <w:spacing w:line="360" w:lineRule="auto"/>
                  </w:pPr>
                  <ns1:oMath>
                    <ns1:r>
                      <ns1:t>7.65</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0.904</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p>
              </w:tc>
            </w:tr>
          </w:tbl>
          <w:bookmarkEnd w:id="464"/>
          <w:p>
            <w:pPr>
              <w:spacing w:line="360" w:lineRule="auto"/>
              <w:jc w:val="both"/>
            </w:pPr>
          </w:p>
        </w:tc>
      </w:tr>
    </w:tbl>
    <w:p>
      <w:pPr>
        <w:pStyle w:val="Textoindependiente"/>
        <w:spacing w:line="360" w:lineRule="auto"/>
        <w:jc w:val="both"/>
      </w:pPr>
      <w:r>
        <w:t xml:space="preserve">Valor crítico para</w:t>
      </w:r>
      <w:r>
        <w:t xml:space="preserve"> </w:t>
      </w:r>
      <ns1:oMath>
        <ns1:r>
          <ns1:t>α</ns1:t>
        </ns1:r>
        <ns1:r>
          <ns1:rPr>
            <ns1:sty ns1:val="p"/>
          </ns1:rPr>
          <ns1:t>=</ns1:t>
        </ns1:r>
        <ns1:r>
          <ns1:t>0.05</ns1:t>
        </ns1:r>
      </ns1:oMath>
      <w:r>
        <w:t xml:space="preserve">,</w:t>
      </w:r>
      <w:r>
        <w:t xml:space="preserve"> </w:t>
      </w:r>
      <ns1:oMath>
        <ns1:r>
          <ns1:t>g</ns1:t>
        </ns1:r>
        <ns1:r>
          <ns1:t>l</ns1:t>
        </ns1:r>
        <ns1:r>
          <ns1:rPr>
            <ns1:sty ns1:val="p"/>
          </ns1:rPr>
          <ns1:t>=</ns1:t>
        </ns1:r>
        <ns1:r>
          <ns1:t>3</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7.815</ns1:t>
        </ns1:r>
      </ns1:oMath>
      <w:r>
        <w:t xml:space="preserve">. Margen</w:t>
      </w:r>
      <w:r>
        <w:t xml:space="preserve"> </w:t>
      </w:r>
      <w:r>
        <w:t xml:space="preserve">de seguridad: fidelidad = 439%, estabilidad = 421%. La corrección</w:t>
      </w:r>
      <w:r>
        <w:t xml:space="preserve"> </w:t>
      </w:r>
      <w:r>
        <w:t xml:space="preserve">Holm-Bonferroni se aplica sobre la familia inferencial completa del test omnibus</w:t>
      </w:r>
      <w:r>
        <w:t xml:space="preserve"> </w:t>
      </w:r>
      <w:r>
        <w:t xml:space="preserve">—las cinco métricas primarias evaluadas mediante Friedman, conforme al plan</w:t>
      </w:r>
      <w:r>
        <w:t xml:space="preserve"> </w:t>
      </w:r>
      <w:r>
        <w:t xml:space="preserve">declarado en la</w:t>
      </w:r>
      <w:r>
        <w:t xml:space="preserve"> </w:t>
      </w:r>
      <w:hyperlink w:anchor="tbl-stat-plan">
        <w:r>
          <w:rPr>
            <w:rStyle w:val="Hipervnculo"/>
          </w:rPr>
          <w:t xml:space="preserve">Table 4.6</w:t>
        </w:r>
      </w:hyperlink>
      <w:r>
        <w:t xml:space="preserve"> </w:t>
      </w:r>
      <w:r>
        <w:t xml:space="preserve">del Capítulo 3— y no únicamente sobre H1 y H2. El</w:t>
      </w:r>
      <w:r>
        <w:t xml:space="preserve"> </w:t>
      </w:r>
      <w:r>
        <w:t xml:space="preserve">factor de ajuste correspondiente a cada métrica depende, por tanto, de su</w:t>
      </w:r>
      <w:r>
        <w:t xml:space="preserve"> </w:t>
      </w:r>
      <w:r>
        <w:t xml:space="preserve">posición en el orden creciente de los cinco valores</w:t>
      </w:r>
      <w:r>
        <w:t xml:space="preserve"> </w:t>
      </w:r>
      <ns1:oMath>
        <ns1:r>
          <ns1:t>p</ns1:t>
        </ns1:r>
      </ns1:oMath>
      <w:r>
        <w:t xml:space="preserve">: la fidelidad, con el</w:t>
      </w:r>
      <w:r>
        <w:t xml:space="preserve"> </w:t>
      </w:r>
      <ns1:oMath>
        <ns1:r>
          <ns1:t>p</ns1:t>
        </ns1:r>
      </ns1:oMath>
      <w:r>
        <w:t xml:space="preserve"> </w:t>
      </w:r>
      <w:r>
        <w:t xml:space="preserve">crudo menor, recibe el factor</w:t>
      </w:r>
      <w:r>
        <w:t xml:space="preserve"> </w:t>
      </w:r>
      <ns1:oMath>
        <ns1:r>
          <ns1:t>m</ns1:t>
        </ns1:r>
        <ns1:r>
          <ns1:rPr>
            <ns1:sty ns1:val="p"/>
          </ns1:rPr>
          <ns1:t>=</ns1:t>
        </ns1:r>
        <ns1:r>
          <ns1:t>4</ns1:t>
        </ns1:r>
      </ns1:oMath>
      <w:r>
        <w:t xml:space="preserve"> </w:t>
      </w:r>
      <w:r>
        <w:t xml:space="preserve">(</w:t>
      </w:r>
      <ns1:oMath>
        <ns1:r>
          <ns1:t>3.78</ns1:t>
        </ns1:r>
        <ns1:r>
          <ns1:rPr>
            <ns1:sty ns1:val="p"/>
          </ns1:rPr>
          <ns1:t>×</ns1:t>
        </ns1:r>
        <ns1:sSup>
          <ns1:e>
            <ns1:r>
              <ns1:t>10</ns1:t>
            </ns1:r>
          </ns1:e>
          <ns1:sup>
            <ns1:r>
              <ns1:rPr>
                <ns1:sty ns1:val="p"/>
              </ns1:rPr>
              <ns1:t>−</ns1:t>
            </ns1:r>
            <ns1:r>
              <ns1:t>9</ns1:t>
            </ns1:r>
          </ns1:sup>
        </ns1:sSup>
        <ns1:r>
          <ns1:rPr>
            <ns1:sty ns1:val="p"/>
          </ns1:rPr>
          <ns1:t>×</ns1:t>
        </ns1:r>
        <ns1:r>
          <ns1:t>4</ns1:t>
        </ns1:r>
        <ns1:r>
          <ns1:rPr>
            <ns1:sty ns1:val="p"/>
          </ns1:rPr>
          <ns1:t>=</ns1:t>
        </ns1:r>
        <ns1:r>
          <ns1:t>1.51</ns1:t>
        </ns1:r>
        <ns1:r>
          <ns1:rPr>
            <ns1:sty ns1:val="p"/>
          </ns1:rPr>
          <ns1:t>×</ns1:t>
        </ns1:r>
        <ns1:sSup>
          <ns1:e>
            <ns1:r>
              <ns1:t>10</ns1:t>
            </ns1:r>
          </ns1:e>
          <ns1:sup>
            <ns1:r>
              <ns1:rPr>
                <ns1:sty ns1:val="p"/>
              </ns1:rPr>
              <ns1:t>−</ns1:t>
            </ns1:r>
            <ns1:r>
              <ns1:t>8</ns1:t>
            </ns1:r>
          </ns1:sup>
        </ns1:sSup>
      </ns1:oMath>
      <w:r>
        <w:t xml:space="preserve">) y la estabilidad, la siguiente en orden, el factor</w:t>
      </w:r>
      <w:r>
        <w:t xml:space="preserve"> </w:t>
      </w:r>
      <ns1:oMath>
        <ns1:r>
          <ns1:t>m</ns1:t>
        </ns1:r>
        <ns1:r>
          <ns1:rPr>
            <ns1:sty ns1:val="p"/>
          </ns1:rPr>
          <ns1:t>=</ns1:t>
        </ns1:r>
        <ns1:r>
          <ns1:t>3</ns1:t>
        </ns1:r>
      </ns1:oMath>
      <w:r>
        <w:t xml:space="preserve"> </w:t>
      </w:r>
      <w:r>
        <w:t xml:space="preserve">(</w:t>
      </w:r>
      <ns1:oMath>
        <ns1:r>
          <ns1:t>7.65</ns1:t>
        </ns1:r>
        <ns1:r>
          <ns1:rPr>
            <ns1:sty ns1:val="p"/>
          </ns1:rPr>
          <ns1:t>×</ns1:t>
        </ns1:r>
        <ns1:sSup>
          <ns1:e>
            <ns1:r>
              <ns1:t>10</ns1:t>
            </ns1:r>
          </ns1:e>
          <ns1:sup>
            <ns1:r>
              <ns1:rPr>
                <ns1:sty ns1:val="p"/>
              </ns1:rPr>
              <ns1:t>−</ns1:t>
            </ns1:r>
            <ns1:r>
              <ns1:t>9</ns1:t>
            </ns1:r>
          </ns1:sup>
        </ns1:sSup>
        <ns1:r>
          <ns1:rPr>
            <ns1:sty ns1:val="p"/>
          </ns1:rPr>
          <ns1:t>×</ns1:t>
        </ns1:r>
        <ns1:r>
          <ns1:t>3</ns1:t>
        </ns1:r>
        <ns1:r>
          <ns1:rPr>
            <ns1:sty ns1:val="p"/>
          </ns1:rPr>
          <ns1:t>=</ns1:t>
        </ns1:r>
        <ns1:r>
          <ns1:t>2.29</ns1:t>
        </ns1:r>
        <ns1:r>
          <ns1:rPr>
            <ns1:sty ns1:val="p"/>
          </ns1:rPr>
          <ns1:t>×</ns1:t>
        </ns1:r>
        <ns1:sSup>
          <ns1:e>
            <ns1:r>
              <ns1:t>10</ns1:t>
            </ns1:r>
          </ns1:e>
          <ns1:sup>
            <ns1:r>
              <ns1:rPr>
                <ns1:sty ns1:val="p"/>
              </ns1:rPr>
              <ns1:t>−</ns1:t>
            </ns1:r>
            <ns1:r>
              <ns1:t>8</ns1:t>
            </ns1:r>
          </ns1:sup>
        </ns1:sSup>
      </ns1:oMath>
      <w:r>
        <w:t xml:space="preserve">). Ambas hipótesis permanecen</w:t>
      </w:r>
      <w:r>
        <w:t xml:space="preserve"> </w:t>
      </w:r>
      <w:r>
        <w:t xml:space="preserve">significativas tras la corrección con varios órdenes de magnitud de margen.</w:t>
      </w:r>
    </w:p>
    <w:bookmarkEnd w:id="465"/>
    <w:bookmarkStart w:id="467" w:name="Xf81def15ac0599a341fc59b4e423bbf643d253b"/>
    <w:p>
      <w:pPr>
        <w:pStyle w:val="Ttulo3"/>
        <w:spacing w:line="360" w:lineRule="auto"/>
        <w:jc w:val="both"/>
      </w:pPr>
      <w:r>
        <w:t xml:space="preserve">D.2 Comparaciones post-hoc de Nemenyi (fidelidad y estabilidad)</w:t>
      </w:r>
    </w:p>
    <w:p>
      <w:pPr>
        <w:pStyle w:val="FirstParagraph"/>
        <w:spacing w:line="360" w:lineRule="auto"/>
        <w:jc w:val="both"/>
      </w:pPr>
      <w:r>
        <w:t xml:space="preserve">La diferencia crítica para</w:t>
      </w:r>
      <w:r>
        <w:t xml:space="preserve"> </w:t>
      </w:r>
      <ns1:oMath>
        <ns1:r>
          <ns1:t>k</ns1:t>
        </ns1:r>
        <ns1:r>
          <ns1:rPr>
            <ns1:sty ns1:val="p"/>
          </ns1:rPr>
          <ns1:t>=</ns1:t>
        </ns1:r>
        <ns1:r>
          <ns1:t>4</ns1:t>
        </ns1:r>
      </ns1:oMath>
      <w:r>
        <w:t xml:space="preserve">,</w:t>
      </w:r>
      <w:r>
        <w:t xml:space="preserve"> </w:t>
      </w:r>
      <ns1:oMath>
        <ns1:r>
          <ns1:t>n</ns1:t>
        </ns1:r>
        <ns1:r>
          <ns1:rPr>
            <ns1:sty ns1:val="p"/>
          </ns1:rPr>
          <ns1:t>=</ns1:t>
        </ns1:r>
        <ns1:r>
          <ns1:t>15</ns1:t>
        </ns1:r>
      </ns1:oMath>
      <w:r>
        <w:t xml:space="preserve">,</w:t>
      </w:r>
      <w:r>
        <w:t xml:space="preserve"> </w:t>
      </w:r>
      <ns1:oMath>
        <ns1:r>
          <ns1:t>α</ns1:t>
        </ns1:r>
        <ns1:r>
          <ns1:rPr>
            <ns1:sty ns1:val="p"/>
          </ns1:rPr>
          <ns1:t>=</ns1:t>
        </ns1:r>
        <ns1:r>
          <ns1:t>0.05</ns1:t>
        </ns1:r>
      </ns1:oMath>
      <w:r>
        <w:t xml:space="preserve"> </w:t>
      </w:r>
      <w:r>
        <w:t xml:space="preserve">es</w:t>
      </w:r>
      <w:r>
        <w:t xml:space="preserve"> </w:t>
      </w:r>
      <ns1:oMath>
        <ns1:r>
          <ns1:t>C</ns1:t>
        </ns1:r>
        <ns1:r>
          <ns1:t>D</ns1:t>
        </ns1:r>
        <ns1:r>
          <ns1:rPr>
            <ns1:sty ns1:val="p"/>
          </ns1:rPr>
          <ns1:t>=</ns1:t>
        </ns1:r>
        <ns1:r>
          <ns1:t>1.211</ns1:t>
        </ns1:r>
      </ns1:oMath>
      <w:r>
        <w:t xml:space="preserve"> </w:t>
      </w:r>
      <w:r>
        <w:t xml:space="preserve">en ambas métricas.</w:t>
      </w:r>
    </w:p>
    <w:tbl>
      <w:tblPr>
        <w:tblStyle w:val="Table"/>
        <w:tblW w:type="pct" w:w="5000"/>
        <w:tblLayout w:type="fixed"/>
        <w:tblLook w:firstRow="0" w:lastRow="0" w:firstColumn="0" w:lastColumn="0" w:noHBand="0" w:noVBand="0" w:val="0000"/>
      </w:tblPr>
      <w:tblGrid>
        <w:gridCol w:w="7920"/>
      </w:tblGrid>
      <w:tr>
        <w:tc>
          <w:tcPr/>
          <w:bookmarkStart w:id="466" w:name="tbl-appendix-nemenyi-full"/>
          <w:p>
            <w:pPr>
              <w:jc w:val="both"/>
              <w:spacing w:line="360" w:lineRule="auto"/>
            </w:pPr>
            <w:pPr>
              <w:jc w:val="left"/>
              <w:spacing w:before="200"/>
              <w:pStyle w:val="ImageCaption"/>
            </w:pPr>
            <w:r>
              <w:t xml:space="preserve">Table 7.14: Comparaciones post-hoc de Nemenyi con diferencias en rangos medios para fidelidad y estabilidad. La diferencia crítica</w:t>
            </w:r>
            <w:r>
              <w:t xml:space="preserve"> </w:t>
            </w:r>
            <ns1:oMath>
              <ns1:r>
                <ns1:t>C</ns1:t>
              </ns1:r>
              <ns1:r>
                <ns1:t>D</ns1:t>
              </ns1:r>
              <ns1:r>
                <ns1:rPr>
                  <ns1:sty ns1:val="p"/>
                </ns1:rPr>
                <ns1:t>=</ns1:t>
              </ns1:r>
              <ns1:r>
                <ns1:t>1.211</ns1:t>
              </ns1:r>
            </ns1:oMath>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Par de métodos</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(fidelidad)</w:t>
                  </w:r>
                </w:p>
              </w:tc>
              <w:tc>
                <w:tcPr/>
                <w:p>
                  <w:pPr>
                    <w:pStyle w:val="Compact"/>
                    <w:jc w:val="both"/>
                    <w:jc w:val="center"/>
                    <w:spacing w:line="360" w:lineRule="auto"/>
                  </w:pPr>
                  <w:r>
                    <w:t xml:space="preserve">Signif. (fidelidad)</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(estabilidad)</w:t>
                  </w:r>
                </w:p>
              </w:tc>
              <w:tc>
                <w:tcPr/>
                <w:p>
                  <w:pPr>
                    <w:pStyle w:val="Compact"/>
                    <w:jc w:val="both"/>
                    <w:jc w:val="center"/>
                    <w:spacing w:line="360" w:lineRule="auto"/>
                  </w:pPr>
                  <w:r>
                    <w:t xml:space="preserve">Signif. (estabilidad)</w:t>
                  </w:r>
                </w:p>
              </w:tc>
            </w:tr>
            <w:tr>
              <w:tc>
                <w:tcPr/>
                <w:p>
                  <w:pPr>
                    <w:pStyle w:val="Compact"/>
                    <w:jc w:val="both"/>
                    <w:jc w:val="center"/>
                    <w:spacing w:line="360" w:lineRule="auto"/>
                  </w:pPr>
                  <w:r>
                    <w:t xml:space="preserve">SHAP vs. LIME</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SHAP vs. Anchors</w:t>
                  </w:r>
                </w:p>
              </w:tc>
              <w:tc>
                <w:tcPr/>
                <w:p>
                  <w:pPr>
                    <w:pStyle w:val="Compact"/>
                    <w:jc w:val="both"/>
                    <w:jc w:val="center"/>
                    <w:spacing w:line="360" w:lineRule="auto"/>
                  </w:pPr>
                  <w:r>
                    <w:t xml:space="preserve">2.200</w:t>
                  </w:r>
                </w:p>
              </w:tc>
              <w:tc>
                <w:tcPr/>
                <w:p>
                  <w:pPr>
                    <w:pStyle w:val="Compact"/>
                    <w:jc w:val="both"/>
                    <w:jc w:val="center"/>
                    <w:spacing w:line="360" w:lineRule="auto"/>
                  </w:pPr>
                  <w:r>
                    <w:rPr>
                      <w:b/>
                      <w:bCs/>
                    </w:rPr>
                    <w:t xml:space="preserve">Sí</w:t>
                  </w:r>
                  <w:r>
                    <w:t xml:space="preserve"> </w:t>
                  </w:r>
                  <w:r>
                    <w:t xml:space="preserve">(</w:t>
                  </w:r>
                  <ns1:oMath>
                    <ns1:r>
                      <ns1:rPr>
                        <ns1:sty ns1:val="p"/>
                      </ns1:rPr>
                      <ns1:t>&gt;</ns1:t>
                    </ns1:r>
                    <ns1:r>
                      <ns1:t>1.211</ns1:t>
                    </ns1:r>
                  </ns1:oMath>
                  <w:r>
                    <w:t xml:space="preserve">)</w:t>
                  </w:r>
                </w:p>
              </w:tc>
              <w:tc>
                <w:tcPr/>
                <w:p>
                  <w:pPr>
                    <w:pStyle w:val="Compact"/>
                    <w:jc w:val="both"/>
                    <w:jc w:val="center"/>
                    <w:spacing w:line="360" w:lineRule="auto"/>
                  </w:pPr>
                  <w:r>
                    <w:t xml:space="preserve">2.600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SHAP vs. DiCE</w:t>
                  </w:r>
                </w:p>
              </w:tc>
              <w:tc>
                <w:tcPr/>
                <w:p>
                  <w:pPr>
                    <w:pStyle w:val="Compact"/>
                    <w:jc w:val="both"/>
                    <w:jc w:val="center"/>
                    <w:spacing w:line="360" w:lineRule="auto"/>
                  </w:pPr>
                  <w:r>
                    <w:t xml:space="preserve">2.800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r>
            <w:tr>
              <w:tc>
                <w:tcPr/>
                <w:p>
                  <w:pPr>
                    <w:pStyle w:val="Compact"/>
                    <w:jc w:val="both"/>
                    <w:jc w:val="center"/>
                    <w:spacing w:line="360" w:lineRule="auto"/>
                  </w:pPr>
                  <w:r>
                    <w:t xml:space="preserve">LIME vs. Anchors</w:t>
                  </w:r>
                </w:p>
              </w:tc>
              <w:tc>
                <w:tcPr/>
                <w:p>
                  <w:pPr>
                    <w:pStyle w:val="Compact"/>
                    <w:jc w:val="both"/>
                    <w:jc w:val="center"/>
                    <w:spacing w:line="360" w:lineRule="auto"/>
                  </w:pPr>
                  <w:r>
                    <w:t xml:space="preserve">1.200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LIME vs. DiCE</w:t>
                  </w:r>
                </w:p>
              </w:tc>
              <w:tc>
                <w:tcPr/>
                <w:p>
                  <w:pPr>
                    <w:pStyle w:val="Compact"/>
                    <w:jc w:val="both"/>
                    <w:jc w:val="center"/>
                    <w:spacing w:line="360" w:lineRule="auto"/>
                  </w:pPr>
                  <w:r>
                    <w:t xml:space="preserve">1.800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Anchors vs. DiCE</w:t>
                  </w:r>
                </w:p>
              </w:tc>
              <w:tc>
                <w:tcPr/>
                <w:p>
                  <w:pPr>
                    <w:pStyle w:val="Compact"/>
                    <w:jc w:val="both"/>
                    <w:jc w:val="center"/>
                    <w:spacing w:line="360" w:lineRule="auto"/>
                  </w:pPr>
                  <w:r>
                    <w:t xml:space="preserve">0.600</w:t>
                  </w:r>
                </w:p>
              </w:tc>
              <w:tc>
                <w:tcPr/>
                <w:p>
                  <w:pPr>
                    <w:pStyle w:val="Compact"/>
                    <w:jc w:val="both"/>
                    <w:jc w:val="center"/>
                    <w:spacing w:line="360" w:lineRule="auto"/>
                  </w:pPr>
                  <w:r>
                    <w:t xml:space="preserve">No</w:t>
                  </w:r>
                </w:p>
              </w:tc>
              <w:tc>
                <w:tcPr/>
                <w:p>
                  <w:pPr>
                    <w:pStyle w:val="Compact"/>
                    <w:jc w:val="both"/>
                    <w:jc w:val="center"/>
                    <w:spacing w:line="360" w:lineRule="auto"/>
                  </w:pPr>
                  <w:r>
                    <w:t xml:space="preserve">0.200</w:t>
                  </w:r>
                </w:p>
              </w:tc>
              <w:tc>
                <w:tcPr/>
                <w:p>
                  <w:pPr>
                    <w:pStyle w:val="Compact"/>
                    <w:jc w:val="both"/>
                    <w:jc w:val="center"/>
                    <w:spacing w:line="360" w:lineRule="auto"/>
                  </w:pPr>
                  <w:r>
                    <w:t xml:space="preserve">No</w:t>
                  </w:r>
                </w:p>
              </w:tc>
            </w:tr>
            <w:tr>
              <w:tc>
                <w:tcPr/>
                <w:p>
                  <w:pPr>
                    <w:pStyle w:val="Compact"/>
                    <w:jc w:val="both"/>
                    <w:jc w:val="center"/>
                    <w:spacing w:line="360" w:lineRule="auto"/>
                  </w:pPr>
                  <w:r>
                    <w:t xml:space="preserve">SHAP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2.400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Anchors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1.600</w:t>
                  </w:r>
                </w:p>
              </w:tc>
              <w:tc>
                <w:tcPr/>
                <w:p>
                  <w:pPr>
                    <w:pStyle w:val="Compact"/>
                    <w:jc w:val="both"/>
                    <w:jc w:val="center"/>
                    <w:spacing w:line="360" w:lineRule="auto"/>
                  </w:pPr>
                  <w:r>
                    <w:rPr>
                      <w:b/>
                      <w:bCs/>
                    </w:rPr>
                    <w:t xml:space="preserve">Sí</w:t>
                  </w:r>
                </w:p>
              </w:tc>
            </w:tr>
          </w:tbl>
          <w:bookmarkEnd w:id="466"/>
          <w:p>
            <w:pPr>
              <w:spacing w:line="360" w:lineRule="auto"/>
              <w:jc w:val="both"/>
            </w:pPr>
          </w:p>
        </w:tc>
      </w:tr>
    </w:tbl>
    <w:bookmarkEnd w:id="467"/>
    <w:bookmarkStart w:id="469" w:name="Xf2da686c9e12c39a6d10c106f98f0eb5f2d8684"/>
    <w:p>
      <w:pPr>
        <w:pStyle w:val="Ttulo3"/>
        <w:spacing w:line="360" w:lineRule="auto"/>
        <w:jc w:val="both"/>
      </w:pPr>
      <w:r>
        <w:t xml:space="preserve">D.3 Resultados completos del análisis pareado Wilcoxon (H3)</w:t>
      </w:r>
    </w:p>
    <w:p>
      <w:pPr>
        <w:pStyle w:val="FirstParagraph"/>
        <w:spacing w:line="360" w:lineRule="auto"/>
        <w:jc w:val="both"/>
      </w:pPr>
      <w:r>
        <w:t xml:space="preserve">Análisis sobre</w:t>
      </w:r>
      <w:r>
        <w:t xml:space="preserve"> </w:t>
      </w:r>
      <ns1:oMath>
        <ns1:r>
          <ns1:t>n</ns1:t>
        </ns1:r>
        <ns1:r>
          <ns1:rPr>
            <ns1:sty ns1:val="p"/>
          </ns1:rPr>
          <ns1:t>=</ns1:t>
        </ns1:r>
        <ns1:r>
          <ns1:t>75</ns1:t>
        </ns1:r>
      </ns1:oMath>
      <w:r>
        <w:t xml:space="preserve"> </w:t>
      </w:r>
      <w:r>
        <w:t xml:space="preserve">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con corrección</w:t>
      </w:r>
      <w:r>
        <w:t xml:space="preserve"> </w:t>
      </w:r>
      <w:r>
        <w:t xml:space="preserve">Holm-Bonferroni sobre las cinco comparaciones simultáneas.</w:t>
      </w:r>
    </w:p>
    <w:tbl>
      <w:tblPr>
        <w:tblStyle w:val="Table"/>
        <w:tblW w:type="pct" w:w="5000"/>
        <w:tblLayout w:type="fixed"/>
        <w:tblLook w:firstRow="0" w:lastRow="0" w:firstColumn="0" w:lastColumn="0" w:noHBand="0" w:noVBand="0" w:val="0000"/>
      </w:tblPr>
      <w:tblGrid>
        <w:gridCol w:w="7920"/>
      </w:tblGrid>
      <w:tr>
        <w:tc>
          <w:tcPr/>
          <w:bookmarkStart w:id="468" w:name="tbl-appendix-wilcoxon-full"/>
          <w:p>
            <w:pPr>
              <w:jc w:val="both"/>
              <w:spacing w:line="360" w:lineRule="auto"/>
            </w:pPr>
            <w:pPr>
              <w:jc w:val="left"/>
              <w:spacing w:before="200"/>
              <w:pStyle w:val="ImageCaption"/>
            </w:pPr>
            <w:r>
              <w:t xml:space="preserve">Table 7.15: Resultados completos del análisis pareado Wilcoxon SHAP-LIME con corrección Holm-Bonferroni (</w:t>
            </w:r>
            <ns1:oMath>
              <ns1:r>
                <ns1:t>n</ns1:t>
              </ns1:r>
              <ns1:r>
                <ns1:rPr>
                  <ns1:sty ns1:val="p"/>
                </ns1:rPr>
                <ns1:t>=</ns1:t>
              </ns1:r>
              <ns1:r>
                <ns1:t>75</ns1:t>
              </ns1:r>
            </ns1:oMath>
            <w:r>
              <w:t xml:space="preserve">).</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acc>
                      <ns1:accPr>
                        <ns1:chr ns1:val="‾"/>
                      </ns1:accPr>
                      <ns1:e>
                        <ns1:r>
                          <ns1:t>d</ns1:t>
                        </ns1:r>
                      </ns1:e>
                    </ns1:acc>
                  </ns1:oMath>
                  <w:r>
                    <w:t xml:space="preserve"> </w:t>
                  </w:r>
                  <w:r>
                    <w:t xml:space="preserve">(SHAP</w:t>
                  </w:r>
                  <ns1:oMath>
                    <ns1:r>
                      <ns1:rPr>
                        <ns1:sty ns1:val="p"/>
                      </ns1:rPr>
                      <ns1:t>−</ns1:t>
                    </ns1:r>
                  </ns1:oMath>
                  <w:r>
                    <w:t xml:space="preserve">LIME)</w:t>
                  </w:r>
                </w:p>
              </w:tc>
              <w:tc>
                <w:tcPr/>
                <w:p>
                  <w:pPr>
                    <w:pStyle w:val="Compact"/>
                    <w:jc w:val="both"/>
                    <w:jc w:val="center"/>
                    <w:spacing w:line="360" w:lineRule="auto"/>
                  </w:pPr>
                  <ns1:oMath>
                    <ns1:sSub>
                      <ns1:e>
                        <ns1:r>
                          <ns1:t>s</ns1:t>
                        </ns1:r>
                      </ns1:e>
                      <ns1:sub>
                        <ns1:r>
                          <ns1:t>d</ns1:t>
                        </ns1:r>
                      </ns1:sub>
                    </ns1:sSub>
                  </ns1:oMath>
                </w:p>
              </w:tc>
              <w:tc>
                <w:tcPr/>
                <w:p>
                  <w:pPr>
                    <w:pStyle w:val="Compact"/>
                    <w:jc w:val="both"/>
                    <w:jc w:val="center"/>
                    <w:spacing w:line="360" w:lineRule="auto"/>
                  </w:pPr>
                  <ns1:oMath>
                    <ns1:sSub>
                      <ns1:e>
                        <ns1:r>
                          <ns1:t>d</ns1:t>
                        </ns1:r>
                      </ns1:e>
                      <ns1:sub>
                        <ns1:r>
                          <ns1:t>z</ns1:t>
                        </ns1:r>
                      </ns1:sub>
                    </ns1:sSub>
                  </ns1:oMath>
                </w:p>
              </w:tc>
              <w:tc>
                <w:tcPr/>
                <w:p>
                  <w:pPr>
                    <w:pStyle w:val="Compact"/>
                    <w:jc w:val="both"/>
                    <w:jc w:val="center"/>
                    <w:spacing w:line="360" w:lineRule="auto"/>
                  </w:pPr>
                  <ns1:oMath>
                    <ns1:r>
                      <ns1:t>W</ns1:t>
                    </ns1:r>
                  </ns1:oMath>
                </w:p>
              </w:tc>
              <w:tc>
                <w:tcPr/>
                <w:p>
                  <w:pPr>
                    <w:pStyle w:val="Compact"/>
                    <w:jc w:val="both"/>
                    <w:jc w:val="center"/>
                    <w:spacing w:line="360" w:lineRule="auto"/>
                  </w:pPr>
                  <ns1:oMath>
                    <ns1:r>
                      <ns1:t>p</ns1:t>
                    </ns1:r>
                  </ns1:oMath>
                  <w:r>
                    <w:t xml:space="preserve"> </w:t>
                  </w:r>
                  <w:r>
                    <w:t xml:space="preserve">(bilateral)</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rPr>
                        <ns1:sty ns1:val="p"/>
                      </ns1:rPr>
                      <ns1:t>+</ns1:t>
                    </ns1:r>
                    <ns1:r>
                      <ns1:t>0.2479</ns1:t>
                    </ns1:r>
                  </ns1:oMath>
                </w:p>
              </w:tc>
              <w:tc>
                <w:tcPr/>
                <w:p>
                  <w:pPr>
                    <w:pStyle w:val="Compact"/>
                    <w:jc w:val="both"/>
                    <w:jc w:val="center"/>
                    <w:spacing w:line="360" w:lineRule="auto"/>
                  </w:pPr>
                  <ns1:oMath>
                    <ns1:r>
                      <ns1:t>0.0514</ns1:t>
                    </ns1:r>
                  </ns1:oMath>
                </w:p>
              </w:tc>
              <w:tc>
                <w:tcPr/>
                <w:p>
                  <w:pPr>
                    <w:pStyle w:val="Compact"/>
                    <w:jc w:val="both"/>
                    <w:jc w:val="center"/>
                    <w:spacing w:line="360" w:lineRule="auto"/>
                  </w:pPr>
                  <ns1:oMath>
                    <ns1:r>
                      <ns1:rPr>
                        <ns1:sty ns1:val="p"/>
                      </ns1:rPr>
                      <ns1:t>+</ns1:t>
                    </ns1:r>
                    <ns1:r>
                      <ns1:t>4.820</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rPr>
                        <ns1:sty ns1:val="p"/>
                      </ns1:rPr>
                      <ns1:t>+</ns1:t>
                    </ns1:r>
                    <ns1:r>
                      <ns1:t>0.7176</ns1:t>
                    </ns1:r>
                  </ns1:oMath>
                </w:p>
              </w:tc>
              <w:tc>
                <w:tcPr/>
                <w:p>
                  <w:pPr>
                    <w:pStyle w:val="Compact"/>
                    <w:jc w:val="both"/>
                    <w:jc w:val="center"/>
                    <w:spacing w:line="360" w:lineRule="auto"/>
                  </w:pPr>
                  <ns1:oMath>
                    <ns1:r>
                      <ns1:t>0.2390</ns1:t>
                    </ns1:r>
                  </ns1:oMath>
                </w:p>
              </w:tc>
              <w:tc>
                <w:tcPr/>
                <w:p>
                  <w:pPr>
                    <w:pStyle w:val="Compact"/>
                    <w:jc w:val="both"/>
                    <w:jc w:val="center"/>
                    <w:spacing w:line="360" w:lineRule="auto"/>
                  </w:pPr>
                  <ns1:oMath>
                    <ns1:r>
                      <ns1:rPr>
                        <ns1:sty ns1:val="p"/>
                      </ns1:rPr>
                      <ns1:t>+</ns1:t>
                    </ns1:r>
                    <ns1:r>
                      <ns1:t>3.002</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rPr>
                        <ns1:sty ns1:val="p"/>
                      </ns1:rPr>
                      <ns1:t>+</ns1:t>
                    </ns1:r>
                    <ns1:r>
                      <ns1:t>0.1418</ns1:t>
                    </ns1:r>
                  </ns1:oMath>
                </w:p>
              </w:tc>
              <w:tc>
                <w:tcPr/>
                <w:p>
                  <w:pPr>
                    <w:pStyle w:val="Compact"/>
                    <w:jc w:val="both"/>
                    <w:jc w:val="center"/>
                    <w:spacing w:line="360" w:lineRule="auto"/>
                  </w:pPr>
                  <ns1:oMath>
                    <ns1:r>
                      <ns1:t>0.1690</ns1:t>
                    </ns1:r>
                  </ns1:oMath>
                </w:p>
              </w:tc>
              <w:tc>
                <w:tcPr/>
                <w:p>
                  <w:pPr>
                    <w:pStyle w:val="Compact"/>
                    <w:jc w:val="both"/>
                    <w:jc w:val="center"/>
                    <w:spacing w:line="360" w:lineRule="auto"/>
                  </w:pPr>
                  <ns1:oMath>
                    <ns1:r>
                      <ns1:rPr>
                        <ns1:sty ns1:val="p"/>
                      </ns1:rPr>
                      <ns1:t>+</ns1:t>
                    </ns1:r>
                    <ns1:r>
                      <ns1:t>0.839</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Brecha fidelidad</w:t>
                  </w:r>
                </w:p>
              </w:tc>
              <w:tc>
                <w:tcPr/>
                <w:p>
                  <w:pPr>
                    <w:pStyle w:val="Compact"/>
                    <w:jc w:val="both"/>
                    <w:jc w:val="center"/>
                    <w:spacing w:line="360" w:lineRule="auto"/>
                  </w:pPr>
                  <ns1:oMath>
                    <ns1:r>
                      <ns1:rPr>
                        <ns1:sty ns1:val="p"/>
                      </ns1:rPr>
                      <ns1:t>+</ns1:t>
                    </ns1:r>
                    <ns1:r>
                      <ns1:t>0.0453</ns1:t>
                    </ns1:r>
                  </ns1:oMath>
                </w:p>
              </w:tc>
              <w:tc>
                <w:tcPr/>
                <w:p>
                  <w:pPr>
                    <w:pStyle w:val="Compact"/>
                    <w:jc w:val="both"/>
                    <w:jc w:val="center"/>
                    <w:spacing w:line="360" w:lineRule="auto"/>
                  </w:pPr>
                  <ns1:oMath>
                    <ns1:r>
                      <ns1:t>0.0173</ns1:t>
                    </ns1:r>
                  </ns1:oMath>
                </w:p>
              </w:tc>
              <w:tc>
                <w:tcPr/>
                <w:p>
                  <w:pPr>
                    <w:pStyle w:val="Compact"/>
                    <w:jc w:val="both"/>
                    <w:jc w:val="center"/>
                    <w:spacing w:line="360" w:lineRule="auto"/>
                  </w:pPr>
                  <ns1:oMath>
                    <ns1:r>
                      <ns1:rPr>
                        <ns1:sty ns1:val="p"/>
                      </ns1:rPr>
                      <ns1:t>+</ns1:t>
                    </ns1:r>
                    <ns1:r>
                      <ns1:t>2.626</ns1:t>
                    </ns1:r>
                  </ns1:oMath>
                </w:p>
              </w:tc>
              <w:tc>
                <w:tcPr/>
                <w:p>
                  <w:pPr>
                    <w:pStyle w:val="Compact"/>
                    <w:jc w:val="both"/>
                    <w:jc w:val="center"/>
                    <w:spacing w:line="360" w:lineRule="auto"/>
                  </w:pPr>
                  <w:r>
                    <w:t xml:space="preserve">1</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74</w:t>
                  </w:r>
                </w:p>
              </w:tc>
              <w:tc>
                <w:tcPr/>
                <w:p>
                  <w:pPr>
                    <w:pStyle w:val="Compact"/>
                    <w:jc w:val="both"/>
                    <w:jc w:val="center"/>
                    <w:spacing w:line="360" w:lineRule="auto"/>
                  </w:pPr>
                  <w:r>
                    <w:t xml:space="preserve">1</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Coste (ms)</w:t>
                  </w:r>
                </w:p>
              </w:tc>
              <w:tc>
                <w:tcPr/>
                <w:p>
                  <w:pPr>
                    <w:pStyle w:val="Compact"/>
                    <w:jc w:val="both"/>
                    <w:jc w:val="center"/>
                    <w:spacing w:line="360" w:lineRule="auto"/>
                  </w:pPr>
                  <ns1:oMath>
                    <ns1:r>
                      <ns1:rPr>
                        <ns1:sty ns1:val="p"/>
                      </ns1:rPr>
                      <ns1:t>+</ns1:t>
                    </ns1:r>
                    <ns1:r>
                      <ns1:t>8</ns1:t>
                    </ns1:r>
                    <ns1:r>
                      <ns1:rPr>
                        <ns1:sty ns1:val="p"/>
                      </ns1:rPr>
                      <ns1:t>,</ns1:t>
                    </ns1:r>
                    <ns1:r>
                      <ns1:t>047.6</ns1:t>
                    </ns1:r>
                  </ns1:oMath>
                </w:p>
              </w:tc>
              <w:tc>
                <w:tcPr/>
                <w:p>
                  <w:pPr>
                    <w:pStyle w:val="Compact"/>
                    <w:jc w:val="both"/>
                    <w:jc w:val="center"/>
                    <w:spacing w:line="360" w:lineRule="auto"/>
                  </w:pPr>
                  <ns1:oMath>
                    <ns1:r>
                      <ns1:t>17</ns1:t>
                    </ns1:r>
                    <ns1:r>
                      <ns1:rPr>
                        <ns1:sty ns1:val="p"/>
                      </ns1:rPr>
                      <ns1:t>,</ns1:t>
                    </ns1:r>
                    <ns1:r>
                      <ns1:t>856.6</ns1:t>
                    </ns1:r>
                  </ns1:oMath>
                </w:p>
              </w:tc>
              <w:tc>
                <w:tcPr/>
                <w:p>
                  <w:pPr>
                    <w:pStyle w:val="Compact"/>
                    <w:jc w:val="both"/>
                    <w:jc w:val="center"/>
                    <w:spacing w:line="360" w:lineRule="auto"/>
                  </w:pPr>
                  <ns1:oMath>
                    <ns1:r>
                      <ns1:rPr>
                        <ns1:sty ns1:val="p"/>
                      </ns1:rPr>
                      <ns1:t>+</ns1:t>
                    </ns1:r>
                    <ns1:r>
                      <ns1:t>0.451</ns1:t>
                    </ns1:r>
                  </ns1:oMath>
                </w:p>
              </w:tc>
              <w:tc>
                <w:tcPr/>
                <w:p>
                  <w:pPr>
                    <w:pStyle w:val="Compact"/>
                    <w:jc w:val="both"/>
                    <w:jc w:val="center"/>
                    <w:spacing w:line="360" w:lineRule="auto"/>
                  </w:pPr>
                  <w:r>
                    <w:t xml:space="preserve">205</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w:r>
                    <w:t xml:space="preserve">59</w:t>
                  </w:r>
                </w:p>
              </w:tc>
              <w:tc>
                <w:tcPr/>
                <w:p>
                  <w:pPr>
                    <w:pStyle w:val="Compact"/>
                    <w:jc w:val="both"/>
                    <w:jc w:val="center"/>
                    <w:spacing w:line="360" w:lineRule="auto"/>
                  </w:pPr>
                  <w:r>
                    <w:t xml:space="preserve">16</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bl>
          <w:bookmarkEnd w:id="468"/>
          <w:p>
            <w:pPr>
              <w:spacing w:line="360" w:lineRule="auto"/>
              <w:jc w:val="both"/>
            </w:pPr>
          </w:p>
        </w:tc>
      </w:tr>
    </w:tbl>
    <w:p>
      <w:pPr>
        <w:pStyle w:val="Textoindependiente"/>
        <w:spacing w:line="360" w:lineRule="auto"/>
        <w:jc w:val="both"/>
      </w:pPr>
      <w:r>
        <w:t xml:space="preserve">La interpretación de</w:t>
      </w:r>
      <w:r>
        <w:t xml:space="preserve"> </w:t>
      </w:r>
      <ns1:oMath>
        <ns1:sSub>
          <ns1:e>
            <ns1:r>
              <ns1:t>d</ns1:t>
            </ns1:r>
          </ns1:e>
          <ns1:sub>
            <ns1:r>
              <ns1:t>z</ns1:t>
            </ns1:r>
          </ns1:sub>
        </ns1:sSub>
      </ns1:oMath>
      <w:r>
        <w:t xml:space="preserve"> </w:t>
      </w:r>
      <w:r>
        <w:t xml:space="preserve">sigue la escala de Cohen:</w:t>
      </w:r>
      <w:r>
        <w:t xml:space="preserve"> </w:t>
      </w:r>
      <ns1:oMath>
        <ns1:sSub>
          <ns1:e>
            <ns1:r>
              <ns1:t>d</ns1:t>
            </ns1:r>
          </ns1:e>
          <ns1:sub>
            <ns1:r>
              <ns1:t>z</ns1:t>
            </ns1:r>
          </ns1:sub>
        </ns1:sSub>
        <ns1:r>
          <ns1:rPr>
            <ns1:sty ns1:val="p"/>
          </ns1:rPr>
          <ns1:t>&gt;</ns1:t>
        </ns1:r>
        <ns1:r>
          <ns1:t>0.8</ns1:t>
        </ns1:r>
      </ns1:oMath>
      <w:r>
        <w:t xml:space="preserve"> </w:t>
      </w:r>
      <w:r>
        <w:t xml:space="preserve">= efecto</w:t>
      </w:r>
      <w:r>
        <w:t xml:space="preserve"> </w:t>
      </w:r>
      <w:r>
        <w:t xml:space="preserve">grande;</w:t>
      </w:r>
      <w:r>
        <w:t xml:space="preserve"> </w:t>
      </w:r>
      <ns1:oMath>
        <ns1:sSub>
          <ns1:e>
            <ns1:r>
              <ns1:t>d</ns1:t>
            </ns1:r>
          </ns1:e>
          <ns1:sub>
            <ns1:r>
              <ns1:t>z</ns1:t>
            </ns1:r>
          </ns1:sub>
        </ns1:sSub>
        <ns1:r>
          <ns1:rPr>
            <ns1:sty ns1:val="p"/>
          </ns1:rPr>
          <ns1:t>&gt;</ns1:t>
        </ns1:r>
        <ns1:r>
          <ns1:t>2.0</ns1:t>
        </ns1:r>
      </ns1:oMath>
      <w:r>
        <w:t xml:space="preserve"> </w:t>
      </w:r>
      <w:r>
        <w:t xml:space="preserve">= efecto muy grande. Los umbrales Holm ajustados se</w:t>
      </w:r>
      <w:r>
        <w:t xml:space="preserve"> </w:t>
      </w:r>
      <w:r>
        <w:t xml:space="preserve">aplican en orden decreciente de</w:t>
      </w:r>
      <w:r>
        <w:t xml:space="preserve"> </w:t>
      </w:r>
      <ns1:oMath>
        <ns1:r>
          <ns1:t>p</ns1:t>
        </ns1:r>
      </ns1:oMath>
      <w:r>
        <w:t xml:space="preserve">-valor:</w:t>
      </w:r>
      <w:r>
        <w:t xml:space="preserve"> </w:t>
      </w:r>
      <ns1:oMath>
        <ns1:r>
          <ns1:t>α</ns1:t>
        </ns1:r>
        <ns1:r>
          <ns1:rPr>
            <ns1:sty ns1:val="p"/>
          </ns1:rPr>
          <ns1:t>/</ns1:t>
        </ns1:r>
        <ns1:r>
          <ns1:t>5</ns1:t>
        </ns1:r>
        <ns1:r>
          <ns1:rPr>
            <ns1:sty ns1:val="p"/>
          </ns1:rPr>
          <ns1:t>=</ns1:t>
        </ns1:r>
        <ns1:r>
          <ns1:t>0.010</ns1:t>
        </ns1:r>
      </ns1:oMath>
      <w:r>
        <w:t xml:space="preserve">,</w:t>
      </w:r>
      <w:r>
        <w:t xml:space="preserve"> </w:t>
      </w:r>
      <ns1:oMath>
        <ns1:r>
          <ns1:t>α</ns1:t>
        </ns1:r>
        <ns1:r>
          <ns1:rPr>
            <ns1:sty ns1:val="p"/>
          </ns1:rPr>
          <ns1:t>/</ns1:t>
        </ns1:r>
        <ns1:r>
          <ns1:t>4</ns1:t>
        </ns1:r>
        <ns1:r>
          <ns1:rPr>
            <ns1:sty ns1:val="p"/>
          </ns1:rPr>
          <ns1:t>=</ns1:t>
        </ns1:r>
        <ns1:r>
          <ns1:t>0.0125</ns1:t>
        </ns1:r>
      </ns1:oMath>
      <w:r>
        <w:t xml:space="preserve">,</w:t>
      </w:r>
      <w:r>
        <w:t xml:space="preserve"> </w:t>
      </w:r>
      <ns1:oMath>
        <ns1:r>
          <ns1:t>α</ns1:t>
        </ns1:r>
        <ns1:r>
          <ns1:rPr>
            <ns1:sty ns1:val="p"/>
          </ns1:rPr>
          <ns1:t>/</ns1:t>
        </ns1:r>
        <ns1:r>
          <ns1:t>3</ns1:t>
        </ns1:r>
        <ns1:r>
          <ns1:rPr>
            <ns1:sty ns1:val="p"/>
          </ns1:rPr>
          <ns1:t>=</ns1:t>
        </ns1:r>
        <ns1:r>
          <ns1:t>0.0167</ns1:t>
        </ns1:r>
      </ns1:oMath>
      <w:r>
        <w:t xml:space="preserve">,</w:t>
      </w:r>
      <w:r>
        <w:t xml:space="preserve"> </w:t>
      </w:r>
      <ns1:oMath>
        <ns1:r>
          <ns1:t>α</ns1:t>
        </ns1:r>
        <ns1:r>
          <ns1:rPr>
            <ns1:sty ns1:val="p"/>
          </ns1:rPr>
          <ns1:t>/</ns1:t>
        </ns1:r>
        <ns1:r>
          <ns1:t>2</ns1:t>
        </ns1:r>
        <ns1:r>
          <ns1:rPr>
            <ns1:sty ns1:val="p"/>
          </ns1:rPr>
          <ns1:t>=</ns1:t>
        </ns1:r>
        <ns1:r>
          <ns1:t>0.025</ns1:t>
        </ns1:r>
      </ns1:oMath>
      <w:r>
        <w:t xml:space="preserve">,</w:t>
      </w:r>
      <w:r>
        <w:t xml:space="preserve"> </w:t>
      </w:r>
      <ns1:oMath>
        <ns1:r>
          <ns1:t>α</ns1:t>
        </ns1:r>
        <ns1:r>
          <ns1:rPr>
            <ns1:sty ns1:val="p"/>
          </ns1:rPr>
          <ns1:t>/</ns1:t>
        </ns1:r>
        <ns1:r>
          <ns1:t>1</ns1:t>
        </ns1:r>
        <ns1:r>
          <ns1:rPr>
            <ns1:sty ns1:val="p"/>
          </ns1:rPr>
          <ns1:t>=</ns1:t>
        </ns1:r>
        <ns1:r>
          <ns1:t>0.050</ns1:t>
        </ns1:r>
      </ns1:oMath>
      <w:r>
        <w:t xml:space="preserve">. Todos</w:t>
      </w:r>
      <w:r>
        <w:t xml:space="preserve"> </w:t>
      </w:r>
      <w:r>
        <w:t xml:space="preserve">los p-valores ajustados quedan muy por debajo de sus umbrales correspondientes.</w:t>
      </w:r>
    </w:p>
    <w:p>
      <w:pPr>
        <w:pStyle w:val="Textoindependiente"/>
        <w:spacing w:line="360" w:lineRule="auto"/>
        <w:jc w:val="both"/>
      </w:pPr>
      <w:r>
        <w:t xml:space="preserve">La proposición P1 se evalúa sobre el estrato replicado RF/</w:t>
      </w:r>
      <ns1:oMath>
        <ns1:r>
          <ns1:t>N</ns1:t>
        </ns1:r>
        <ns1:r>
          <ns1:rPr>
            <ns1:sty ns1:val="p"/>
          </ns1:rPr>
          <ns1:t>=</ns1:t>
        </ns1:r>
        <ns1:r>
          <ns1:t>100</ns1:t>
        </ns1:r>
      </ns1:oMath>
      <w:r>
        <w:t xml:space="preserve"> </w:t>
      </w:r>
      <w:r>
        <w:t xml:space="preserve">del nivel de</w:t>
      </w:r>
      <w:r>
        <w:t xml:space="preserve"> </w:t>
      </w:r>
      <w:r>
        <w:t xml:space="preserve">ejecución de EXP2, agregando las cinco semillas: los valores de la</w:t>
      </w:r>
      <w:r>
        <w:t xml:space="preserve"> </w:t>
      </w:r>
      <w:hyperlink w:anchor="tbl-cv-p1">
        <w:r>
          <w:rPr>
            <w:rStyle w:val="Hipervnculo"/>
          </w:rPr>
          <w:t xml:space="preserve">Table 5.6</w:t>
        </w:r>
      </w:hyperlink>
      <w:r>
        <w:t xml:space="preserve"> </w:t>
      </w:r>
      <w:r>
        <w:t xml:space="preserve">se re-derivan de</w:t>
      </w:r>
      <w:r>
        <w:t xml:space="preserve"> </w:t>
      </w:r>
      <w:r>
        <w:rPr>
          <w:rStyle w:val="VerbatimChar"/>
        </w:rPr>
        <w:t xml:space="preserve">outputs/analysis/paper_a_exp2_stats/exp2_run_level_metrics.csv</w:t>
      </w:r>
      <w:r>
        <w:t xml:space="preserve">. El perfilado</w:t>
      </w:r>
      <w:r>
        <w:t xml:space="preserve"> </w:t>
      </w:r>
      <w:r>
        <w:t xml:space="preserve">de dispersión de EXP1, documentado de forma independiente en</w:t>
      </w:r>
      <w:r>
        <w:t xml:space="preserve"> </w:t>
      </w:r>
      <w:r>
        <w:rPr>
          <w:rStyle w:val="VerbatimChar"/>
        </w:rPr>
        <w:t xml:space="preserve">experiments/exp1_adult/reproducibility/reproducibility_report.csv</w:t>
      </w:r>
      <w:r>
        <w:t xml:space="preserve">, cubre una</w:t>
      </w:r>
      <w:r>
        <w:t xml:space="preserve"> </w:t>
      </w:r>
      <w:r>
        <w:t xml:space="preserve">cohorte distinta (nueve ejecuciones por configuración, modelos</w:t>
      </w:r>
      <w:r>
        <w:t xml:space="preserve"> </w:t>
      </w:r>
      <w:r>
        <w:rPr>
          <w:rStyle w:val="VerbatimChar"/>
        </w:rPr>
        <w:t xml:space="preserve">rf</w:t>
      </w:r>
      <w:r>
        <w:t xml:space="preserve">/</w:t>
      </w:r>
      <w:r>
        <w:rPr>
          <w:rStyle w:val="VerbatimChar"/>
        </w:rPr>
        <w:t xml:space="preserve">xgb</w:t>
      </w:r>
      <w:r>
        <w:t xml:space="preserve"> </w:t>
      </w:r>
      <w:r>
        <w:t xml:space="preserve">con</w:t>
      </w:r>
      <w:r>
        <w:t xml:space="preserve"> </w:t>
      </w:r>
      <w:r>
        <w:t xml:space="preserve">SHAP y LIME) y sostiene la puerta 6 del protocolo, pero no es la fuente de las</w:t>
      </w:r>
      <w:r>
        <w:t xml:space="preserve"> </w:t>
      </w:r>
      <w:r>
        <w:t xml:space="preserve">cifras de la</w:t>
      </w:r>
      <w:r>
        <w:t xml:space="preserve"> </w:t>
      </w:r>
      <w:hyperlink w:anchor="tbl-cv-p1">
        <w:r>
          <w:rPr>
            <w:rStyle w:val="Hipervnculo"/>
          </w:rPr>
          <w:t xml:space="preserve">Table 5.6</w:t>
        </w:r>
      </w:hyperlink>
      <w:r>
        <w:t xml:space="preserve">. Los artefactos crudos por ejecución se encuentran bajo</w:t>
      </w:r>
      <w:r>
        <w:t xml:space="preserve"> </w:t>
      </w:r>
      <w:r>
        <w:rPr>
          <w:rStyle w:val="VerbatimChar"/>
        </w:rPr>
        <w:t xml:space="preserve">experiments/exp2_scaled/results/</w:t>
      </w:r>
      <w:r>
        <w:t xml:space="preserve">;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se documenta en</w:t>
      </w:r>
      <w:r>
        <w:t xml:space="preserve"> </w:t>
      </w:r>
      <w:r>
        <w:rPr>
          <w:rStyle w:val="VerbatimChar"/>
        </w:rPr>
        <w:t xml:space="preserve">outputs/batch_results.csv</w:t>
      </w:r>
      <w:r>
        <w:t xml:space="preserve">.</w:t>
      </w:r>
    </w:p>
    <w:bookmarkEnd w:id="469"/>
    <w:bookmarkEnd w:id="470"/>
    <w:bookmarkStart w:id="472" w:name="X04860b57595e5decb99c93517a1220202cc7fb5"/>
    <w:p>
      <w:pPr>
        <w:pStyle w:val="Ttulo2"/>
        <w:spacing w:line="360" w:lineRule="auto"/>
        <w:jc w:val="both"/>
      </w:pPr>
      <w:r>
        <w:t xml:space="preserve">Apéndice E: Entorno computacional y reproducción</w:t>
      </w:r>
    </w:p>
    <w:p>
      <w:pPr>
        <w:pStyle w:val="FirstParagraph"/>
        <w:spacing w:line="360" w:lineRule="auto"/>
        <w:jc w:val="both"/>
      </w:pPr>
      <w:r>
        <w:t xml:space="preserve">La instantánea de trabajo usada para esta versión de tesis corresponde al commit</w:t>
      </w:r>
      <w:r>
        <w:t xml:space="preserve"> </w:t>
      </w:r>
      <w:r>
        <w:rPr>
          <w:rStyle w:val="VerbatimChar"/>
        </w:rPr>
        <w:t xml:space="preserve">553f65d71b077ec181ad36da7bb6e7c9942fe116</w:t>
      </w:r>
      <w:r>
        <w:t xml:space="preserve"> </w:t>
      </w:r>
      <w:r>
        <w:t xml:space="preserve">(2026-07-24), archivado con DOI</w:t>
      </w:r>
      <w:r>
        <w:t xml:space="preserve"> </w:t>
      </w:r>
      <w:r>
        <w:t xml:space="preserve">Zenodo</w:t>
      </w:r>
      <w:r>
        <w:t xml:space="preserve"> </w:t>
      </w:r>
      <w:r>
        <w:rPr>
          <w:rStyle w:val="VerbatimChar"/>
        </w:rPr>
        <w:t xml:space="preserve">10.5281/zenodo.21538180</w:t>
      </w:r>
      <w:r>
        <w:t xml:space="preserve">; el DOI de concepto</w:t>
      </w:r>
      <w:r>
        <w:t xml:space="preserve"> </w:t>
      </w:r>
      <w:r>
        <w:rPr>
          <w:rStyle w:val="VerbatimChar"/>
        </w:rPr>
        <w:t xml:space="preserve">10.5281/zenodo.19297723</w:t>
      </w:r>
      <w:r>
        <w:t xml:space="preserve"> </w:t>
      </w:r>
      <w:r>
        <w:t xml:space="preserve">resuelve a la versión más reciente. La instantánea</w:t>
      </w:r>
      <w:r>
        <w:t xml:space="preserve"> </w:t>
      </w:r>
      <w:r>
        <w:t xml:space="preserve">anterior (</w:t>
      </w:r>
      <w:r>
        <w:rPr>
          <w:rStyle w:val="VerbatimChar"/>
        </w:rPr>
        <w:t xml:space="preserve">33fd952a01a752f6988f46ba79b18694838c3f8f</w:t>
      </w:r>
      <w:r>
        <w:t xml:space="preserve">, DOI</w:t>
      </w:r>
      <w:r>
        <w:t xml:space="preserve"> </w:t>
      </w:r>
      <w:r>
        <w:rPr>
          <w:rStyle w:val="VerbatimChar"/>
        </w:rPr>
        <w:t xml:space="preserve">10.5281/zenodo.19297724</w:t>
      </w:r>
      <w:r>
        <w:t xml:space="preserve">, abril de 2026) se conserva por procedencia pero es</w:t>
      </w:r>
      <w:r>
        <w:t xml:space="preserve"> </w:t>
      </w:r>
      <w:r>
        <w:t xml:space="preserve">anterior a la superposición de recuperación de SHAP y no reproduce las cifras</w:t>
      </w:r>
      <w:r>
        <w:t xml:space="preserve"> </w:t>
      </w:r>
      <w:r>
        <w:t xml:space="preserve">del Capítulo 4. Los archivos principales de entorno son:</w:t>
      </w:r>
    </w:p>
    <w:tbl>
      <w:tblPr>
        <w:tblStyle w:val="Table"/>
        <w:tblW w:type="pct" w:w="5000"/>
        <w:tblLayout w:type="fixed"/>
        <w:tblLook w:firstRow="0" w:lastRow="0" w:firstColumn="0" w:lastColumn="0" w:noHBand="0" w:noVBand="0" w:val="0000"/>
      </w:tblPr>
      <w:tblGrid>
        <w:gridCol w:w="7920"/>
      </w:tblGrid>
      <w:tr>
        <w:tc>
          <w:tcPr/>
          <w:bookmarkStart w:id="471" w:name="tbl-appendix-environment"/>
          <w:p>
            <w:pPr>
              <w:jc w:val="both"/>
              <w:spacing w:line="360" w:lineRule="auto"/>
            </w:pPr>
            <w:pPr>
              <w:jc w:val="left"/>
              <w:spacing w:before="200"/>
              <w:pStyle w:val="ImageCaption"/>
            </w:pPr>
            <w:r>
              <w:t xml:space="preserve">Table 7.16: Archivos de entorno y reproducción.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Función</w:t>
                  </w:r>
                </w:p>
              </w:tc>
            </w:tr>
            <w:tr>
              <w:tc>
                <w:tcPr/>
                <w:p>
                  <w:pPr>
                    <w:pStyle w:val="Compact"/>
                    <w:jc w:val="both"/>
                    <w:jc w:val="center"/>
                    <w:spacing w:line="360" w:lineRule="auto"/>
                  </w:pPr>
                  <w:r>
                    <w:rPr>
                      <w:rStyle w:val="VerbatimChar"/>
                    </w:rPr>
                    <w:t xml:space="preserve">environment.yml</w:t>
                  </w:r>
                </w:p>
              </w:tc>
              <w:tc>
                <w:tcPr/>
                <w:p>
                  <w:pPr>
                    <w:pStyle w:val="Compact"/>
                    <w:jc w:val="both"/>
                    <w:jc w:val="center"/>
                    <w:spacing w:line="360" w:lineRule="auto"/>
                  </w:pPr>
                  <w:r>
                    <w:t xml:space="preserve">Entorno Conda base con Python 3.11</w:t>
                  </w:r>
                </w:p>
              </w:tc>
            </w:tr>
            <w:tr>
              <w:tc>
                <w:tcPr/>
                <w:p>
                  <w:pPr>
                    <w:pStyle w:val="Compact"/>
                    <w:jc w:val="both"/>
                    <w:jc w:val="center"/>
                    <w:spacing w:line="360" w:lineRule="auto"/>
                  </w:pPr>
                  <w:r>
                    <w:rPr>
                      <w:rStyle w:val="VerbatimChar"/>
                    </w:rPr>
                    <w:t xml:space="preserve">requirements.txt</w:t>
                  </w:r>
                </w:p>
              </w:tc>
              <w:tc>
                <w:tcPr/>
                <w:p>
                  <w:pPr>
                    <w:pStyle w:val="Compact"/>
                    <w:jc w:val="both"/>
                    <w:jc w:val="center"/>
                    <w:spacing w:line="360" w:lineRule="auto"/>
                  </w:pPr>
                  <w:r>
                    <w:t xml:space="preserve">Dependencias Python principales</w:t>
                  </w:r>
                </w:p>
              </w:tc>
            </w:tr>
            <w:tr>
              <w:tc>
                <w:tcPr/>
                <w:p>
                  <w:pPr>
                    <w:pStyle w:val="Compact"/>
                    <w:jc w:val="both"/>
                    <w:jc w:val="center"/>
                    <w:spacing w:line="360" w:lineRule="auto"/>
                  </w:pPr>
                  <w:r>
                    <w:rPr>
                      <w:rStyle w:val="VerbatimChar"/>
                    </w:rPr>
                    <w:t xml:space="preserve">requirements-frozen.txt</w:t>
                  </w:r>
                </w:p>
              </w:tc>
              <w:tc>
                <w:tcPr/>
                <w:p>
                  <w:pPr>
                    <w:pStyle w:val="Compact"/>
                    <w:jc w:val="both"/>
                    <w:jc w:val="center"/>
                    <w:spacing w:line="360" w:lineRule="auto"/>
                  </w:pPr>
                  <w:r>
                    <w:t xml:space="preserve">Dependencias fijadas para reproducción</w:t>
                  </w:r>
                </w:p>
              </w:tc>
            </w:tr>
            <w:tr>
              <w:tc>
                <w:tcPr/>
                <w:p>
                  <w:pPr>
                    <w:pStyle w:val="Compact"/>
                    <w:jc w:val="both"/>
                    <w:jc w:val="center"/>
                    <w:spacing w:line="360" w:lineRule="auto"/>
                  </w:pPr>
                  <w:r>
                    <w:rPr>
                      <w:rStyle w:val="VerbatimChar"/>
                    </w:rPr>
                    <w:t xml:space="preserve">render.yaml</w:t>
                  </w:r>
                </w:p>
              </w:tc>
              <w:tc>
                <w:tcPr/>
                <w:p>
                  <w:pPr>
                    <w:pStyle w:val="Compact"/>
                    <w:jc w:val="both"/>
                    <w:jc w:val="center"/>
                    <w:spacing w:line="360" w:lineRule="auto"/>
                  </w:pPr>
                  <w:r>
                    <w:t xml:space="preserve">Configuración auxiliar de render</w:t>
                  </w:r>
                </w:p>
              </w:tc>
            </w:tr>
          </w:tbl>
          <w:bookmarkEnd w:id="471"/>
          <w:p>
            <w:pPr>
              <w:spacing w:line="360" w:lineRule="auto"/>
              <w:jc w:val="both"/>
            </w:pPr>
          </w:p>
        </w:tc>
      </w:tr>
    </w:tbl>
    <w:p>
      <w:pPr>
        <w:pStyle w:val="Textoindependiente"/>
        <w:spacing w:line="360" w:lineRule="auto"/>
        <w:jc w:val="both"/>
      </w:pPr>
      <w:r>
        <w:t xml:space="preserve">La reproducción mínima sigue esta secuencia:</w:t>
      </w:r>
    </w:p>
    <w:p>
      <w:pPr>
        <w:pStyle w:val="Compact"/>
        <w:numPr>
          <w:ilvl w:val="0"/>
          <w:numId w:val="1018"/>
        </w:numPr>
        <w:spacing w:line="360" w:lineRule="auto"/>
        <w:jc w:val="both"/>
      </w:pPr>
      <w:r>
        <w:t xml:space="preserve">Crear el entorno desde</w:t>
      </w:r>
      <w:r>
        <w:t xml:space="preserve"> </w:t>
      </w:r>
      <w:r>
        <w:rPr>
          <w:rStyle w:val="VerbatimChar"/>
        </w:rPr>
        <w:t xml:space="preserve">environment.yml</w:t>
      </w:r>
      <w:r>
        <w:t xml:space="preserve">.</w:t>
      </w:r>
    </w:p>
    <w:p>
      <w:pPr>
        <w:pStyle w:val="Compact"/>
        <w:numPr>
          <w:ilvl w:val="0"/>
          <w:numId w:val="1018"/>
        </w:numPr>
        <w:spacing w:line="360" w:lineRule="auto"/>
        <w:jc w:val="both"/>
      </w:pPr>
      <w:r>
        <w:t xml:space="preserve">Instalar dependencias fijadas desde</w:t>
      </w:r>
      <w:r>
        <w:t xml:space="preserve"> </w:t>
      </w:r>
      <w:r>
        <w:rPr>
          <w:rStyle w:val="VerbatimChar"/>
        </w:rPr>
        <w:t xml:space="preserve">requirements-frozen.txt</w:t>
      </w:r>
      <w:r>
        <w:t xml:space="preserve">.</w:t>
      </w:r>
    </w:p>
    <w:p>
      <w:pPr>
        <w:pStyle w:val="Compact"/>
        <w:numPr>
          <w:ilvl w:val="0"/>
          <w:numId w:val="1018"/>
        </w:numPr>
        <w:spacing w:line="360" w:lineRule="auto"/>
        <w:jc w:val="both"/>
      </w:pPr>
      <w:r>
        <w:t xml:space="preserve">Verificar artefactos EXP2 con</w:t>
      </w:r>
      <w:r>
        <w:t xml:space="preserve"> </w:t>
      </w:r>
      <w:r>
        <w:rPr>
          <w:rStyle w:val="VerbatimChar"/>
        </w:rPr>
        <w:t xml:space="preserve">scripts/validate_results.py</w:t>
      </w:r>
      <w:r>
        <w:t xml:space="preserve"> </w:t>
      </w:r>
      <w:r>
        <w:t xml:space="preserve">o</w:t>
      </w:r>
      <w:r>
        <w:t xml:space="preserve"> </w:t>
      </w:r>
      <w:r>
        <w:rPr>
          <w:rStyle w:val="VerbatimChar"/>
        </w:rPr>
        <w:t xml:space="preserve">scripts/verify_and_repair_results.py</w:t>
      </w:r>
      <w:r>
        <w:t xml:space="preserve">.</w:t>
      </w:r>
    </w:p>
    <w:p>
      <w:pPr>
        <w:pStyle w:val="Compact"/>
        <w:numPr>
          <w:ilvl w:val="0"/>
          <w:numId w:val="1018"/>
        </w:numPr>
        <w:spacing w:line="360" w:lineRule="auto"/>
        <w:jc w:val="both"/>
      </w:pPr>
      <w:r>
        <w:t xml:space="preserve">Regenerar tablas inferenciales con</w:t>
      </w:r>
      <w:r>
        <w:t xml:space="preserve"> </w:t>
      </w:r>
      <w:r>
        <w:rPr>
          <w:rStyle w:val="VerbatimChar"/>
        </w:rPr>
        <w:t xml:space="preserve">scripts/run_exp2_statistical_analysis.py</w:t>
      </w:r>
      <w:r>
        <w:t xml:space="preserve">.</w:t>
      </w:r>
    </w:p>
    <w:p>
      <w:pPr>
        <w:pStyle w:val="Compact"/>
        <w:numPr>
          <w:ilvl w:val="0"/>
          <w:numId w:val="1018"/>
        </w:numPr>
        <w:spacing w:line="360" w:lineRule="auto"/>
        <w:jc w:val="both"/>
      </w:pPr>
      <w:r>
        <w:t xml:space="preserve">Renderizar la tesis desde</w:t>
      </w:r>
      <w:r>
        <w:t xml:space="preserve"> </w:t>
      </w:r>
      <w:r>
        <w:rPr>
          <w:rStyle w:val="VerbatimChar"/>
        </w:rPr>
        <w:t xml:space="preserve">thesis/</w:t>
      </w:r>
      <w:r>
        <w:t xml:space="preserve"> </w:t>
      </w:r>
      <w:r>
        <w:t xml:space="preserve">con</w:t>
      </w:r>
      <w:r>
        <w:t xml:space="preserve"> </w:t>
      </w:r>
      <w:r>
        <w:rPr>
          <w:rStyle w:val="VerbatimChar"/>
        </w:rPr>
        <w:t xml:space="preserve">quarto render</w:t>
      </w:r>
      <w:r>
        <w:t xml:space="preserve">.</w:t>
      </w:r>
    </w:p>
    <w:bookmarkEnd w:id="472"/>
    <w:bookmarkStart w:id="474" w:name="X6203a5fbf2bdeeaed3e02c144db2e542f2870ed"/>
    <w:p>
      <w:pPr>
        <w:pStyle w:val="Ttulo2"/>
        <w:spacing w:line="360" w:lineRule="auto"/>
        <w:jc w:val="both"/>
      </w:pPr>
      <w:r>
        <w:t xml:space="preserve">Apéndice F: Artefactos del Estudio EXP4 (fiabilidad de jueces LLM)</w:t>
      </w:r>
    </w:p>
    <w:p>
      <w:pPr>
        <w:pStyle w:val="FirstParagraph"/>
        <w:spacing w:line="360" w:lineRule="auto"/>
        <w:jc w:val="both"/>
      </w:pPr>
      <w:r>
        <w:t xml:space="preserve">EXP4 (diseñado en §sec-exp4-diseno, Capítulo 3; resultados en</w:t>
      </w:r>
      <w:r>
        <w:t xml:space="preserve"> </w:t>
      </w:r>
      <w:r>
        <w:t xml:space="preserve">§sec-exp4-fiabilidad, Capítulo 5) cuantifica la fiabilidad inter-juez de</w:t>
      </w:r>
      <w:r>
        <w:t xml:space="preserve"> </w:t>
      </w:r>
      <w:r>
        <w:t xml:space="preserve">evaluadores LLM sobre siete dimensiones semánticas. Los artefactos del estudio</w:t>
      </w:r>
      <w:r>
        <w:t xml:space="preserve"> </w:t>
      </w:r>
      <w:r>
        <w:t xml:space="preserve">se encuentran en las rutas siguientes y sostienen la Tabla</w:t>
      </w:r>
      <w:r>
        <w:t xml:space="preserve"> </w:t>
      </w:r>
      <w:hyperlink w:anchor="tbl-exp4-icc">
        <w:r>
          <w:rPr>
            <w:rStyle w:val="Hipervnculo"/>
          </w:rPr>
          <w:t xml:space="preserve">Table 6.3</w:t>
        </w:r>
      </w:hyperlink>
      <w:r>
        <w:t xml:space="preserve"> </w:t>
      </w:r>
      <w:r>
        <w:t xml:space="preserve">del</w:t>
      </w:r>
      <w:r>
        <w:t xml:space="preserve"> </w:t>
      </w:r>
      <w:r>
        <w:t xml:space="preserve">Capítulo 5.</w:t>
      </w:r>
    </w:p>
    <w:tbl>
      <w:tblPr>
        <w:tblStyle w:val="Table"/>
        <w:tblW w:type="pct" w:w="5000"/>
        <w:tblLayout w:type="fixed"/>
        <w:tblLook w:firstRow="0" w:lastRow="0" w:firstColumn="0" w:lastColumn="0" w:noHBand="0" w:noVBand="0" w:val="0000"/>
      </w:tblPr>
      <w:tblGrid>
        <w:gridCol w:w="7920"/>
      </w:tblGrid>
      <w:tr>
        <w:tc>
          <w:tcPr/>
          <w:bookmarkStart w:id="473" w:name="tbl-appendix-llm"/>
          <w:p>
            <w:pPr>
              <w:jc w:val="both"/>
              <w:spacing w:line="360" w:lineRule="auto"/>
            </w:pPr>
            <w:pPr>
              <w:jc w:val="left"/>
              <w:spacing w:before="200"/>
              <w:pStyle w:val="ImageCaption"/>
            </w:pPr>
            <w:r>
              <w:t xml:space="preserve">Table 7.17: Artefactos de EXP4 y trazabilidad a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Artefacto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la tesis</w:t>
                  </w:r>
                </w:p>
              </w:tc>
            </w:tr>
            <w:tr>
              <w:tc>
                <w:tcPr/>
                <w:p>
                  <w:pPr>
                    <w:pStyle w:val="Compact"/>
                    <w:jc w:val="both"/>
                    <w:jc w:val="center"/>
                    <w:spacing w:line="360" w:lineRule="auto"/>
                  </w:pPr>
                  <w:r>
                    <w:rPr>
                      <w:rStyle w:val="VerbatimChar"/>
                    </w:rPr>
                    <w:t xml:space="preserve">src/evaluation/exp4_schema.py</w:t>
                  </w:r>
                </w:p>
              </w:tc>
              <w:tc>
                <w:tcPr/>
                <w:p>
                  <w:pPr>
                    <w:pStyle w:val="Compact"/>
                    <w:jc w:val="both"/>
                    <w:jc w:val="center"/>
                    <w:spacing w:line="360" w:lineRule="auto"/>
                  </w:pPr>
                  <w:r>
                    <w:t xml:space="preserve">Esquema de puntuación EXP4: las siete dimensiones y la escala 1–5</w:t>
                  </w:r>
                </w:p>
              </w:tc>
              <w:tc>
                <w:tcPr/>
                <w:p>
                  <w:pPr>
                    <w:pStyle w:val="Compact"/>
                    <w:jc w:val="both"/>
                    <w:jc w:val="center"/>
                    <w:spacing w:line="360" w:lineRule="auto"/>
                  </w:pPr>
                  <w:r>
                    <w:t xml:space="preserve">Instrumento de medición EXP4 (fuente reconstruida, RCA-002)</w:t>
                  </w:r>
                </w:p>
              </w:tc>
            </w:tr>
            <w:tr>
              <w:tc>
                <w:tcPr/>
                <w:p>
                  <w:pPr>
                    <w:pStyle w:val="Compact"/>
                    <w:jc w:val="both"/>
                    <w:jc w:val="center"/>
                    <w:spacing w:line="360" w:lineRule="auto"/>
                  </w:pPr>
                  <w:r>
                    <w:rPr>
                      <w:rStyle w:val="VerbatimChar"/>
                    </w:rPr>
                    <w:t xml:space="preserve">src/prompts/templates/explanation_eval.j2</w:t>
                  </w:r>
                </w:p>
              </w:tc>
              <w:tc>
                <w:tcPr/>
                <w:p>
                  <w:pPr>
                    <w:pStyle w:val="Compact"/>
                    <w:jc w:val="both"/>
                    <w:jc w:val="center"/>
                    <w:spacing w:line="360" w:lineRule="auto"/>
                  </w:pPr>
                  <w:r>
                    <w:t xml:space="preserve">Plantilla de tres dimensiones de EXP1;</w:t>
                  </w:r>
                  <w:r>
                    <w:t xml:space="preserve"> </w:t>
                  </w:r>
                  <w:r>
                    <w:rPr>
                      <w:b/>
                      <w:bCs/>
                    </w:rPr>
                    <w:t xml:space="preserve">no</w:t>
                  </w:r>
                  <w:r>
                    <w:t xml:space="preserve"> </w:t>
                  </w:r>
                  <w:r>
                    <w:t xml:space="preserve">es el instrumento de EXP4</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src/prompts/templates/eval_instruction.j2</w:t>
                  </w:r>
                </w:p>
              </w:tc>
              <w:tc>
                <w:tcPr/>
                <w:p>
                  <w:pPr>
                    <w:pStyle w:val="Compact"/>
                    <w:jc w:val="both"/>
                    <w:jc w:val="center"/>
                    <w:spacing w:line="360" w:lineRule="auto"/>
                  </w:pPr>
                  <w:r>
                    <w:t xml:space="preserve">Instrucciones del sistema para el juez LLM (EXP1)</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outputs/analysis/exp4_llm_evaluation/judge_comparison_summary.csv</w:t>
                  </w:r>
                </w:p>
              </w:tc>
              <w:tc>
                <w:tcPr/>
                <w:p>
                  <w:pPr>
                    <w:pStyle w:val="Compact"/>
                    <w:jc w:val="both"/>
                    <w:jc w:val="center"/>
                    <w:spacing w:line="360" w:lineRule="auto"/>
                  </w:pPr>
                  <w:r>
                    <w:t xml:space="preserve">Resumen comparativo de puntuaciones por juez y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outputs/analysis/exp4_llm_evaluation/krippendorff_alpha.csv</w:t>
                  </w:r>
                </w:p>
              </w:tc>
              <w:tc>
                <w:tcPr/>
                <w:p>
                  <w:pPr>
                    <w:pStyle w:val="Compact"/>
                    <w:jc w:val="both"/>
                    <w:jc w:val="center"/>
                    <w:spacing w:line="360" w:lineRule="auto"/>
                  </w:pPr>
                  <ns1:oMath>
                    <ns1:r>
                      <ns1:t>α</ns1:t>
                    </ns1:r>
                  </ns1:oMath>
                  <w:r>
                    <w:t xml:space="preserve"> </w:t>
                  </w:r>
                  <w:r>
                    <w:t xml:space="preserve">de Krippendorff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outputs/analysis/exp4_llm_evaluation/icc_analysis.csv</w:t>
                  </w:r>
                </w:p>
              </w:tc>
              <w:tc>
                <w:tcPr/>
                <w:p>
                  <w:pPr>
                    <w:pStyle w:val="Compact"/>
                    <w:jc w:val="both"/>
                    <w:jc w:val="center"/>
                    <w:spacing w:line="360" w:lineRule="auto"/>
                  </w:pPr>
                  <w:r>
                    <w:t xml:space="preserve">ICC(1,1)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bl>
          <w:bookmarkEnd w:id="473"/>
          <w:p>
            <w:pPr>
              <w:spacing w:line="360" w:lineRule="auto"/>
              <w:jc w:val="both"/>
            </w:pPr>
          </w:p>
        </w:tc>
      </w:tr>
    </w:tbl>
    <w:p>
      <w:pPr>
        <w:pStyle w:val="Textoindependiente"/>
        <w:spacing w:line="360" w:lineRule="auto"/>
        <w:jc w:val="both"/>
      </w:pPr>
      <w:r>
        <w:t xml:space="preserve">EXP4 no aporta evidencia confirmativa sobre las hipótesis H1–H3 ni modifica P1;</w:t>
      </w:r>
      <w:r>
        <w:t xml:space="preserve"> </w:t>
      </w:r>
      <w:r>
        <w:t xml:space="preserve">su resultado (P2: jueces LLM no alcanzan ICC</w:t>
      </w:r>
      <w:r>
        <w:t xml:space="preserve"> </w:t>
      </w:r>
      <ns1:oMath>
        <ns1:r>
          <ns1:rPr>
            <ns1:sty ns1:val="p"/>
          </ns1:rPr>
          <ns1:t>≥</ns1:t>
        </ns1:r>
        <ns1:r>
          <ns1:t>0.75</ns1:t>
        </ns1:r>
      </ns1:oMath>
      <w:r>
        <w:t xml:space="preserve"> </w:t>
      </w:r>
      <w:r>
        <w:t xml:space="preserve">bajo las rúbricas</w:t>
      </w:r>
      <w:r>
        <w:t xml:space="preserve"> </w:t>
      </w:r>
      <w:r>
        <w:t xml:space="preserve">actuales) es un resultado negativo que delimita el alcance de la evaluación</w:t>
      </w:r>
      <w:r>
        <w:t xml:space="preserve"> </w:t>
      </w:r>
      <w:r>
        <w:t xml:space="preserve">semántica automática en XAI y establece los requisitos de formalización para</w:t>
      </w:r>
      <w:r>
        <w:t xml:space="preserve"> </w:t>
      </w:r>
      <w:r>
        <w:t xml:space="preserve">investigación futura (véase §sec-exp4-fiabilidad y §sec-futuro).</w:t>
      </w:r>
    </w:p>
    <w:bookmarkEnd w:id="474"/>
    <w:bookmarkEnd w:id="475"/>
    <w:sectPr w:rsidR="004A1446" w:rsidSect="0070096E">
      <w:headerReference ns5:id="rId9" w:type="even"/>
      <w:headerReference ns5:id="rId10" w:type="default"/>
      <w:pgSz w:h="15840" w:w="12240"/>
      <w:pgMar w:bottom="1440" w:footer="720" w:gutter="0" w:header="720" w:left="1440" w:right="1440" w:top="1728"/>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n-US"/>
      </w:rPr>
    </w:rPrDefault>
    <w:pPrDefault>
      <w:pPr>
        <w:spacing w:after="160" w:line="360" w:lineRule="auto"/>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MX"/>
    </w:rPr>
    <w:pPr>
      <w:spacing w:line="360" w:lineRule="auto"/>
      <w:jc w:val="both"/>
    </w:pPr>
  </w:style>
  <w:style w:styleId="Ttulo1" w:type="paragraph">
    <w:name w:val="heading 1"/>
    <w:basedOn w:val="Normal"/>
    <w:next w:val="Normal"/>
    <w:link w:val="Ttulo1Car"/>
    <w:autoRedefine/>
    <w:uiPriority w:val="9"/>
    <w:qFormat/>
    <w:rsid w:val="00587376"/>
    <w:pPr>
      <w:keepNext/>
      <w:keepLines/>
      <w:spacing w:after="0" w:before="240" w:line="360" w:lineRule="auto"/>
      <w:jc w:val="both"/>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360" w:lineRule="auto"/>
      <w:outlineLvl w:val="1"/>
      <w:jc w:val="both"/>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line="360" w:lineRule="auto"/>
      <w:outlineLvl w:val="2"/>
      <w:jc w:val="both"/>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line="360" w:lineRule="auto"/>
      <w:ind w:left="1440"/>
      <w:outlineLvl w:val="3"/>
      <w:jc w:val="both"/>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line="360" w:lineRule="auto"/>
      <w:ind w:left="1440"/>
      <w:outlineLvl w:val="4"/>
      <w:jc w:val="both"/>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36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360" w:lineRule="auto"/>
      <w:jc w:val="both"/>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360" w:lineRule="auto"/>
      <w:jc w:val="both"/>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360" w:lineRule="auto"/>
      <w:jc w:val="both"/>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spacing w:line="360" w:lineRule="auto"/>
      <w:jc w:val="both"/>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360" w:lineRule="auto"/>
      <w:jc w:val="both"/>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pPr>
      <w:spacing w:line="360" w:lineRule="auto"/>
      <w:jc w:val="both"/>
    </w:p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MX"/>
    </w:rPr>
  </w:style>
  <w:style w:styleId="TtulodeTDC" w:type="paragraph">
    <w:name w:val="TOC Heading"/>
    <w:basedOn w:val="Ttulo1"/>
    <w:next w:val="Normal"/>
    <w:uiPriority w:val="39"/>
    <w:unhideWhenUsed/>
    <w:qFormat/>
    <w:rsid w:val="00A62C67"/>
    <w:pPr>
      <w:outlineLvl w:val="9"/>
      <w:spacing w:line="360" w:lineRule="auto"/>
      <w:jc w:val="both"/>
    </w:pPr>
    <w:rPr>
      <w:lang w:eastAsia="es-MX"/>
    </w:rPr>
  </w:style>
  <w:style w:styleId="TDC3" w:type="paragraph">
    <w:name w:val="toc 3"/>
    <w:basedOn w:val="Normal"/>
    <w:next w:val="Normal"/>
    <w:autoRedefine/>
    <w:uiPriority w:val="39"/>
    <w:unhideWhenUsed/>
    <w:rsid w:val="00302EDB"/>
    <w:pPr>
      <w:spacing w:after="100" w:line="360" w:lineRule="auto"/>
      <w:ind w:left="482"/>
      <w:jc w:val="both"/>
    </w:pPr>
  </w:style>
  <w:style w:styleId="TDC1" w:type="paragraph">
    <w:name w:val="toc 1"/>
    <w:basedOn w:val="Normal"/>
    <w:next w:val="Normal"/>
    <w:autoRedefine/>
    <w:uiPriority w:val="39"/>
    <w:unhideWhenUsed/>
    <w:rsid w:val="00302EDB"/>
    <w:pPr>
      <w:spacing w:after="100" w:line="360" w:lineRule="auto"/>
      <w:jc w:val="both"/>
    </w:pPr>
  </w:style>
  <w:style w:customStyle="1" w:styleId="Ttulo2Car" w:type="character">
    <w:name w:val="Título 2 Car"/>
    <w:basedOn w:val="Fuentedeprrafopredeter"/>
    <w:link w:val="Ttulo2"/>
    <w:uiPriority w:val="9"/>
    <w:rsid w:val="00302EDB"/>
    <w:rPr>
      <w:rFonts w:cs="Times New Roman" w:eastAsia="Times New Roman"/>
      <w:b/>
      <w:szCs w:val="26"/>
      <w:lang w:val="es-MX"/>
    </w:rPr>
  </w:style>
  <w:style w:styleId="TDC2" w:type="paragraph">
    <w:name w:val="toc 2"/>
    <w:basedOn w:val="Normal"/>
    <w:next w:val="Normal"/>
    <w:autoRedefine/>
    <w:uiPriority w:val="39"/>
    <w:unhideWhenUsed/>
    <w:rsid w:val="00302EDB"/>
    <w:pPr>
      <w:spacing w:after="100" w:line="360" w:lineRule="auto"/>
      <w:ind w:left="238"/>
      <w:jc w:val="both"/>
    </w:pPr>
  </w:style>
  <w:style w:customStyle="1" w:styleId="Ttulo3Car" w:type="character">
    <w:name w:val="Título 3 Car"/>
    <w:basedOn w:val="Fuentedeprrafopredeter"/>
    <w:link w:val="Ttulo3"/>
    <w:uiPriority w:val="9"/>
    <w:rsid w:val="00567910"/>
    <w:rPr>
      <w:rFonts w:cstheme="majorBidi" w:eastAsiaTheme="majorEastAsia"/>
      <w:b/>
      <w:i/>
      <w:szCs w:val="24"/>
      <w:lang w:val="es-MX"/>
    </w:rPr>
  </w:style>
  <w:style w:customStyle="1" w:styleId="Ttulo4Car" w:type="character">
    <w:name w:val="Título 4 Car"/>
    <w:basedOn w:val="Fuentedeprrafopredeter"/>
    <w:link w:val="Ttulo4"/>
    <w:uiPriority w:val="9"/>
    <w:rsid w:val="00AE0CE0"/>
    <w:rPr>
      <w:rFonts w:cstheme="majorBidi" w:eastAsiaTheme="majorEastAsia"/>
      <w:b/>
      <w:iCs/>
      <w:lang w:val="es-MX"/>
    </w:rPr>
  </w:style>
  <w:style w:customStyle="1" w:styleId="Ttulo5Car" w:type="character">
    <w:name w:val="Título 5 Car"/>
    <w:basedOn w:val="Fuentedeprrafopredeter"/>
    <w:link w:val="Ttulo5"/>
    <w:uiPriority w:val="9"/>
    <w:rsid w:val="004323BF"/>
    <w:rPr>
      <w:rFonts w:cstheme="majorBidi" w:eastAsiaTheme="majorEastAsia"/>
      <w:b/>
      <w:i/>
      <w:lang w:val="es-MX"/>
    </w:rPr>
  </w:style>
  <w:style w:styleId="Epgrafe" w:type="paragraph">
    <w:name w:val="caption"/>
    <w:basedOn w:val="Normal"/>
    <w:next w:val="Normal"/>
    <w:uiPriority w:val="35"/>
    <w:unhideWhenUsed/>
    <w:qFormat/>
    <w:rsid w:val="002105DF"/>
    <w:pPr>
      <w:spacing w:after="200" w:line="360" w:lineRule="auto"/>
      <w:jc w:val="both"/>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360" w:lineRule="auto"/>
      <w:jc w:val="both"/>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360" w:lineRule="auto"/>
      <w:ind w:left="720"/>
      <w:jc w:val="both"/>
    </w:pPr>
  </w:style>
  <w:style w:styleId="TDC5" w:type="paragraph">
    <w:name w:val="toc 5"/>
    <w:basedOn w:val="Normal"/>
    <w:next w:val="Normal"/>
    <w:autoRedefine/>
    <w:uiPriority w:val="39"/>
    <w:unhideWhenUsed/>
    <w:rsid w:val="00302EDB"/>
    <w:pPr>
      <w:spacing w:after="100" w:line="360" w:lineRule="auto"/>
      <w:ind w:left="958"/>
      <w:jc w:val="both"/>
    </w:pPr>
  </w:style>
  <w:style w:customStyle="1" w:styleId="Default" w:type="paragraph">
    <w:name w:val="Default"/>
    <w:rsid w:val="003C25F6"/>
    <w:pPr>
      <w:autoSpaceDE w:val="0"/>
      <w:autoSpaceDN w:val="0"/>
      <w:adjustRightInd w:val="0"/>
      <w:spacing w:after="0" w:line="360" w:lineRule="auto"/>
      <w:jc w:val="both"/>
    </w:pPr>
    <w:rPr>
      <w:rFonts w:cs="Times New Roman"/>
      <w:color w:val="000000"/>
      <w:szCs w:val="24"/>
      <w:lang w:val="es-MX"/>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ES"/>
    </w:rPr>
  </w:style>
  <w:style w:customStyle="1" w:styleId="Encabezadoopiedepgina0" w:type="paragraph">
    <w:name w:val="Encabezado o pie de página"/>
    <w:basedOn w:val="Normal"/>
    <w:link w:val="Encabezadoopiedepgina"/>
    <w:rsid w:val="00FB6C23"/>
    <w:pPr>
      <w:widowControl w:val="0"/>
      <w:shd w:color="auto" w:fill="FFFFFF" w:val="clear"/>
      <w:spacing w:after="0" w:line="360" w:lineRule="auto"/>
      <w:jc w:val="both"/>
    </w:pPr>
    <w:rPr>
      <w:rFonts w:cs="Times New Roman" w:eastAsia="Times New Roman"/>
      <w:lang w:bidi="es-ES" w:eastAsia="es-ES" w:val="es-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spacing w:line="360" w:lineRule="auto"/>
      <w:jc w:val="both"/>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image" Id="rId143" Target="media/rId143.png" /><Relationship Type="http://schemas.openxmlformats.org/officeDocument/2006/relationships/image" Id="rId139" Target="media/rId139.png" /><Relationship Type="http://schemas.openxmlformats.org/officeDocument/2006/relationships/image" Id="rId135" Target="media/rId135.png" /><Relationship Type="http://schemas.openxmlformats.org/officeDocument/2006/relationships/image" Id="rId131" Target="media/rId131.png" /><Relationship Type="http://schemas.openxmlformats.org/officeDocument/2006/relationships/image" Id="rId147" Target="media/rId147.png" /><Relationship Type="http://schemas.openxmlformats.org/officeDocument/2006/relationships/image" Id="rId127" Target="media/rId127.png" /><Relationship Type="http://schemas.openxmlformats.org/officeDocument/2006/relationships/image" Id="rId151" Target="media/rId151.png" /><Relationship Type="http://schemas.openxmlformats.org/officeDocument/2006/relationships/hyperlink" Id="rId256" Target="http://archive.ics.uci.edu/ml" TargetMode="External" /><Relationship Type="http://schemas.openxmlformats.org/officeDocument/2006/relationships/hyperlink" Id="rId318" Target="https://archive.ics.uci.edu/dataset/2/adult" TargetMode="External" /><Relationship Type="http://schemas.openxmlformats.org/officeDocument/2006/relationships/hyperlink" Id="rId210" Target="https://arxiv.org/abs/1806.08049" TargetMode="External" /><Relationship Type="http://schemas.openxmlformats.org/officeDocument/2006/relationships/hyperlink" Id="rId371" Target="https://catalog.princeton.edu/catalog/2081365" TargetMode="External" /><Relationship Type="http://schemas.openxmlformats.org/officeDocument/2006/relationships/hyperlink" Id="rId214" Target="https://doi.org/10.1002/widm.1424" TargetMode="External" /><Relationship Type="http://schemas.openxmlformats.org/officeDocument/2006/relationships/hyperlink" Id="rId344" Target="https://doi.org/10.1002/widm.1493" TargetMode="External" /><Relationship Type="http://schemas.openxmlformats.org/officeDocument/2006/relationships/hyperlink" Id="rId410" Target="https://doi.org/10.1007/978-3-030-28954-6" TargetMode="External" /><Relationship Type="http://schemas.openxmlformats.org/officeDocument/2006/relationships/hyperlink" Id="rId357" Target="https://doi.org/10.1007/978-3-030-65965-3_28" TargetMode="External" /><Relationship Type="http://schemas.openxmlformats.org/officeDocument/2006/relationships/hyperlink" Id="rId295" Target="https://doi.org/10.1007/978-3-031-04083-2_2" TargetMode="External" /><Relationship Type="http://schemas.openxmlformats.org/officeDocument/2006/relationships/hyperlink" Id="rId418" Target="https://doi.org/10.1007/978-3-031-63787-2_23" TargetMode="External" /><Relationship Type="http://schemas.openxmlformats.org/officeDocument/2006/relationships/hyperlink" Id="rId346" Target="https://doi.org/10.1007/978-3-031-75387-9_12" TargetMode="External" /><Relationship Type="http://schemas.openxmlformats.org/officeDocument/2006/relationships/hyperlink" Id="rId204" Target="https://doi.org/10.1007/978-3-032-06744-9_14" TargetMode="External" /><Relationship Type="http://schemas.openxmlformats.org/officeDocument/2006/relationships/hyperlink" Id="rId441" Target="https://doi.org/10.1007/978-3-319-57959-7" TargetMode="External" /><Relationship Type="http://schemas.openxmlformats.org/officeDocument/2006/relationships/hyperlink" Id="rId414" Target="https://doi.org/10.1007/s10618-022-00867-8" TargetMode="External" /><Relationship Type="http://schemas.openxmlformats.org/officeDocument/2006/relationships/hyperlink" Id="rId367" Target="https://doi.org/10.1007/s10676-024-09773-7" TargetMode="External" /><Relationship Type="http://schemas.openxmlformats.org/officeDocument/2006/relationships/hyperlink" Id="rId269" Target="https://doi.org/10.1007/s11023-018-9482-5" TargetMode="External" /><Relationship Type="http://schemas.openxmlformats.org/officeDocument/2006/relationships/hyperlink" Id="rId289" Target="https://doi.org/10.1007/s12559-023-10179-8" TargetMode="External" /><Relationship Type="http://schemas.openxmlformats.org/officeDocument/2006/relationships/hyperlink" Id="rId422" Target="https://doi.org/10.1007/s13218-020-00637-y" TargetMode="External" /><Relationship Type="http://schemas.openxmlformats.org/officeDocument/2006/relationships/hyperlink" Id="rId293" Target="https://doi.org/10.1007/s13218-023-00806-9" TargetMode="External" /><Relationship Type="http://schemas.openxmlformats.org/officeDocument/2006/relationships/hyperlink" Id="rId297" Target="https://doi.org/10.1016/j.array.2025.100399" TargetMode="External" /><Relationship Type="http://schemas.openxmlformats.org/officeDocument/2006/relationships/hyperlink" Id="rId348" Target="https://doi.org/10.1016/j.artint.2018.07.007" TargetMode="External" /><Relationship Type="http://schemas.openxmlformats.org/officeDocument/2006/relationships/hyperlink" Id="rId327" Target="https://doi.org/10.1016/j.artint.2021.103473" TargetMode="External" /><Relationship Type="http://schemas.openxmlformats.org/officeDocument/2006/relationships/hyperlink" Id="rId218" Target="https://doi.org/10.1016/j.inffus.2019.12.012" TargetMode="External" /><Relationship Type="http://schemas.openxmlformats.org/officeDocument/2006/relationships/hyperlink" Id="rId202" Target="https://doi.org/10.1016/j.inffus.2023.101805" TargetMode="External" /><Relationship Type="http://schemas.openxmlformats.org/officeDocument/2006/relationships/hyperlink" Id="rId338" Target="https://doi.org/10.1016/j.inffus.2024.102301" TargetMode="External" /><Relationship Type="http://schemas.openxmlformats.org/officeDocument/2006/relationships/hyperlink" Id="rId320" Target="https://doi.org/10.1016/j.jcm.2016.02.012" TargetMode="External" /><Relationship Type="http://schemas.openxmlformats.org/officeDocument/2006/relationships/hyperlink" Id="rId408" Target="https://doi.org/10.1016/j.knosys.2023.110273" TargetMode="External" /><Relationship Type="http://schemas.openxmlformats.org/officeDocument/2006/relationships/hyperlink" Id="rId382" Target="https://doi.org/10.1016/j.neucom.2024.128282" TargetMode="External" /><Relationship Type="http://schemas.openxmlformats.org/officeDocument/2006/relationships/hyperlink" Id="rId234" Target="https://doi.org/10.1023/a:1010933404324" TargetMode="External" /><Relationship Type="http://schemas.openxmlformats.org/officeDocument/2006/relationships/hyperlink" Id="rId379" Target="https://doi.org/10.1038/s41467-022-33417-3" TargetMode="External" /><Relationship Type="http://schemas.openxmlformats.org/officeDocument/2006/relationships/hyperlink" Id="rId199" Target="https://doi.org/10.1038/s41597-023-01974-x" TargetMode="External" /><Relationship Type="http://schemas.openxmlformats.org/officeDocument/2006/relationships/hyperlink" Id="rId404" Target="https://doi.org/10.1038/s42256-019-0048-x" TargetMode="External" /><Relationship Type="http://schemas.openxmlformats.org/officeDocument/2006/relationships/hyperlink" Id="rId365" Target="https://doi.org/10.1073/pnas.1900654116" TargetMode="External" /><Relationship Type="http://schemas.openxmlformats.org/officeDocument/2006/relationships/hyperlink" Id="rId392" Target="https://doi.org/10.1073/pnas.2426766122" TargetMode="External" /><Relationship Type="http://schemas.openxmlformats.org/officeDocument/2006/relationships/hyperlink" Id="rId275" Target="https://doi.org/10.1080/01621459.1937.10503522" TargetMode="External" /><Relationship Type="http://schemas.openxmlformats.org/officeDocument/2006/relationships/hyperlink" Id="rId281" Target="https://doi.org/10.1080/10618600.2014.907095" TargetMode="External" /><Relationship Type="http://schemas.openxmlformats.org/officeDocument/2006/relationships/hyperlink" Id="rId191" Target="https://doi.org/10.1109/INES59045.2023.1030000" TargetMode="External" /><Relationship Type="http://schemas.openxmlformats.org/officeDocument/2006/relationships/hyperlink" Id="rId426" Target="https://doi.org/10.1109/TNNLS.2020.3027314" TargetMode="External" /><Relationship Type="http://schemas.openxmlformats.org/officeDocument/2006/relationships/hyperlink" Id="rId400" Target="https://doi.org/10.1109/TPAMI.2023.3331846" TargetMode="External" /><Relationship Type="http://schemas.openxmlformats.org/officeDocument/2006/relationships/hyperlink" Id="rId195" Target="https://doi.org/10.1109/access.2018.2870052" TargetMode="External" /><Relationship Type="http://schemas.openxmlformats.org/officeDocument/2006/relationships/hyperlink" Id="rId306" Target="https://doi.org/10.1109/access.2025.3546681" TargetMode="External" /><Relationship Type="http://schemas.openxmlformats.org/officeDocument/2006/relationships/hyperlink" Id="rId279" Target="https://doi.org/10.1109/dsaa.2018.00018" TargetMode="External" /><Relationship Type="http://schemas.openxmlformats.org/officeDocument/2006/relationships/hyperlink" Id="rId216" Target="https://doi.org/10.1111/rssb.12377" TargetMode="External" /><Relationship Type="http://schemas.openxmlformats.org/officeDocument/2006/relationships/hyperlink" Id="rId299" Target="https://doi.org/10.1126/science.359.6377.725" TargetMode="External" /><Relationship Type="http://schemas.openxmlformats.org/officeDocument/2006/relationships/hyperlink" Id="rId394" Target="https://doi.org/10.1145/2939672.2939778" TargetMode="External" /><Relationship Type="http://schemas.openxmlformats.org/officeDocument/2006/relationships/hyperlink" Id="rId189" Target="https://doi.org/10.1145/3173574.3174156" TargetMode="External" /><Relationship Type="http://schemas.openxmlformats.org/officeDocument/2006/relationships/hyperlink" Id="rId285" Target="https://doi.org/10.1145/3236009" TargetMode="External" /><Relationship Type="http://schemas.openxmlformats.org/officeDocument/2006/relationships/hyperlink" Id="rId334" Target="https://doi.org/10.1145/3236386.3241340" TargetMode="External" /><Relationship Type="http://schemas.openxmlformats.org/officeDocument/2006/relationships/hyperlink" Id="rId353" Target="https://doi.org/10.1145/3287560.3287574" TargetMode="External" /><Relationship Type="http://schemas.openxmlformats.org/officeDocument/2006/relationships/hyperlink" Id="rId312" Target="https://doi.org/10.1145/3313831.3376219" TargetMode="External" /><Relationship Type="http://schemas.openxmlformats.org/officeDocument/2006/relationships/hyperlink" Id="rId361" Target="https://doi.org/10.1145/3351095.3372850" TargetMode="External" /><Relationship Type="http://schemas.openxmlformats.org/officeDocument/2006/relationships/hyperlink" Id="rId420" Target="https://doi.org/10.1145/3375627.3375830" TargetMode="External" /><Relationship Type="http://schemas.openxmlformats.org/officeDocument/2006/relationships/hyperlink" Id="rId388" Target="https://doi.org/10.1145/3375627.3375850" TargetMode="External" /><Relationship Type="http://schemas.openxmlformats.org/officeDocument/2006/relationships/hyperlink" Id="rId355" Target="https://doi.org/10.1145/3387166" TargetMode="External" /><Relationship Type="http://schemas.openxmlformats.org/officeDocument/2006/relationships/hyperlink" Id="rId308" Target="https://doi.org/10.1145/3527848" TargetMode="External" /><Relationship Type="http://schemas.openxmlformats.org/officeDocument/2006/relationships/hyperlink" Id="rId197" Target="https://doi.org/10.1145/3533381" TargetMode="External" /><Relationship Type="http://schemas.openxmlformats.org/officeDocument/2006/relationships/hyperlink" Id="rId262" Target="https://doi.org/10.1145/3544549.3573832" TargetMode="External" /><Relationship Type="http://schemas.openxmlformats.org/officeDocument/2006/relationships/hyperlink" Id="rId258" Target="https://doi.org/10.1145/3561048" TargetMode="External" /><Relationship Type="http://schemas.openxmlformats.org/officeDocument/2006/relationships/hyperlink" Id="rId303" Target="https://doi.org/10.1145/3571730" TargetMode="External" /><Relationship Type="http://schemas.openxmlformats.org/officeDocument/2006/relationships/hyperlink" Id="rId266" Target="https://doi.org/10.1145/3573900.3591114" TargetMode="External" /><Relationship Type="http://schemas.openxmlformats.org/officeDocument/2006/relationships/hyperlink" Id="rId424" Target="https://doi.org/10.1145/3580305.3599337" TargetMode="External" /><Relationship Type="http://schemas.openxmlformats.org/officeDocument/2006/relationships/hyperlink" Id="rId369" Target="https://doi.org/10.1145/3583558" TargetMode="External" /><Relationship Type="http://schemas.openxmlformats.org/officeDocument/2006/relationships/hyperlink" Id="rId323" Target="https://doi.org/10.1145/3592307.3592342" TargetMode="External" /><Relationship Type="http://schemas.openxmlformats.org/officeDocument/2006/relationships/hyperlink" Id="rId437" Target="https://doi.org/10.1145/3599974" TargetMode="External" /><Relationship Type="http://schemas.openxmlformats.org/officeDocument/2006/relationships/hyperlink" Id="rId283" Target="https://doi.org/10.1145/3605098.3636109" TargetMode="External" /><Relationship Type="http://schemas.openxmlformats.org/officeDocument/2006/relationships/hyperlink" Id="rId351" Target="https://doi.org/10.1145/3607947.3608059" TargetMode="External" /><Relationship Type="http://schemas.openxmlformats.org/officeDocument/2006/relationships/hyperlink" Id="rId359" Target="https://doi.org/10.1145/3610064" TargetMode="External" /><Relationship Type="http://schemas.openxmlformats.org/officeDocument/2006/relationships/hyperlink" Id="rId376" Target="https://doi.org/10.1145/3613904.3642352" TargetMode="External" /><Relationship Type="http://schemas.openxmlformats.org/officeDocument/2006/relationships/hyperlink" Id="rId315" Target="https://doi.org/10.1145/3613905.3638184" TargetMode="External" /><Relationship Type="http://schemas.openxmlformats.org/officeDocument/2006/relationships/hyperlink" Id="rId277" Target="https://doi.org/10.1145/3626203.3670522" TargetMode="External" /><Relationship Type="http://schemas.openxmlformats.org/officeDocument/2006/relationships/hyperlink" Id="rId230" Target="https://doi.org/10.1145/3631700.3664911" TargetMode="External" /><Relationship Type="http://schemas.openxmlformats.org/officeDocument/2006/relationships/hyperlink" Id="rId301" Target="https://doi.org/10.1145/3631908.3631925" TargetMode="External" /><Relationship Type="http://schemas.openxmlformats.org/officeDocument/2006/relationships/hyperlink" Id="rId248" Target="https://doi.org/10.1145/3638380.3638426" TargetMode="External" /><Relationship Type="http://schemas.openxmlformats.org/officeDocument/2006/relationships/hyperlink" Id="rId433" Target="https://doi.org/10.1145/3643491.3660292" TargetMode="External" /><Relationship Type="http://schemas.openxmlformats.org/officeDocument/2006/relationships/hyperlink" Id="rId228" Target="https://doi.org/10.1145/3643834.3660722" TargetMode="External" /><Relationship Type="http://schemas.openxmlformats.org/officeDocument/2006/relationships/hyperlink" Id="rId342" Target="https://doi.org/10.1145/3647444.3647912" TargetMode="External" /><Relationship Type="http://schemas.openxmlformats.org/officeDocument/2006/relationships/hyperlink" Id="rId220" Target="https://doi.org/10.1145/3649144" TargetMode="External" /><Relationship Type="http://schemas.openxmlformats.org/officeDocument/2006/relationships/hyperlink" Id="rId310" Target="https://doi.org/10.1145/3651593" TargetMode="External" /><Relationship Type="http://schemas.openxmlformats.org/officeDocument/2006/relationships/hyperlink" Id="rId226" Target="https://doi.org/10.1145/3670685" TargetMode="External" /><Relationship Type="http://schemas.openxmlformats.org/officeDocument/2006/relationships/hyperlink" Id="rId236" Target="https://doi.org/10.1145/3672359.3672363" TargetMode="External" /><Relationship Type="http://schemas.openxmlformats.org/officeDocument/2006/relationships/hyperlink" Id="rId412" Target="https://doi.org/10.1145/3677374" TargetMode="External" /><Relationship Type="http://schemas.openxmlformats.org/officeDocument/2006/relationships/hyperlink" Id="rId386" Target="https://doi.org/10.1145/3678884.3682046" TargetMode="External" /><Relationship Type="http://schemas.openxmlformats.org/officeDocument/2006/relationships/hyperlink" Id="rId260" Target="https://doi.org/10.1145/3686169.3686185" TargetMode="External" /><Relationship Type="http://schemas.openxmlformats.org/officeDocument/2006/relationships/hyperlink" Id="rId250" Target="https://doi.org/10.1145/3702038.3702093" TargetMode="External" /><Relationship Type="http://schemas.openxmlformats.org/officeDocument/2006/relationships/hyperlink" Id="rId363" Target="https://doi.org/10.1145/3704522.3704524" TargetMode="External" /><Relationship Type="http://schemas.openxmlformats.org/officeDocument/2006/relationships/hyperlink" Id="rId435" Target="https://doi.org/10.1145/3705724" TargetMode="External" /><Relationship Type="http://schemas.openxmlformats.org/officeDocument/2006/relationships/hyperlink" Id="rId373" Target="https://doi.org/10.1145/3711123" TargetMode="External" /><Relationship Type="http://schemas.openxmlformats.org/officeDocument/2006/relationships/hyperlink" Id="rId240" Target="https://doi.org/10.1145/3737445" TargetMode="External" /><Relationship Type="http://schemas.openxmlformats.org/officeDocument/2006/relationships/hyperlink" Id="rId206" Target="https://doi.org/10.1146/annurev-statistics-040120-030919" TargetMode="External" /><Relationship Type="http://schemas.openxmlformats.org/officeDocument/2006/relationships/hyperlink" Id="rId246" Target="https://doi.org/10.1177/001316446002000104" TargetMode="External" /><Relationship Type="http://schemas.openxmlformats.org/officeDocument/2006/relationships/hyperlink" Id="rId430" Target="https://doi.org/10.1201/9781003442509" TargetMode="External" /><Relationship Type="http://schemas.openxmlformats.org/officeDocument/2006/relationships/hyperlink" Id="rId271" Target="https://doi.org/10.1214/07-aoas148" TargetMode="External" /><Relationship Type="http://schemas.openxmlformats.org/officeDocument/2006/relationships/hyperlink" Id="rId402" Target="https://doi.org/10.1214/21-ss133" TargetMode="External" /><Relationship Type="http://schemas.openxmlformats.org/officeDocument/2006/relationships/hyperlink" Id="rId273" Target="https://doi.org/10.1214/aos/1013203451" TargetMode="External" /><Relationship Type="http://schemas.openxmlformats.org/officeDocument/2006/relationships/hyperlink" Id="rId396" Target="https://doi.org/10.1609/aaai.v32i1.11491" TargetMode="External" /><Relationship Type="http://schemas.openxmlformats.org/officeDocument/2006/relationships/hyperlink" Id="rId428" Target="https://doi.org/10.1609/aaai.v34i04.6064" TargetMode="External" /><Relationship Type="http://schemas.openxmlformats.org/officeDocument/2006/relationships/hyperlink" Id="rId212" Target="https://doi.org/10.1609/aimag.v35i4.2513" TargetMode="External" /><Relationship Type="http://schemas.openxmlformats.org/officeDocument/2006/relationships/hyperlink" Id="rId439" Target="https://doi.org/10.1613/jair.1.13283" TargetMode="External" /><Relationship Type="http://schemas.openxmlformats.org/officeDocument/2006/relationships/hyperlink" Id="rId384" Target="https://doi.org/10.1613/jair.1.14888" TargetMode="External" /><Relationship Type="http://schemas.openxmlformats.org/officeDocument/2006/relationships/hyperlink" Id="rId287" Target="https://doi.org/10.18653/v1/2020.acl-main.491" TargetMode="External" /><Relationship Type="http://schemas.openxmlformats.org/officeDocument/2006/relationships/hyperlink" Id="rId222" Target="https://doi.org/10.18653/v1/2020.blackboxnlp-1.14" TargetMode="External" /><Relationship Type="http://schemas.openxmlformats.org/officeDocument/2006/relationships/hyperlink" Id="rId238" Target="https://doi.org/10.18653/v1/2023.emnlp-main.792" TargetMode="External" /><Relationship Type="http://schemas.openxmlformats.org/officeDocument/2006/relationships/hyperlink" Id="rId443" Target="https://doi.org/10.2139/ssrn.3063289" TargetMode="External" /><Relationship Type="http://schemas.openxmlformats.org/officeDocument/2006/relationships/hyperlink" Id="rId193" Target="https://doi.org/10.2139/ssrn.4710037" TargetMode="External" /><Relationship Type="http://schemas.openxmlformats.org/officeDocument/2006/relationships/hyperlink" Id="rId244" Target="https://doi.org/10.2139/ssrn.5040613" TargetMode="External" /><Relationship Type="http://schemas.openxmlformats.org/officeDocument/2006/relationships/hyperlink" Id="rId264" Target="https://doi.org/10.2139/ssrn.6847479" TargetMode="External" /><Relationship Type="http://schemas.openxmlformats.org/officeDocument/2006/relationships/hyperlink" Id="rId446" Target="https://doi.org/10.2307/3001968" TargetMode="External" /><Relationship Type="http://schemas.openxmlformats.org/officeDocument/2006/relationships/hyperlink" Id="rId329" Target="https://doi.org/10.24963/ijcai.2019/388" TargetMode="External" /><Relationship Type="http://schemas.openxmlformats.org/officeDocument/2006/relationships/hyperlink" Id="rId224" Target="https://doi.org/10.3389/fdata.2021.688969" TargetMode="External" /><Relationship Type="http://schemas.openxmlformats.org/officeDocument/2006/relationships/hyperlink" Id="rId325" Target="https://doi.org/10.3389/fpsyg.2013.00863" TargetMode="External" /><Relationship Type="http://schemas.openxmlformats.org/officeDocument/2006/relationships/hyperlink" Id="rId406" Target="https://doi.org/10.3390/app14198884" TargetMode="External" /><Relationship Type="http://schemas.openxmlformats.org/officeDocument/2006/relationships/hyperlink" Id="rId332" Target="https://doi.org/10.3390/e23010018" TargetMode="External" /><Relationship Type="http://schemas.openxmlformats.org/officeDocument/2006/relationships/hyperlink" Id="rId232" Target="https://doi.org/10.3390/electronics13112198" TargetMode="External" /><Relationship Type="http://schemas.openxmlformats.org/officeDocument/2006/relationships/hyperlink" Id="rId242" Target="https://doi.org/10.3390/electronics8080832" TargetMode="External" /><Relationship Type="http://schemas.openxmlformats.org/officeDocument/2006/relationships/hyperlink" Id="rId208" Target="https://doi.org/10.3390/technologies13030093" TargetMode="External" /><Relationship Type="http://schemas.openxmlformats.org/officeDocument/2006/relationships/hyperlink" Id="rId254" Target="https://doi.org/10.48550/arxiv.1702.08608" TargetMode="External" /><Relationship Type="http://schemas.openxmlformats.org/officeDocument/2006/relationships/hyperlink" Id="rId340" Target="https://doi.org/10.48550/arxiv.1705.07874" TargetMode="External" /><Relationship Type="http://schemas.openxmlformats.org/officeDocument/2006/relationships/hyperlink" Id="rId398" Target="https://doi.org/10.65109/vllw9552" TargetMode="External" /><Relationship Type="http://schemas.openxmlformats.org/officeDocument/2006/relationships/hyperlink" Id="rId448" Target="https://trustai4s-lab.github.io/ffidelity" TargetMode="External" /><Relationship Type="http://schemas.openxmlformats.org/officeDocument/2006/relationships/hyperlink" Id="rId252" Target="https://www.jmlr.org/papers/v7/demsar06a.html" TargetMode="External" /><Relationship Type="http://schemas.openxmlformats.org/officeDocument/2006/relationships/hyperlink" Id="rId416" Target="https://www.rand.org/pubs/papers/P0295.html" TargetMode="External" /></Relationships>
</file>

<file path=word/_rels/footnotes.xml.rels><?xml version="1.0" encoding="UTF-8"?><Relationships xmlns="http://schemas.openxmlformats.org/package/2006/relationships"><Relationship Type="http://schemas.openxmlformats.org/officeDocument/2006/relationships/hyperlink" Id="rId256" Target="http://archive.ics.uci.edu/ml" TargetMode="External" /><Relationship Type="http://schemas.openxmlformats.org/officeDocument/2006/relationships/hyperlink" Id="rId318" Target="https://archive.ics.uci.edu/dataset/2/adult" TargetMode="External" /><Relationship Type="http://schemas.openxmlformats.org/officeDocument/2006/relationships/hyperlink" Id="rId210" Target="https://arxiv.org/abs/1806.08049" TargetMode="External" /><Relationship Type="http://schemas.openxmlformats.org/officeDocument/2006/relationships/hyperlink" Id="rId371" Target="https://catalog.princeton.edu/catalog/2081365" TargetMode="External" /><Relationship Type="http://schemas.openxmlformats.org/officeDocument/2006/relationships/hyperlink" Id="rId214" Target="https://doi.org/10.1002/widm.1424" TargetMode="External" /><Relationship Type="http://schemas.openxmlformats.org/officeDocument/2006/relationships/hyperlink" Id="rId344" Target="https://doi.org/10.1002/widm.1493" TargetMode="External" /><Relationship Type="http://schemas.openxmlformats.org/officeDocument/2006/relationships/hyperlink" Id="rId410" Target="https://doi.org/10.1007/978-3-030-28954-6" TargetMode="External" /><Relationship Type="http://schemas.openxmlformats.org/officeDocument/2006/relationships/hyperlink" Id="rId357" Target="https://doi.org/10.1007/978-3-030-65965-3_28" TargetMode="External" /><Relationship Type="http://schemas.openxmlformats.org/officeDocument/2006/relationships/hyperlink" Id="rId295" Target="https://doi.org/10.1007/978-3-031-04083-2_2" TargetMode="External" /><Relationship Type="http://schemas.openxmlformats.org/officeDocument/2006/relationships/hyperlink" Id="rId418" Target="https://doi.org/10.1007/978-3-031-63787-2_23" TargetMode="External" /><Relationship Type="http://schemas.openxmlformats.org/officeDocument/2006/relationships/hyperlink" Id="rId346" Target="https://doi.org/10.1007/978-3-031-75387-9_12" TargetMode="External" /><Relationship Type="http://schemas.openxmlformats.org/officeDocument/2006/relationships/hyperlink" Id="rId204" Target="https://doi.org/10.1007/978-3-032-06744-9_14" TargetMode="External" /><Relationship Type="http://schemas.openxmlformats.org/officeDocument/2006/relationships/hyperlink" Id="rId441" Target="https://doi.org/10.1007/978-3-319-57959-7" TargetMode="External" /><Relationship Type="http://schemas.openxmlformats.org/officeDocument/2006/relationships/hyperlink" Id="rId414" Target="https://doi.org/10.1007/s10618-022-00867-8" TargetMode="External" /><Relationship Type="http://schemas.openxmlformats.org/officeDocument/2006/relationships/hyperlink" Id="rId367" Target="https://doi.org/10.1007/s10676-024-09773-7" TargetMode="External" /><Relationship Type="http://schemas.openxmlformats.org/officeDocument/2006/relationships/hyperlink" Id="rId269" Target="https://doi.org/10.1007/s11023-018-9482-5" TargetMode="External" /><Relationship Type="http://schemas.openxmlformats.org/officeDocument/2006/relationships/hyperlink" Id="rId289" Target="https://doi.org/10.1007/s12559-023-10179-8" TargetMode="External" /><Relationship Type="http://schemas.openxmlformats.org/officeDocument/2006/relationships/hyperlink" Id="rId422" Target="https://doi.org/10.1007/s13218-020-00637-y" TargetMode="External" /><Relationship Type="http://schemas.openxmlformats.org/officeDocument/2006/relationships/hyperlink" Id="rId293" Target="https://doi.org/10.1007/s13218-023-00806-9" TargetMode="External" /><Relationship Type="http://schemas.openxmlformats.org/officeDocument/2006/relationships/hyperlink" Id="rId297" Target="https://doi.org/10.1016/j.array.2025.100399" TargetMode="External" /><Relationship Type="http://schemas.openxmlformats.org/officeDocument/2006/relationships/hyperlink" Id="rId348" Target="https://doi.org/10.1016/j.artint.2018.07.007" TargetMode="External" /><Relationship Type="http://schemas.openxmlformats.org/officeDocument/2006/relationships/hyperlink" Id="rId327" Target="https://doi.org/10.1016/j.artint.2021.103473" TargetMode="External" /><Relationship Type="http://schemas.openxmlformats.org/officeDocument/2006/relationships/hyperlink" Id="rId218" Target="https://doi.org/10.1016/j.inffus.2019.12.012" TargetMode="External" /><Relationship Type="http://schemas.openxmlformats.org/officeDocument/2006/relationships/hyperlink" Id="rId202" Target="https://doi.org/10.1016/j.inffus.2023.101805" TargetMode="External" /><Relationship Type="http://schemas.openxmlformats.org/officeDocument/2006/relationships/hyperlink" Id="rId338" Target="https://doi.org/10.1016/j.inffus.2024.102301" TargetMode="External" /><Relationship Type="http://schemas.openxmlformats.org/officeDocument/2006/relationships/hyperlink" Id="rId320" Target="https://doi.org/10.1016/j.jcm.2016.02.012" TargetMode="External" /><Relationship Type="http://schemas.openxmlformats.org/officeDocument/2006/relationships/hyperlink" Id="rId408" Target="https://doi.org/10.1016/j.knosys.2023.110273" TargetMode="External" /><Relationship Type="http://schemas.openxmlformats.org/officeDocument/2006/relationships/hyperlink" Id="rId382" Target="https://doi.org/10.1016/j.neucom.2024.128282" TargetMode="External" /><Relationship Type="http://schemas.openxmlformats.org/officeDocument/2006/relationships/hyperlink" Id="rId234" Target="https://doi.org/10.1023/a:1010933404324" TargetMode="External" /><Relationship Type="http://schemas.openxmlformats.org/officeDocument/2006/relationships/hyperlink" Id="rId379" Target="https://doi.org/10.1038/s41467-022-33417-3" TargetMode="External" /><Relationship Type="http://schemas.openxmlformats.org/officeDocument/2006/relationships/hyperlink" Id="rId199" Target="https://doi.org/10.1038/s41597-023-01974-x" TargetMode="External" /><Relationship Type="http://schemas.openxmlformats.org/officeDocument/2006/relationships/hyperlink" Id="rId404" Target="https://doi.org/10.1038/s42256-019-0048-x" TargetMode="External" /><Relationship Type="http://schemas.openxmlformats.org/officeDocument/2006/relationships/hyperlink" Id="rId365" Target="https://doi.org/10.1073/pnas.1900654116" TargetMode="External" /><Relationship Type="http://schemas.openxmlformats.org/officeDocument/2006/relationships/hyperlink" Id="rId392" Target="https://doi.org/10.1073/pnas.2426766122" TargetMode="External" /><Relationship Type="http://schemas.openxmlformats.org/officeDocument/2006/relationships/hyperlink" Id="rId275" Target="https://doi.org/10.1080/01621459.1937.10503522" TargetMode="External" /><Relationship Type="http://schemas.openxmlformats.org/officeDocument/2006/relationships/hyperlink" Id="rId281" Target="https://doi.org/10.1080/10618600.2014.907095" TargetMode="External" /><Relationship Type="http://schemas.openxmlformats.org/officeDocument/2006/relationships/hyperlink" Id="rId191" Target="https://doi.org/10.1109/INES59045.2023.1030000" TargetMode="External" /><Relationship Type="http://schemas.openxmlformats.org/officeDocument/2006/relationships/hyperlink" Id="rId426" Target="https://doi.org/10.1109/TNNLS.2020.3027314" TargetMode="External" /><Relationship Type="http://schemas.openxmlformats.org/officeDocument/2006/relationships/hyperlink" Id="rId400" Target="https://doi.org/10.1109/TPAMI.2023.3331846" TargetMode="External" /><Relationship Type="http://schemas.openxmlformats.org/officeDocument/2006/relationships/hyperlink" Id="rId195" Target="https://doi.org/10.1109/access.2018.2870052" TargetMode="External" /><Relationship Type="http://schemas.openxmlformats.org/officeDocument/2006/relationships/hyperlink" Id="rId306" Target="https://doi.org/10.1109/access.2025.3546681" TargetMode="External" /><Relationship Type="http://schemas.openxmlformats.org/officeDocument/2006/relationships/hyperlink" Id="rId279" Target="https://doi.org/10.1109/dsaa.2018.00018" TargetMode="External" /><Relationship Type="http://schemas.openxmlformats.org/officeDocument/2006/relationships/hyperlink" Id="rId216" Target="https://doi.org/10.1111/rssb.12377" TargetMode="External" /><Relationship Type="http://schemas.openxmlformats.org/officeDocument/2006/relationships/hyperlink" Id="rId299" Target="https://doi.org/10.1126/science.359.6377.725" TargetMode="External" /><Relationship Type="http://schemas.openxmlformats.org/officeDocument/2006/relationships/hyperlink" Id="rId394" Target="https://doi.org/10.1145/2939672.2939778" TargetMode="External" /><Relationship Type="http://schemas.openxmlformats.org/officeDocument/2006/relationships/hyperlink" Id="rId189" Target="https://doi.org/10.1145/3173574.3174156" TargetMode="External" /><Relationship Type="http://schemas.openxmlformats.org/officeDocument/2006/relationships/hyperlink" Id="rId285" Target="https://doi.org/10.1145/3236009" TargetMode="External" /><Relationship Type="http://schemas.openxmlformats.org/officeDocument/2006/relationships/hyperlink" Id="rId334" Target="https://doi.org/10.1145/3236386.3241340" TargetMode="External" /><Relationship Type="http://schemas.openxmlformats.org/officeDocument/2006/relationships/hyperlink" Id="rId353" Target="https://doi.org/10.1145/3287560.3287574" TargetMode="External" /><Relationship Type="http://schemas.openxmlformats.org/officeDocument/2006/relationships/hyperlink" Id="rId312" Target="https://doi.org/10.1145/3313831.3376219" TargetMode="External" /><Relationship Type="http://schemas.openxmlformats.org/officeDocument/2006/relationships/hyperlink" Id="rId361" Target="https://doi.org/10.1145/3351095.3372850" TargetMode="External" /><Relationship Type="http://schemas.openxmlformats.org/officeDocument/2006/relationships/hyperlink" Id="rId420" Target="https://doi.org/10.1145/3375627.3375830" TargetMode="External" /><Relationship Type="http://schemas.openxmlformats.org/officeDocument/2006/relationships/hyperlink" Id="rId388" Target="https://doi.org/10.1145/3375627.3375850" TargetMode="External" /><Relationship Type="http://schemas.openxmlformats.org/officeDocument/2006/relationships/hyperlink" Id="rId355" Target="https://doi.org/10.1145/3387166" TargetMode="External" /><Relationship Type="http://schemas.openxmlformats.org/officeDocument/2006/relationships/hyperlink" Id="rId308" Target="https://doi.org/10.1145/3527848" TargetMode="External" /><Relationship Type="http://schemas.openxmlformats.org/officeDocument/2006/relationships/hyperlink" Id="rId197" Target="https://doi.org/10.1145/3533381" TargetMode="External" /><Relationship Type="http://schemas.openxmlformats.org/officeDocument/2006/relationships/hyperlink" Id="rId262" Target="https://doi.org/10.1145/3544549.3573832" TargetMode="External" /><Relationship Type="http://schemas.openxmlformats.org/officeDocument/2006/relationships/hyperlink" Id="rId258" Target="https://doi.org/10.1145/3561048" TargetMode="External" /><Relationship Type="http://schemas.openxmlformats.org/officeDocument/2006/relationships/hyperlink" Id="rId303" Target="https://doi.org/10.1145/3571730" TargetMode="External" /><Relationship Type="http://schemas.openxmlformats.org/officeDocument/2006/relationships/hyperlink" Id="rId266" Target="https://doi.org/10.1145/3573900.3591114" TargetMode="External" /><Relationship Type="http://schemas.openxmlformats.org/officeDocument/2006/relationships/hyperlink" Id="rId424" Target="https://doi.org/10.1145/3580305.3599337" TargetMode="External" /><Relationship Type="http://schemas.openxmlformats.org/officeDocument/2006/relationships/hyperlink" Id="rId369" Target="https://doi.org/10.1145/3583558" TargetMode="External" /><Relationship Type="http://schemas.openxmlformats.org/officeDocument/2006/relationships/hyperlink" Id="rId323" Target="https://doi.org/10.1145/3592307.3592342" TargetMode="External" /><Relationship Type="http://schemas.openxmlformats.org/officeDocument/2006/relationships/hyperlink" Id="rId437" Target="https://doi.org/10.1145/3599974" TargetMode="External" /><Relationship Type="http://schemas.openxmlformats.org/officeDocument/2006/relationships/hyperlink" Id="rId283" Target="https://doi.org/10.1145/3605098.3636109" TargetMode="External" /><Relationship Type="http://schemas.openxmlformats.org/officeDocument/2006/relationships/hyperlink" Id="rId351" Target="https://doi.org/10.1145/3607947.3608059" TargetMode="External" /><Relationship Type="http://schemas.openxmlformats.org/officeDocument/2006/relationships/hyperlink" Id="rId359" Target="https://doi.org/10.1145/3610064" TargetMode="External" /><Relationship Type="http://schemas.openxmlformats.org/officeDocument/2006/relationships/hyperlink" Id="rId376" Target="https://doi.org/10.1145/3613904.3642352" TargetMode="External" /><Relationship Type="http://schemas.openxmlformats.org/officeDocument/2006/relationships/hyperlink" Id="rId315" Target="https://doi.org/10.1145/3613905.3638184" TargetMode="External" /><Relationship Type="http://schemas.openxmlformats.org/officeDocument/2006/relationships/hyperlink" Id="rId277" Target="https://doi.org/10.1145/3626203.3670522" TargetMode="External" /><Relationship Type="http://schemas.openxmlformats.org/officeDocument/2006/relationships/hyperlink" Id="rId230" Target="https://doi.org/10.1145/3631700.3664911" TargetMode="External" /><Relationship Type="http://schemas.openxmlformats.org/officeDocument/2006/relationships/hyperlink" Id="rId301" Target="https://doi.org/10.1145/3631908.3631925" TargetMode="External" /><Relationship Type="http://schemas.openxmlformats.org/officeDocument/2006/relationships/hyperlink" Id="rId248" Target="https://doi.org/10.1145/3638380.3638426" TargetMode="External" /><Relationship Type="http://schemas.openxmlformats.org/officeDocument/2006/relationships/hyperlink" Id="rId433" Target="https://doi.org/10.1145/3643491.3660292" TargetMode="External" /><Relationship Type="http://schemas.openxmlformats.org/officeDocument/2006/relationships/hyperlink" Id="rId228" Target="https://doi.org/10.1145/3643834.3660722" TargetMode="External" /><Relationship Type="http://schemas.openxmlformats.org/officeDocument/2006/relationships/hyperlink" Id="rId342" Target="https://doi.org/10.1145/3647444.3647912" TargetMode="External" /><Relationship Type="http://schemas.openxmlformats.org/officeDocument/2006/relationships/hyperlink" Id="rId220" Target="https://doi.org/10.1145/3649144" TargetMode="External" /><Relationship Type="http://schemas.openxmlformats.org/officeDocument/2006/relationships/hyperlink" Id="rId310" Target="https://doi.org/10.1145/3651593" TargetMode="External" /><Relationship Type="http://schemas.openxmlformats.org/officeDocument/2006/relationships/hyperlink" Id="rId226" Target="https://doi.org/10.1145/3670685" TargetMode="External" /><Relationship Type="http://schemas.openxmlformats.org/officeDocument/2006/relationships/hyperlink" Id="rId236" Target="https://doi.org/10.1145/3672359.3672363" TargetMode="External" /><Relationship Type="http://schemas.openxmlformats.org/officeDocument/2006/relationships/hyperlink" Id="rId412" Target="https://doi.org/10.1145/3677374" TargetMode="External" /><Relationship Type="http://schemas.openxmlformats.org/officeDocument/2006/relationships/hyperlink" Id="rId386" Target="https://doi.org/10.1145/3678884.3682046" TargetMode="External" /><Relationship Type="http://schemas.openxmlformats.org/officeDocument/2006/relationships/hyperlink" Id="rId260" Target="https://doi.org/10.1145/3686169.3686185" TargetMode="External" /><Relationship Type="http://schemas.openxmlformats.org/officeDocument/2006/relationships/hyperlink" Id="rId250" Target="https://doi.org/10.1145/3702038.3702093" TargetMode="External" /><Relationship Type="http://schemas.openxmlformats.org/officeDocument/2006/relationships/hyperlink" Id="rId363" Target="https://doi.org/10.1145/3704522.3704524" TargetMode="External" /><Relationship Type="http://schemas.openxmlformats.org/officeDocument/2006/relationships/hyperlink" Id="rId435" Target="https://doi.org/10.1145/3705724" TargetMode="External" /><Relationship Type="http://schemas.openxmlformats.org/officeDocument/2006/relationships/hyperlink" Id="rId373" Target="https://doi.org/10.1145/3711123" TargetMode="External" /><Relationship Type="http://schemas.openxmlformats.org/officeDocument/2006/relationships/hyperlink" Id="rId240" Target="https://doi.org/10.1145/3737445" TargetMode="External" /><Relationship Type="http://schemas.openxmlformats.org/officeDocument/2006/relationships/hyperlink" Id="rId206" Target="https://doi.org/10.1146/annurev-statistics-040120-030919" TargetMode="External" /><Relationship Type="http://schemas.openxmlformats.org/officeDocument/2006/relationships/hyperlink" Id="rId246" Target="https://doi.org/10.1177/001316446002000104" TargetMode="External" /><Relationship Type="http://schemas.openxmlformats.org/officeDocument/2006/relationships/hyperlink" Id="rId430" Target="https://doi.org/10.1201/9781003442509" TargetMode="External" /><Relationship Type="http://schemas.openxmlformats.org/officeDocument/2006/relationships/hyperlink" Id="rId271" Target="https://doi.org/10.1214/07-aoas148" TargetMode="External" /><Relationship Type="http://schemas.openxmlformats.org/officeDocument/2006/relationships/hyperlink" Id="rId402" Target="https://doi.org/10.1214/21-ss133" TargetMode="External" /><Relationship Type="http://schemas.openxmlformats.org/officeDocument/2006/relationships/hyperlink" Id="rId273" Target="https://doi.org/10.1214/aos/1013203451" TargetMode="External" /><Relationship Type="http://schemas.openxmlformats.org/officeDocument/2006/relationships/hyperlink" Id="rId396" Target="https://doi.org/10.1609/aaai.v32i1.11491" TargetMode="External" /><Relationship Type="http://schemas.openxmlformats.org/officeDocument/2006/relationships/hyperlink" Id="rId428" Target="https://doi.org/10.1609/aaai.v34i04.6064" TargetMode="External" /><Relationship Type="http://schemas.openxmlformats.org/officeDocument/2006/relationships/hyperlink" Id="rId212" Target="https://doi.org/10.1609/aimag.v35i4.2513" TargetMode="External" /><Relationship Type="http://schemas.openxmlformats.org/officeDocument/2006/relationships/hyperlink" Id="rId439" Target="https://doi.org/10.1613/jair.1.13283" TargetMode="External" /><Relationship Type="http://schemas.openxmlformats.org/officeDocument/2006/relationships/hyperlink" Id="rId384" Target="https://doi.org/10.1613/jair.1.14888" TargetMode="External" /><Relationship Type="http://schemas.openxmlformats.org/officeDocument/2006/relationships/hyperlink" Id="rId287" Target="https://doi.org/10.18653/v1/2020.acl-main.491" TargetMode="External" /><Relationship Type="http://schemas.openxmlformats.org/officeDocument/2006/relationships/hyperlink" Id="rId222" Target="https://doi.org/10.18653/v1/2020.blackboxnlp-1.14" TargetMode="External" /><Relationship Type="http://schemas.openxmlformats.org/officeDocument/2006/relationships/hyperlink" Id="rId238" Target="https://doi.org/10.18653/v1/2023.emnlp-main.792" TargetMode="External" /><Relationship Type="http://schemas.openxmlformats.org/officeDocument/2006/relationships/hyperlink" Id="rId443" Target="https://doi.org/10.2139/ssrn.3063289" TargetMode="External" /><Relationship Type="http://schemas.openxmlformats.org/officeDocument/2006/relationships/hyperlink" Id="rId193" Target="https://doi.org/10.2139/ssrn.4710037" TargetMode="External" /><Relationship Type="http://schemas.openxmlformats.org/officeDocument/2006/relationships/hyperlink" Id="rId244" Target="https://doi.org/10.2139/ssrn.5040613" TargetMode="External" /><Relationship Type="http://schemas.openxmlformats.org/officeDocument/2006/relationships/hyperlink" Id="rId264" Target="https://doi.org/10.2139/ssrn.6847479" TargetMode="External" /><Relationship Type="http://schemas.openxmlformats.org/officeDocument/2006/relationships/hyperlink" Id="rId446" Target="https://doi.org/10.2307/3001968" TargetMode="External" /><Relationship Type="http://schemas.openxmlformats.org/officeDocument/2006/relationships/hyperlink" Id="rId329" Target="https://doi.org/10.24963/ijcai.2019/388" TargetMode="External" /><Relationship Type="http://schemas.openxmlformats.org/officeDocument/2006/relationships/hyperlink" Id="rId224" Target="https://doi.org/10.3389/fdata.2021.688969" TargetMode="External" /><Relationship Type="http://schemas.openxmlformats.org/officeDocument/2006/relationships/hyperlink" Id="rId325" Target="https://doi.org/10.3389/fpsyg.2013.00863" TargetMode="External" /><Relationship Type="http://schemas.openxmlformats.org/officeDocument/2006/relationships/hyperlink" Id="rId406" Target="https://doi.org/10.3390/app14198884" TargetMode="External" /><Relationship Type="http://schemas.openxmlformats.org/officeDocument/2006/relationships/hyperlink" Id="rId332" Target="https://doi.org/10.3390/e23010018" TargetMode="External" /><Relationship Type="http://schemas.openxmlformats.org/officeDocument/2006/relationships/hyperlink" Id="rId232" Target="https://doi.org/10.3390/electronics13112198" TargetMode="External" /><Relationship Type="http://schemas.openxmlformats.org/officeDocument/2006/relationships/hyperlink" Id="rId242" Target="https://doi.org/10.3390/electronics8080832" TargetMode="External" /><Relationship Type="http://schemas.openxmlformats.org/officeDocument/2006/relationships/hyperlink" Id="rId208" Target="https://doi.org/10.3390/technologies13030093" TargetMode="External" /><Relationship Type="http://schemas.openxmlformats.org/officeDocument/2006/relationships/hyperlink" Id="rId254" Target="https://doi.org/10.48550/arxiv.1702.08608" TargetMode="External" /><Relationship Type="http://schemas.openxmlformats.org/officeDocument/2006/relationships/hyperlink" Id="rId340" Target="https://doi.org/10.48550/arxiv.1705.07874" TargetMode="External" /><Relationship Type="http://schemas.openxmlformats.org/officeDocument/2006/relationships/hyperlink" Id="rId398" Target="https://doi.org/10.65109/vllw9552" TargetMode="External" /><Relationship Type="http://schemas.openxmlformats.org/officeDocument/2006/relationships/hyperlink" Id="rId448" Target="https://trustai4s-lab.github.io/ffidelity" TargetMode="External" /><Relationship Type="http://schemas.openxmlformats.org/officeDocument/2006/relationships/hyperlink" Id="rId252" Target="https://www.jmlr.org/papers/v7/demsar06a.html" TargetMode="External" /><Relationship Type="http://schemas.openxmlformats.org/officeDocument/2006/relationships/hyperlink" Id="rId416" Target="https://www.rand.org/pubs/papers/P0295.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para la Evaluación Multinivel de la Explicabilidad en IA</dc:title>
  <dc:creator>J. Herrera</dc:creator>
  <cp:keywords/>
  <dcterms:created xsi:type="dcterms:W3CDTF">2026-08-29T22:42:04Z</dcterms:created>
  <dcterms:modified xsi:type="dcterms:W3CDTF">2026-08-29T22:42:04Z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Table of contents</vt:lpwstr>
  </property>
</Properties>
</file>