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7.png" ContentType="image/png"/>
  <Override PartName="/word/media/rId143.png" ContentType="image/png"/>
  <Override PartName="/word/media/rId139.png" ContentType="image/png"/>
  <Override PartName="/word/media/rId135.png" ContentType="image/png"/>
  <Override PartName="/word/media/rId151.png" ContentType="image/png"/>
  <Override PartName="/word/media/rId131.png" ContentType="image/png"/>
  <Override PartName="/word/media/rId15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d4db8fd8c75f6eeae189ca7ea2f0e5516ff7a06"/>
    <w:p>
      <w:pPr>
        <w:pStyle w:val="Ttulo1"/>
        <w:spacing w:line="360" w:lineRule="auto"/>
        <w:jc w:val="both"/>
      </w:pPr>
      <w:r>
        <w:t xml:space="preserve">Arquitectura Agnóstica para la Interpretabilidad de Modelos de Inteligencia Artificial de Caja Negra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p>
      <w:pPr>
        <w:spacing w:line="360" w:lineRule="auto"/>
        <w:jc w:val="both"/>
      </w:pPr>
      <w:r>
        <w:br w:type="page"/>
      </w:r>
    </w:p>
    <w:bookmarkEnd w:id="25"/>
    <w:bookmarkStart w:id="26"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6"/>
    <w:bookmarkStart w:id="27"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7"/>
    <w:bookmarkStart w:id="28"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8"/>
    <w:bookmarkStart w:id="29"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9"/>
    <w:bookmarkStart w:id="30"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30"/>
    <w:bookmarkStart w:id="47"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1"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1"/>
    <w:bookmarkStart w:id="32"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and Zhang 2023)</w:t>
      </w:r>
      <w:r>
        <w:t xml:space="preserve">, en la auditoría de sesgos en sistemas de clasificación de texto</w:t>
      </w:r>
      <w:r>
        <w:t xml:space="preserve"> </w:t>
      </w:r>
      <w:r>
        <w:t xml:space="preserve">(Muntasir and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and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and Thangarajah 2024; Hosseini and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2"/>
    <w:bookmarkStart w:id="38" w:name="objetivos-e-hipótesis"/>
    <w:p>
      <w:pPr>
        <w:pStyle w:val="Ttulo2"/>
        <w:spacing w:line="360" w:lineRule="auto"/>
        <w:jc w:val="both"/>
      </w:pPr>
      <w:r>
        <w:t xml:space="preserve">Objetivos e hipótesis</w:t>
      </w:r>
    </w:p>
    <w:bookmarkStart w:id="33"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3"/>
    <w:bookmarkStart w:id="34"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4"/>
    <w:bookmarkStart w:id="36" w:name="nomenclatura-de-los-estudios"/>
    <w:p>
      <w:pPr>
        <w:pStyle w:val="Ttulo3"/>
        <w:spacing w:line="360" w:lineRule="auto"/>
        <w:jc w:val="both"/>
      </w:pP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tblLayout w:type="fixed"/>
        <w:tblLook w:firstRow="0" w:lastRow="0" w:firstColumn="0" w:lastColumn="0" w:noHBand="0" w:noVBand="0" w:val="0000"/>
      </w:tblPr>
      <w:tblGrid>
        <w:gridCol w:w="7920"/>
      </w:tblGrid>
      <w:tr>
        <w:tc>
          <w:tcPr/>
          <w:bookmarkStart w:id="35" w:name="tbl-estudios"/>
          <w:p>
            <w:pPr>
              <w:jc w:val="both"/>
              <w:spacing w:line="360" w:lineRule="auto"/>
            </w:pPr>
            <w:pPr>
              <w:jc w:val="left"/>
              <w:spacing w:before="200"/>
              <w:pStyle w:val="ImageCaption"/>
            </w:pPr>
            <w:r>
              <w:t xml:space="preserve">Table 2.1: Nomenclatura, alcance y trazabilidad de los cuatro estudios.</w:t>
            </w:r>
          </w:p>
          <w:tbl>
            <w:tblPr>
              <w:tblStyle w:val="Table"/>
              <w:tblW w:type="pct" w:w="5000"/>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t xml:space="preserve">Estudio</w:t>
                  </w:r>
                </w:p>
              </w:tc>
              <w:tc>
                <w:tcPr/>
                <w:p>
                  <w:pPr>
                    <w:pStyle w:val="Compact"/>
                    <w:jc w:val="both"/>
                    <w:jc w:val="center"/>
                    <w:spacing w:line="360" w:lineRule="auto"/>
                  </w:pPr>
                  <w:r>
                    <w:t xml:space="preserve">Pregunta que responde</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5"/>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6"/>
    <w:bookmarkStart w:id="37"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7"/>
    <w:bookmarkEnd w:id="38"/>
    <w:bookmarkStart w:id="46" w:name="metodología-general-de-la-investigación"/>
    <w:p>
      <w:pPr>
        <w:pStyle w:val="Ttulo2"/>
        <w:spacing w:line="360" w:lineRule="auto"/>
        <w:jc w:val="both"/>
      </w:pPr>
      <w:r>
        <w:t xml:space="preserve">Metodología general de la investigación</w:t>
      </w:r>
    </w:p>
    <w:bookmarkStart w:id="39"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9"/>
    <w:bookmarkStart w:id="40" w:name="tipo-de-investigación"/>
    <w:p>
      <w:pPr>
        <w:pStyle w:val="Ttulo3"/>
        <w:spacing w:line="360" w:lineRule="auto"/>
        <w:jc w:val="both"/>
      </w:pP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40"/>
    <w:bookmarkStart w:id="41"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1"/>
    <w:bookmarkStart w:id="42"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2"/>
    <w:bookmarkStart w:id="43"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3"/>
    <w:bookmarkStart w:id="44"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4"/>
    <w:bookmarkStart w:id="45"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5"/>
    <w:bookmarkEnd w:id="46"/>
    <w:bookmarkEnd w:id="47"/>
    <w:bookmarkStart w:id="63" w:name="X5df853d312351836bad75f10c25fdcfe7ebc358"/>
    <w:p>
      <w:pPr>
        <w:pStyle w:val="Ttulo1"/>
        <w:spacing w:line="360" w:lineRule="auto"/>
        <w:jc w:val="both"/>
      </w:pPr>
      <w:r>
        <w:t xml:space="preserve">Marco teórico específico / fundamentos conceptuales</w:t>
      </w:r>
    </w:p>
    <w:bookmarkStart w:id="48"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8"/>
    <w:bookmarkStart w:id="49"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and Martinez 2019)</w:t>
      </w:r>
      <w:r>
        <w:t xml:space="preserve">, arquitecturas prototípicas</w:t>
      </w:r>
      <w:r>
        <w:t xml:space="preserve"> </w:t>
      </w:r>
      <w:r>
        <w:t xml:space="preserve">(Hess and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and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9"/>
    <w:bookmarkStart w:id="50"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50"/>
    <w:bookmarkStart w:id="55" w:name="Xa854bcdfe02171eee67e88340a3233edf48569f"/>
    <w:p>
      <w:pPr>
        <w:pStyle w:val="Ttulo2"/>
        <w:spacing w:line="360" w:lineRule="auto"/>
        <w:jc w:val="both"/>
      </w:pPr>
      <w:r>
        <w:t xml:space="preserve">Métodos de explicación evaluados en esta tesis</w:t>
      </w:r>
    </w:p>
    <w:bookmarkStart w:id="51"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1"/>
    <w:bookmarkStart w:id="52"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and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2"/>
    <w:bookmarkStart w:id="53"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3"/>
    <w:bookmarkStart w:id="54"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4"/>
    <w:bookmarkEnd w:id="55"/>
    <w:bookmarkStart w:id="59"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and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6"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6"/>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7"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and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and Carman 2024)</w:t>
      </w:r>
      <w:r>
        <w:t xml:space="preserve">, el diseño de la interfaz que la presenta</w:t>
      </w:r>
      <w:r>
        <w:t xml:space="preserve"> </w:t>
      </w:r>
      <w:r>
        <w:t xml:space="preserve">(Bhat and Long 2024; Alkhateeb and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and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7"/>
    <w:bookmarkStart w:id="58"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8"/>
    <w:bookmarkEnd w:id="59"/>
    <w:bookmarkStart w:id="60"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60"/>
    <w:bookmarkStart w:id="61"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1"/>
    <w:bookmarkStart w:id="62"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2"/>
    <w:bookmarkEnd w:id="63"/>
    <w:bookmarkStart w:id="106"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7"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5"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4"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4"/>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5"/>
    <w:bookmarkStart w:id="66"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6"/>
    <w:bookmarkEnd w:id="67"/>
    <w:bookmarkStart w:id="71" w:name="Xb179eb5e9b7cbdb0e78e991d72b8aeee41d8932"/>
    <w:p>
      <w:pPr>
        <w:pStyle w:val="Ttulo2"/>
        <w:spacing w:line="360" w:lineRule="auto"/>
        <w:jc w:val="both"/>
      </w:pPr>
      <w:r>
        <w:t xml:space="preserve">Conjunto de datos y protocolo de preprocesamiento</w:t>
      </w:r>
    </w:p>
    <w:bookmarkStart w:id="68"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8"/>
    <w:bookmarkStart w:id="69"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9"/>
    <w:bookmarkStart w:id="70"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70"/>
    <w:bookmarkEnd w:id="71"/>
    <w:bookmarkStart w:id="73"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2"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2"/>
    <w:bookmarkEnd w:id="73"/>
    <w:bookmarkStart w:id="76" w:name="Xa1b63f5b80ef9314faeb5aae6b8d7e743e4217a"/>
    <w:p>
      <w:pPr>
        <w:pStyle w:val="Ttulo2"/>
        <w:spacing w:line="360" w:lineRule="auto"/>
        <w:jc w:val="both"/>
      </w:pPr>
      <w:r>
        <w:t xml:space="preserve">Protocolo de muestreo de instancias y configuración de explicadores</w:t>
      </w:r>
    </w:p>
    <w:bookmarkStart w:id="74"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4"/>
    <w:bookmarkStart w:id="75"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5"/>
    <w:bookmarkEnd w:id="76"/>
    <w:bookmarkStart w:id="84"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7"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7"/>
    <w:bookmarkStart w:id="78"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8"/>
    <w:bookmarkStart w:id="79"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9"/>
    <w:bookmarkStart w:id="80"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80"/>
    <w:bookmarkStart w:id="81"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1"/>
    <w:bookmarkStart w:id="83"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82"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2"/>
          <w:p>
            <w:pPr>
              <w:spacing w:line="360" w:lineRule="auto"/>
              <w:jc w:val="both"/>
            </w:pPr>
          </w:p>
        </w:tc>
      </w:tr>
    </w:tbl>
    <w:bookmarkEnd w:id="83"/>
    <w:bookmarkEnd w:id="84"/>
    <w:bookmarkStart w:id="86"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5"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5"/>
          <w:p>
            <w:pPr>
              <w:spacing w:line="360" w:lineRule="auto"/>
              <w:jc w:val="both"/>
            </w:pPr>
          </w:p>
        </w:tc>
      </w:tr>
    </w:tbl>
    <w:bookmarkEnd w:id="86"/>
    <w:bookmarkStart w:id="91" w:name="X70736bc07e73377e919d2c60f119994d057bf14"/>
    <w:p>
      <w:pPr>
        <w:pStyle w:val="Ttulo2"/>
        <w:spacing w:line="360" w:lineRule="auto"/>
        <w:jc w:val="both"/>
      </w:pPr>
      <w:r>
        <w:t xml:space="preserve">Cobertura de artefactos y análisis del impacto de datos faltantes</w:t>
      </w:r>
    </w:p>
    <w:bookmarkStart w:id="89"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7"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7"/>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8"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8"/>
          <w:p>
            <w:pPr>
              <w:spacing w:line="360" w:lineRule="auto"/>
              <w:jc w:val="both"/>
            </w:pPr>
          </w:p>
        </w:tc>
      </w:tr>
    </w:tbl>
    <w:bookmarkEnd w:id="89"/>
    <w:bookmarkStart w:id="90"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90"/>
    <w:bookmarkEnd w:id="91"/>
    <w:bookmarkStart w:id="99" w:name="plan-de-inferencia-estadística"/>
    <w:p>
      <w:pPr>
        <w:pStyle w:val="Ttulo2"/>
        <w:spacing w:line="360" w:lineRule="auto"/>
        <w:jc w:val="both"/>
      </w:pPr>
      <w:r>
        <w:t xml:space="preserve">Plan de inferencia estadística</w:t>
      </w:r>
    </w:p>
    <w:bookmarkStart w:id="92" w:name="Xb1cf6929af397b34ac8b341602720570fd1cf16"/>
    <w:p>
      <w:pPr>
        <w:pStyle w:val="Ttulo3"/>
        <w:spacing w:line="360" w:lineRule="auto"/>
        <w:jc w:val="both"/>
      </w:pP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2"/>
    <w:bookmarkStart w:id="93"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3"/>
    <w:bookmarkStart w:id="94"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4"/>
    <w:bookmarkStart w:id="96"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5"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5"/>
          <w:p>
            <w:pPr>
              <w:spacing w:line="360" w:lineRule="auto"/>
              <w:jc w:val="both"/>
            </w:pPr>
          </w:p>
        </w:tc>
      </w:tr>
    </w:tbl>
    <w:bookmarkEnd w:id="96"/>
    <w:bookmarkStart w:id="98"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7"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7"/>
          <w:p>
            <w:pPr>
              <w:spacing w:line="360" w:lineRule="auto"/>
              <w:jc w:val="both"/>
            </w:pPr>
          </w:p>
        </w:tc>
      </w:tr>
    </w:tbl>
    <w:bookmarkEnd w:id="98"/>
    <w:bookmarkEnd w:id="99"/>
    <w:bookmarkStart w:id="101"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100"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00"/>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1"/>
    <w:bookmarkStart w:id="102"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2"/>
    <w:bookmarkStart w:id="105"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3"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3"/>
    <w:bookmarkStart w:id="104"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4"/>
    <w:bookmarkEnd w:id="105"/>
    <w:bookmarkEnd w:id="106"/>
    <w:bookmarkStart w:id="164"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8"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7"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7"/>
          <w:p>
            <w:pPr>
              <w:spacing w:line="360" w:lineRule="auto"/>
              <w:jc w:val="both"/>
            </w:pPr>
          </w:p>
        </w:tc>
      </w:tr>
    </w:tbl>
    <w:bookmarkEnd w:id="108"/>
    <w:bookmarkStart w:id="114" w:name="sec-estudio-a"/>
    <w:p>
      <w:pPr>
        <w:pStyle w:val="Ttulo2"/>
        <w:spacing w:line="360" w:lineRule="auto"/>
        <w:jc w:val="both"/>
      </w:pPr>
      <w:r>
        <w:t xml:space="preserve">Estudio Omnibus Multimétrico: H1 y H2</w:t>
      </w:r>
    </w:p>
    <w:bookmarkStart w:id="111"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9"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9"/>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10"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10"/>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1"/>
    <w:bookmarkStart w:id="113"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12"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3"/>
    <w:bookmarkEnd w:id="114"/>
    <w:bookmarkStart w:id="118" w:name="sec-estudio-b"/>
    <w:p>
      <w:pPr>
        <w:pStyle w:val="Ttulo2"/>
        <w:spacing w:line="360" w:lineRule="auto"/>
        <w:jc w:val="both"/>
      </w:pP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6"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5"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6"/>
    <w:bookmarkStart w:id="117"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7"/>
    <w:bookmarkEnd w:id="118"/>
    <w:bookmarkStart w:id="120"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9"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20"/>
    <w:bookmarkStart w:id="125"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1"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1"/>
    <w:bookmarkStart w:id="122"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2"/>
    <w:bookmarkStart w:id="123"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3"/>
    <w:bookmarkStart w:id="124"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4"/>
    <w:bookmarkEnd w:id="125"/>
    <w:bookmarkStart w:id="128" w:name="sec-transversal"/>
    <w:p>
      <w:pPr>
        <w:pStyle w:val="Ttulo2"/>
        <w:spacing w:line="360" w:lineRule="auto"/>
        <w:jc w:val="both"/>
      </w:pPr>
      <w:r>
        <w:t xml:space="preserve">Análisis transversal: efecto del modelo base y del tamaño de muestra</w:t>
      </w:r>
    </w:p>
    <w:bookmarkStart w:id="126"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6"/>
    <w:bookmarkStart w:id="127"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7"/>
    <w:bookmarkEnd w:id="128"/>
    <w:bookmarkStart w:id="130"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9"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9"/>
          <w:p>
            <w:pPr>
              <w:spacing w:line="360" w:lineRule="auto"/>
              <w:jc w:val="both"/>
            </w:pPr>
          </w:p>
        </w:tc>
      </w:tr>
    </w:tbl>
    <w:bookmarkEnd w:id="130"/>
    <w:bookmarkStart w:id="159"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4" w:name="fig-estabilidad-coste"/>
          <w:p>
            <w:pPr>
              <w:pStyle w:val="Compact"/>
              <w:jc w:val="both"/>
              <w:spacing w:line="360" w:lineRule="auto"/>
            </w:pPr>
            <w:r>
              <w:drawing>
                <ns2:inline>
                  <ns2:extent cx="5052060" cy="3154709"/>
                  <ns2:effectExtent b="0" l="0" r="0" t="0"/>
                  <ns2:docPr descr="" title="" id="132" name="Picture"/>
                  <ns3:graphic>
                    <ns3:graphicData uri="http://schemas.openxmlformats.org/drawingml/2006/picture">
                      <ns4:pic>
                        <ns4:nvPicPr>
                          <ns4:cNvPr descr="assets/figures/fig_estabilidad_coste_es.png" id="133" name="Picture"/>
                          <ns4:cNvPicPr>
                            <ns3:picLocks noChangeArrowheads="1" noChangeAspect="1"/>
                          </ns4:cNvPicPr>
                        </ns4:nvPicPr>
                        <ns4:blipFill>
                          <ns3:blip ns5:embed="rId13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rrelacion-metricas"/>
          <w:p>
            <w:pPr>
              <w:pStyle w:val="Compact"/>
              <w:jc w:val="both"/>
              <w:spacing w:line="360" w:lineRule="auto"/>
            </w:pPr>
            <w:r>
              <w:drawing>
                <ns2:inline>
                  <ns2:extent cx="5052060" cy="3860951"/>
                  <ns2:effectExtent b="0" l="0" r="0" t="0"/>
                  <ns2:docPr descr="" title="" id="136" name="Picture"/>
                  <ns3:graphic>
                    <ns3:graphicData uri="http://schemas.openxmlformats.org/drawingml/2006/picture">
                      <ns4:pic>
                        <ns4:nvPicPr>
                          <ns4:cNvPr descr="assets/figures/fig_correlacion_metricas_es.png" id="137" name="Picture"/>
                          <ns4:cNvPicPr>
                            <ns3:picLocks noChangeArrowheads="1" noChangeAspect="1"/>
                          </ns4:cNvPicPr>
                        </ns4:nvPicPr>
                        <ns4:blipFill>
                          <ns3:blip ns5:embed="rId135"/>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obertura-exp2"/>
          <w:p>
            <w:pPr>
              <w:pStyle w:val="Compact"/>
              <w:jc w:val="both"/>
              <w:spacing w:line="360" w:lineRule="auto"/>
            </w:pPr>
            <w:r>
              <w:drawing>
                <ns2:inline>
                  <ns2:extent cx="5052060" cy="3412866"/>
                  <ns2:effectExtent b="0" l="0" r="0" t="0"/>
                  <ns2:docPr descr="" title="" id="140" name="Picture"/>
                  <ns3:graphic>
                    <ns3:graphicData uri="http://schemas.openxmlformats.org/drawingml/2006/picture">
                      <ns4:pic>
                        <ns4:nvPicPr>
                          <ns4:cNvPr descr="assets/figures/fig_cobertura_exp2_es.png" id="141" name="Picture"/>
                          <ns4:cNvPicPr>
                            <ns3:picLocks noChangeArrowheads="1" noChangeAspect="1"/>
                          </ns4:cNvPicPr>
                        </ns4:nvPicPr>
                        <ns4:blipFill>
                          <ns3:blip ns5:embed="rId139"/>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cd-diagram"/>
          <w:p>
            <w:pPr>
              <w:pStyle w:val="Compact"/>
              <w:jc w:val="both"/>
              <w:spacing w:line="360" w:lineRule="auto"/>
            </w:pPr>
            <w:r>
              <w:drawing>
                <ns2:inline>
                  <ns2:extent cx="5646420" cy="1801452"/>
                  <ns2:effectExtent b="0" l="0" r="0" t="0"/>
                  <ns2:docPr descr="" title="" id="144" name="Picture"/>
                  <ns3:graphic>
                    <ns3:graphicData uri="http://schemas.openxmlformats.org/drawingml/2006/picture">
                      <ns4:pic>
                        <ns4:nvPicPr>
                          <ns4:cNvPr descr="assets/figures/fig_cd_diagram_es.png" id="145" name="Picture"/>
                          <ns4:cNvPicPr>
                            <ns3:picLocks noChangeArrowheads="1" noChangeAspect="1"/>
                          </ns4:cNvPicPr>
                        </ns4:nvPicPr>
                        <ns4:blipFill>
                          <ns3:blip ns5:embed="rId143"/>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boxplots-metricas"/>
          <w:p>
            <w:pPr>
              <w:pStyle w:val="Compact"/>
              <w:jc w:val="both"/>
              <w:spacing w:line="360" w:lineRule="auto"/>
            </w:pPr>
            <w:r>
              <w:drawing>
                <ns2:inline>
                  <ns2:extent cx="5646420" cy="2662237"/>
                  <ns2:effectExtent b="0" l="0" r="0" t="0"/>
                  <ns2:docPr descr="" title="" id="148" name="Picture"/>
                  <ns3:graphic>
                    <ns3:graphicData uri="http://schemas.openxmlformats.org/drawingml/2006/picture">
                      <ns4:pic>
                        <ns4:nvPicPr>
                          <ns4:cNvPr descr="assets/figures/fig_boxplots_metricas_es.png" id="149" name="Picture"/>
                          <ns4:cNvPicPr>
                            <ns3:picLocks noChangeArrowheads="1" noChangeAspect="1"/>
                          </ns4:cNvPicPr>
                        </ns4:nvPicPr>
                        <ns4:blipFill>
                          <ns3:blip ns5:embed="rId147"/>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diferencias-pareadas"/>
          <w:p>
            <w:pPr>
              <w:pStyle w:val="Compact"/>
              <w:jc w:val="both"/>
              <w:spacing w:line="360" w:lineRule="auto"/>
            </w:pPr>
            <w:r>
              <w:drawing>
                <ns2:inline>
                  <ns2:extent cx="5646420" cy="2357586"/>
                  <ns2:effectExtent b="0" l="0" r="0" t="0"/>
                  <ns2:docPr descr="" title="" id="152" name="Picture"/>
                  <ns3:graphic>
                    <ns3:graphicData uri="http://schemas.openxmlformats.org/drawingml/2006/picture">
                      <ns4:pic>
                        <ns4:nvPicPr>
                          <ns4:cNvPr descr="assets/figures/fig_diferencias_pareadas_es.png" id="153" name="Picture"/>
                          <ns4:cNvPicPr>
                            <ns3:picLocks noChangeArrowheads="1" noChangeAspect="1"/>
                          </ns4:cNvPicPr>
                        </ns4:nvPicPr>
                        <ns4:blipFill>
                          <ns3:blip ns5:embed="rId151"/>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fig-radar-metodos"/>
          <w:p>
            <w:pPr>
              <w:pStyle w:val="Compact"/>
              <w:jc w:val="both"/>
              <w:spacing w:line="360" w:lineRule="auto"/>
            </w:pPr>
            <w:r>
              <w:drawing>
                <ns2:inline>
                  <ns2:extent cx="4160520" cy="3582746"/>
                  <ns2:effectExtent b="0" l="0" r="0" t="0"/>
                  <ns2:docPr descr="" title="" id="156" name="Picture"/>
                  <ns3:graphic>
                    <ns3:graphicData uri="http://schemas.openxmlformats.org/drawingml/2006/picture">
                      <ns4:pic>
                        <ns4:nvPicPr>
                          <ns4:cNvPr descr="assets/figures/fig_radar_metodos_es.png" id="157" name="Picture"/>
                          <ns4:cNvPicPr>
                            <ns3:picLocks noChangeArrowheads="1" noChangeAspect="1"/>
                          </ns4:cNvPicPr>
                        </ns4:nvPicPr>
                        <ns4:blipFill>
                          <ns3:blip ns5:embed="rId155"/>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8"/>
        </w:tc>
      </w:tr>
    </w:tbl>
    <w:bookmarkEnd w:id="159"/>
    <w:bookmarkStart w:id="163" w:name="sec-discusion"/>
    <w:p>
      <w:pPr>
        <w:pStyle w:val="Ttulo2"/>
        <w:spacing w:line="360" w:lineRule="auto"/>
        <w:jc w:val="both"/>
      </w:pPr>
      <w:r>
        <w:t xml:space="preserve">Discusión</w:t>
      </w:r>
    </w:p>
    <w:bookmarkStart w:id="160"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60"/>
    <w:bookmarkStart w:id="161"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1"/>
    <w:bookmarkStart w:id="162"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2"/>
    <w:bookmarkEnd w:id="163"/>
    <w:bookmarkEnd w:id="164"/>
    <w:bookmarkStart w:id="176"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5"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5"/>
    <w:bookmarkStart w:id="166"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6"/>
    <w:bookmarkStart w:id="167"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7"/>
    <w:bookmarkStart w:id="169"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8"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8"/>
          <w:p>
            <w:pPr>
              <w:spacing w:line="360" w:lineRule="auto"/>
              <w:jc w:val="both"/>
            </w:pPr>
          </w:p>
        </w:tc>
      </w:tr>
    </w:tbl>
    <w:bookmarkEnd w:id="169"/>
    <w:bookmarkStart w:id="171"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tblLayout w:type="fixed"/>
        <w:tblLook w:firstRow="0" w:lastRow="0" w:firstColumn="0" w:lastColumn="0" w:noHBand="0" w:noVBand="0" w:val="0000"/>
      </w:tblPr>
      <w:tblGrid>
        <w:gridCol w:w="7920"/>
      </w:tblGrid>
      <w:tr>
        <w:tc>
          <w:tcPr/>
          <w:bookmarkStart w:id="170"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7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1"/>
    <w:bookmarkStart w:id="172"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72"/>
    <w:bookmarkStart w:id="173"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3"/>
    <w:bookmarkStart w:id="175" w:name="sec-exp4-fiabilidad"/>
    <w:p>
      <w:pPr>
        <w:pStyle w:val="Ttulo2"/>
        <w:spacing w:line="360" w:lineRule="auto"/>
        <w:jc w:val="both"/>
      </w:pPr>
      <w:r>
        <w:t xml:space="preserve">Estudio de Fiabilidad Inter-juez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4"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5"/>
    <w:bookmarkEnd w:id="176"/>
    <w:bookmarkStart w:id="192"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9"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7"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7"/>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8"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§sec-taxonomia-brechas,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8"/>
          <w:p>
            <w:pPr>
              <w:spacing w:line="360" w:lineRule="auto"/>
              <w:jc w:val="both"/>
            </w:pPr>
          </w:p>
        </w:tc>
      </w:tr>
    </w:tbl>
    <w:bookmarkEnd w:id="179"/>
    <w:bookmarkStart w:id="183" w:name="sec-contribuciones"/>
    <w:p>
      <w:pPr>
        <w:pStyle w:val="Ttulo2"/>
        <w:spacing w:line="360" w:lineRule="auto"/>
        <w:jc w:val="both"/>
      </w:pPr>
      <w:r>
        <w:t xml:space="preserve">Contribuciones científicas</w:t>
      </w:r>
    </w:p>
    <w:bookmarkStart w:id="180"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80"/>
    <w:bookmarkStart w:id="181"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1"/>
    <w:bookmarkStart w:id="182"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2"/>
    <w:bookmarkEnd w:id="183"/>
    <w:bookmarkStart w:id="185"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4"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4"/>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5"/>
    <w:bookmarkStart w:id="186"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6"/>
    <w:bookmarkStart w:id="189"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7"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7"/>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8"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8"/>
    <w:bookmarkEnd w:id="189"/>
    <w:bookmarkStart w:id="190"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90"/>
    <w:bookmarkStart w:id="191"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1"/>
    <w:bookmarkEnd w:id="192"/>
    <w:bookmarkStart w:id="455" w:name="referencias"/>
    <w:p>
      <w:pPr>
        <w:pStyle w:val="Ttulo1"/>
        <w:spacing w:line="360" w:lineRule="auto"/>
        <w:jc w:val="both"/>
      </w:pPr>
      <w:r>
        <w:t xml:space="preserve">Referencias</w:t>
      </w:r>
    </w:p>
    <w:bookmarkStart w:id="454" w:name="refs"/>
    <w:bookmarkStart w:id="194"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93">
        <w:r>
          <w:rPr>
            <w:rStyle w:val="Hipervnculo"/>
          </w:rPr>
          <w:t xml:space="preserve">https://doi.org/10.1145/3173574.3174156</w:t>
        </w:r>
      </w:hyperlink>
      <w:r>
        <w:t xml:space="preserve">.</w:t>
      </w:r>
    </w:p>
    <w:bookmarkEnd w:id="194"/>
    <w:bookmarkStart w:id="196"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5">
        <w:r>
          <w:rPr>
            <w:rStyle w:val="Hipervnculo"/>
          </w:rPr>
          <w:t xml:space="preserve">https://doi.org/10.1109/INES59045.2023.1030000</w:t>
        </w:r>
      </w:hyperlink>
      <w:r>
        <w:t xml:space="preserve">.</w:t>
      </w:r>
    </w:p>
    <w:bookmarkEnd w:id="196"/>
    <w:bookmarkStart w:id="198" w:name="ref-abusitta2024"/>
    <w:p>
      <w:pPr>
        <w:pStyle w:val="Bibliography"/>
        <w:spacing w:line="360" w:lineRule="auto"/>
        <w:jc w:val="both"/>
      </w:pPr>
      <w:r>
        <w:t xml:space="preserve">Abusitta, Adel, Miles Q. Li, and Benjamin C. M. Fung. 2024.</w:t>
      </w:r>
      <w:r>
        <w:t xml:space="preserve"> </w:t>
      </w:r>
      <w:r>
        <w:rPr>
          <w:i/>
          <w:iCs/>
        </w:rPr>
        <w:t xml:space="preserve">Survey on Explainable Ai: Techniques, Challenges and Open Issues</w:t>
      </w:r>
      <w:r>
        <w:t xml:space="preserve">. Elsevier BV.</w:t>
      </w:r>
      <w:r>
        <w:t xml:space="preserve"> </w:t>
      </w:r>
      <w:hyperlink ns5:id="rId197">
        <w:r>
          <w:rPr>
            <w:rStyle w:val="Hipervnculo"/>
          </w:rPr>
          <w:t xml:space="preserve">https://doi.org/10.2139/ssrn.4710037</w:t>
        </w:r>
      </w:hyperlink>
      <w:r>
        <w:t xml:space="preserve">.</w:t>
      </w:r>
    </w:p>
    <w:bookmarkEnd w:id="198"/>
    <w:bookmarkStart w:id="200"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w:t>
      </w:r>
      <w:r>
        <w:t xml:space="preserve"> </w:t>
      </w:r>
      <w:r>
        <w:t xml:space="preserve">6: 52138–60.</w:t>
      </w:r>
      <w:r>
        <w:t xml:space="preserve"> </w:t>
      </w:r>
      <w:hyperlink ns5:id="rId199">
        <w:r>
          <w:rPr>
            <w:rStyle w:val="Hipervnculo"/>
          </w:rPr>
          <w:t xml:space="preserve">https://doi.org/10.1109/access.2018.2870052</w:t>
        </w:r>
      </w:hyperlink>
      <w:r>
        <w:t xml:space="preserve">.</w:t>
      </w:r>
    </w:p>
    <w:bookmarkEnd w:id="200"/>
    <w:bookmarkStart w:id="202"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 </w:t>
      </w:r>
      <w:r>
        <w:rPr>
          <w:i/>
          <w:iCs/>
        </w:rPr>
        <w:t xml:space="preserve">ACM Computing Surveys</w:t>
      </w:r>
      <w:r>
        <w:t xml:space="preserve"> </w:t>
      </w:r>
      <w:r>
        <w:t xml:space="preserve">55 (7): 1–38.</w:t>
      </w:r>
      <w:r>
        <w:t xml:space="preserve"> </w:t>
      </w:r>
      <w:hyperlink ns5:id="rId201">
        <w:r>
          <w:rPr>
            <w:rStyle w:val="Hipervnculo"/>
          </w:rPr>
          <w:t xml:space="preserve">https://doi.org/10.1145/3533381</w:t>
        </w:r>
      </w:hyperlink>
      <w:r>
        <w:t xml:space="preserve">.</w:t>
      </w:r>
    </w:p>
    <w:bookmarkEnd w:id="202"/>
    <w:bookmarkStart w:id="204" w:name="ref-agarwal2023"/>
    <w:p>
      <w:pPr>
        <w:pStyle w:val="Bibliography"/>
        <w:spacing w:line="360" w:lineRule="auto"/>
        <w:jc w:val="both"/>
      </w:pPr>
      <w:r>
        <w:t xml:space="preserve">Agarwal, Chirag, Owen Queen, Himabindu Lakkaraju, and Marinka Zitnik. 2023.</w:t>
      </w:r>
      <w:r>
        <w:t xml:space="preserve"> </w:t>
      </w:r>
      <w:r>
        <w:t xml:space="preserve">“Evaluating Explainability for Graph Neural Networks.”</w:t>
      </w:r>
      <w:r>
        <w:t xml:space="preserve"> </w:t>
      </w:r>
      <w:r>
        <w:rPr>
          <w:i/>
          <w:iCs/>
        </w:rPr>
        <w:t xml:space="preserve">Scientific Data</w:t>
      </w:r>
      <w:r>
        <w:t xml:space="preserve"> </w:t>
      </w:r>
      <w:r>
        <w:t xml:space="preserve">10 (1).</w:t>
      </w:r>
      <w:r>
        <w:t xml:space="preserve"> </w:t>
      </w:r>
      <w:hyperlink ns5:id="rId203">
        <w:r>
          <w:rPr>
            <w:rStyle w:val="Hipervnculo"/>
          </w:rPr>
          <w:t xml:space="preserve">https://doi.org/10.1038/s41597-023-01974-x</w:t>
        </w:r>
      </w:hyperlink>
      <w:r>
        <w:t xml:space="preserve">.</w:t>
      </w:r>
    </w:p>
    <w:bookmarkEnd w:id="204"/>
    <w:bookmarkStart w:id="20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205"/>
    <w:bookmarkStart w:id="20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w:t>
      </w:r>
      <w:r>
        <w:t xml:space="preserve"> </w:t>
      </w:r>
      <w:r>
        <w:t xml:space="preserve">99: 101805.</w:t>
      </w:r>
      <w:r>
        <w:t xml:space="preserve"> </w:t>
      </w:r>
      <w:hyperlink ns5:id="rId206">
        <w:r>
          <w:rPr>
            <w:rStyle w:val="Hipervnculo"/>
          </w:rPr>
          <w:t xml:space="preserve">https://doi.org/10.1016/j.inffus.2023.101805</w:t>
        </w:r>
      </w:hyperlink>
      <w:r>
        <w:t xml:space="preserve">.</w:t>
      </w:r>
    </w:p>
    <w:bookmarkEnd w:id="207"/>
    <w:bookmarkStart w:id="209" w:name="ref-alkhateeb2025"/>
    <w:p>
      <w:pPr>
        <w:pStyle w:val="Bibliography"/>
        <w:spacing w:line="360" w:lineRule="auto"/>
        <w:jc w:val="both"/>
      </w:pPr>
      <w:r>
        <w:t xml:space="preserve">Alkhateeb, Banan Mohammad, and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8">
        <w:r>
          <w:rPr>
            <w:rStyle w:val="Hipervnculo"/>
          </w:rPr>
          <w:t xml:space="preserve">https://doi.org/10.1007/978-3-032-06744-9_14</w:t>
        </w:r>
      </w:hyperlink>
      <w:r>
        <w:t xml:space="preserve">.</w:t>
      </w:r>
    </w:p>
    <w:bookmarkEnd w:id="209"/>
    <w:bookmarkStart w:id="211"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w:t>
      </w:r>
      <w:r>
        <w:t xml:space="preserve"> </w:t>
      </w:r>
      <w:r>
        <w:t xml:space="preserve">11 (1): 97–121.</w:t>
      </w:r>
      <w:r>
        <w:t xml:space="preserve"> </w:t>
      </w:r>
      <w:hyperlink ns5:id="rId210">
        <w:r>
          <w:rPr>
            <w:rStyle w:val="Hipervnculo"/>
          </w:rPr>
          <w:t xml:space="preserve">https://doi.org/10.1146/annurev-statistics-040120-030919</w:t>
        </w:r>
      </w:hyperlink>
      <w:r>
        <w:t xml:space="preserve">.</w:t>
      </w:r>
    </w:p>
    <w:bookmarkEnd w:id="211"/>
    <w:bookmarkStart w:id="213"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w:t>
      </w:r>
      <w:r>
        <w:t xml:space="preserve"> </w:t>
      </w:r>
      <w:r>
        <w:t xml:space="preserve">13 (3): 93.</w:t>
      </w:r>
      <w:r>
        <w:t xml:space="preserve"> </w:t>
      </w:r>
      <w:hyperlink ns5:id="rId212">
        <w:r>
          <w:rPr>
            <w:rStyle w:val="Hipervnculo"/>
          </w:rPr>
          <w:t xml:space="preserve">https://doi.org/10.3390/technologies13030093</w:t>
        </w:r>
      </w:hyperlink>
      <w:r>
        <w:t xml:space="preserve">.</w:t>
      </w:r>
    </w:p>
    <w:bookmarkEnd w:id="213"/>
    <w:bookmarkStart w:id="215"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14">
        <w:r>
          <w:rPr>
            <w:rStyle w:val="Hipervnculo"/>
          </w:rPr>
          <w:t xml:space="preserve">https://arxiv.org/abs/1806.08049</w:t>
        </w:r>
      </w:hyperlink>
      <w:r>
        <w:t xml:space="preserve">.</w:t>
      </w:r>
    </w:p>
    <w:bookmarkEnd w:id="215"/>
    <w:bookmarkStart w:id="217"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 </w:t>
      </w:r>
      <w:r>
        <w:rPr>
          <w:i/>
          <w:iCs/>
        </w:rPr>
        <w:t xml:space="preserve">AI Magazine</w:t>
      </w:r>
      <w:r>
        <w:t xml:space="preserve"> </w:t>
      </w:r>
      <w:r>
        <w:t xml:space="preserve">35 (4): 105–20.</w:t>
      </w:r>
      <w:r>
        <w:t xml:space="preserve"> </w:t>
      </w:r>
      <w:hyperlink ns5:id="rId216">
        <w:r>
          <w:rPr>
            <w:rStyle w:val="Hipervnculo"/>
          </w:rPr>
          <w:t xml:space="preserve">https://doi.org/10.1609/aimag.v35i4.2513</w:t>
        </w:r>
      </w:hyperlink>
      <w:r>
        <w:t xml:space="preserve">.</w:t>
      </w:r>
    </w:p>
    <w:bookmarkEnd w:id="217"/>
    <w:bookmarkStart w:id="219"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w:t>
      </w:r>
      <w:r>
        <w:t xml:space="preserve"> </w:t>
      </w:r>
      <w:r>
        <w:t xml:space="preserve">11 (5).</w:t>
      </w:r>
      <w:r>
        <w:t xml:space="preserve"> </w:t>
      </w:r>
      <w:hyperlink ns5:id="rId218">
        <w:r>
          <w:rPr>
            <w:rStyle w:val="Hipervnculo"/>
          </w:rPr>
          <w:t xml:space="preserve">https://doi.org/10.1002/widm.1424</w:t>
        </w:r>
      </w:hyperlink>
      <w:r>
        <w:t xml:space="preserve">.</w:t>
      </w:r>
    </w:p>
    <w:bookmarkEnd w:id="219"/>
    <w:bookmarkStart w:id="221"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 </w:t>
      </w:r>
      <w:r>
        <w:rPr>
          <w:i/>
          <w:iCs/>
        </w:rPr>
        <w:t xml:space="preserve">Journal of the Royal Statistical Society Series B (Statistical Methodology)</w:t>
      </w:r>
      <w:r>
        <w:t xml:space="preserve"> </w:t>
      </w:r>
      <w:r>
        <w:t xml:space="preserve">82 (4): 1059–86.</w:t>
      </w:r>
      <w:r>
        <w:t xml:space="preserve"> </w:t>
      </w:r>
      <w:hyperlink ns5:id="rId220">
        <w:r>
          <w:rPr>
            <w:rStyle w:val="Hipervnculo"/>
          </w:rPr>
          <w:t xml:space="preserve">https://doi.org/10.1111/rssb.12377</w:t>
        </w:r>
      </w:hyperlink>
      <w:r>
        <w:t xml:space="preserve">.</w:t>
      </w:r>
    </w:p>
    <w:bookmarkEnd w:id="221"/>
    <w:bookmarkStart w:id="223"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 </w:t>
      </w:r>
      <w:r>
        <w:rPr>
          <w:i/>
          <w:iCs/>
        </w:rPr>
        <w:t xml:space="preserve">Information Fusion</w:t>
      </w:r>
      <w:r>
        <w:t xml:space="preserve"> </w:t>
      </w:r>
      <w:r>
        <w:t xml:space="preserve">58: 82–115.</w:t>
      </w:r>
      <w:r>
        <w:t xml:space="preserve"> </w:t>
      </w:r>
      <w:hyperlink ns5:id="rId222">
        <w:r>
          <w:rPr>
            <w:rStyle w:val="Hipervnculo"/>
          </w:rPr>
          <w:t xml:space="preserve">https://doi.org/10.1016/j.inffus.2019.12.012</w:t>
        </w:r>
      </w:hyperlink>
      <w:r>
        <w:t xml:space="preserve">.</w:t>
      </w:r>
    </w:p>
    <w:bookmarkEnd w:id="223"/>
    <w:bookmarkStart w:id="225" w:name="ref-bacardit2024"/>
    <w:p>
      <w:pPr>
        <w:pStyle w:val="Bibliography"/>
        <w:spacing w:line="360" w:lineRule="auto"/>
        <w:jc w:val="both"/>
      </w:pPr>
      <w:r>
        <w:t xml:space="preserve">Bacardit, Jaume, Alexander Brownlee, Stefano Cagnoni, Giovanni Iacca, John McCall, and David Walker. 2024.</w:t>
      </w:r>
      <w:r>
        <w:t xml:space="preserve"> </w:t>
      </w:r>
      <w:r>
        <w:t xml:space="preserve">“Introduction to the Special Issue on Explainable AI in Evolutionary Computation.”</w:t>
      </w:r>
      <w:r>
        <w:t xml:space="preserve"> </w:t>
      </w:r>
      <w:r>
        <w:rPr>
          <w:i/>
          <w:iCs/>
        </w:rPr>
        <w:t xml:space="preserve">ACM Transactions on Evolutionary Learning and Optimization</w:t>
      </w:r>
      <w:r>
        <w:t xml:space="preserve"> </w:t>
      </w:r>
      <w:r>
        <w:t xml:space="preserve">4 (1): 1–2.</w:t>
      </w:r>
      <w:r>
        <w:t xml:space="preserve"> </w:t>
      </w:r>
      <w:hyperlink ns5:id="rId224">
        <w:r>
          <w:rPr>
            <w:rStyle w:val="Hipervnculo"/>
          </w:rPr>
          <w:t xml:space="preserve">https://doi.org/10.1145/3649144</w:t>
        </w:r>
      </w:hyperlink>
      <w:r>
        <w:t xml:space="preserve">.</w:t>
      </w:r>
    </w:p>
    <w:bookmarkEnd w:id="225"/>
    <w:bookmarkStart w:id="227" w:name="ref-bastings2020"/>
    <w:p>
      <w:pPr>
        <w:pStyle w:val="Bibliography"/>
        <w:spacing w:line="360" w:lineRule="auto"/>
        <w:jc w:val="both"/>
      </w:pPr>
      <w:r>
        <w:t xml:space="preserve">Bastings, Jasmijn, and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6">
        <w:r>
          <w:rPr>
            <w:rStyle w:val="Hipervnculo"/>
          </w:rPr>
          <w:t xml:space="preserve">https://doi.org/10.18653/v1/2020.blackboxnlp-1.14</w:t>
        </w:r>
      </w:hyperlink>
      <w:r>
        <w:t xml:space="preserve">.</w:t>
      </w:r>
    </w:p>
    <w:bookmarkEnd w:id="227"/>
    <w:bookmarkStart w:id="22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w:t>
      </w:r>
      <w:r>
        <w:t xml:space="preserve"> </w:t>
      </w:r>
      <w:r>
        <w:t xml:space="preserve">4.</w:t>
      </w:r>
      <w:r>
        <w:t xml:space="preserve"> </w:t>
      </w:r>
      <w:hyperlink ns5:id="rId228">
        <w:r>
          <w:rPr>
            <w:rStyle w:val="Hipervnculo"/>
          </w:rPr>
          <w:t xml:space="preserve">https://doi.org/10.3389/fdata.2021.688969</w:t>
        </w:r>
      </w:hyperlink>
      <w:r>
        <w:t xml:space="preserve">.</w:t>
      </w:r>
    </w:p>
    <w:bookmarkEnd w:id="229"/>
    <w:bookmarkStart w:id="231"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 </w:t>
      </w:r>
      <w:r>
        <w:rPr>
          <w:i/>
          <w:iCs/>
        </w:rPr>
        <w:t xml:space="preserve">ACM Computing Surveys</w:t>
      </w:r>
      <w:r>
        <w:t xml:space="preserve"> </w:t>
      </w:r>
      <w:r>
        <w:t xml:space="preserve">57 (2): 1–44.</w:t>
      </w:r>
      <w:r>
        <w:t xml:space="preserve"> </w:t>
      </w:r>
      <w:hyperlink ns5:id="rId230">
        <w:r>
          <w:rPr>
            <w:rStyle w:val="Hipervnculo"/>
          </w:rPr>
          <w:t xml:space="preserve">https://doi.org/10.1145/3670685</w:t>
        </w:r>
      </w:hyperlink>
      <w:r>
        <w:t xml:space="preserve">.</w:t>
      </w:r>
    </w:p>
    <w:bookmarkEnd w:id="231"/>
    <w:bookmarkStart w:id="233" w:name="ref-bhat2024"/>
    <w:p>
      <w:pPr>
        <w:pStyle w:val="Bibliography"/>
        <w:spacing w:line="360" w:lineRule="auto"/>
        <w:jc w:val="both"/>
      </w:pPr>
      <w:r>
        <w:t xml:space="preserve">Bhat, Maalvika, and Duri Long. 2024.</w:t>
      </w:r>
      <w:r>
        <w:t xml:space="preserve"> </w:t>
      </w:r>
      <w:r>
        <w:t xml:space="preserve">“Designing Interactive Explainable AI Tools for Algorithmic Literacy and Transparency.”</w:t>
      </w:r>
      <w:r>
        <w:t xml:space="preserve"> </w:t>
      </w:r>
      <w:r>
        <w:rPr>
          <w:i/>
          <w:iCs/>
        </w:rPr>
        <w:t xml:space="preserve">Designing Interactive Systems Conference</w:t>
      </w:r>
      <w:r>
        <w:t xml:space="preserve">, 939–57.</w:t>
      </w:r>
      <w:r>
        <w:t xml:space="preserve"> </w:t>
      </w:r>
      <w:hyperlink ns5:id="rId232">
        <w:r>
          <w:rPr>
            <w:rStyle w:val="Hipervnculo"/>
          </w:rPr>
          <w:t xml:space="preserve">https://doi.org/10.1145/3643834.3660722</w:t>
        </w:r>
      </w:hyperlink>
      <w:r>
        <w:t xml:space="preserve">.</w:t>
      </w:r>
    </w:p>
    <w:bookmarkEnd w:id="233"/>
    <w:bookmarkStart w:id="235"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34">
        <w:r>
          <w:rPr>
            <w:rStyle w:val="Hipervnculo"/>
          </w:rPr>
          <w:t xml:space="preserve">https://doi.org/10.1145/3631700.3664911</w:t>
        </w:r>
      </w:hyperlink>
      <w:r>
        <w:t xml:space="preserve">.</w:t>
      </w:r>
    </w:p>
    <w:bookmarkEnd w:id="235"/>
    <w:bookmarkStart w:id="237" w:name="ref-bobitan2024"/>
    <w:p>
      <w:pPr>
        <w:pStyle w:val="Bibliography"/>
        <w:spacing w:line="360" w:lineRule="auto"/>
        <w:jc w:val="both"/>
      </w:pPr>
      <w:r>
        <w:t xml:space="preserve">Bobitan, Nicolae, Diana Dumitrescu, Adriana Florina Popa, Daniela Nicoleta Sahlian, and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 </w:t>
      </w:r>
      <w:r>
        <w:rPr>
          <w:i/>
          <w:iCs/>
        </w:rPr>
        <w:t xml:space="preserve">Electronics</w:t>
      </w:r>
      <w:r>
        <w:t xml:space="preserve"> </w:t>
      </w:r>
      <w:r>
        <w:t xml:space="preserve">13 (11): 2198.</w:t>
      </w:r>
      <w:r>
        <w:t xml:space="preserve"> </w:t>
      </w:r>
      <w:hyperlink ns5:id="rId236">
        <w:r>
          <w:rPr>
            <w:rStyle w:val="Hipervnculo"/>
          </w:rPr>
          <w:t xml:space="preserve">https://doi.org/10.3390/electronics13112198</w:t>
        </w:r>
      </w:hyperlink>
      <w:r>
        <w:t xml:space="preserve">.</w:t>
      </w:r>
    </w:p>
    <w:bookmarkEnd w:id="237"/>
    <w:bookmarkStart w:id="239"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w:t>
      </w:r>
      <w:r>
        <w:t xml:space="preserve"> </w:t>
      </w:r>
      <w:r>
        <w:t xml:space="preserve">45 (1): 5–32.</w:t>
      </w:r>
      <w:r>
        <w:t xml:space="preserve"> </w:t>
      </w:r>
      <w:hyperlink ns5:id="rId238">
        <w:r>
          <w:rPr>
            <w:rStyle w:val="Hipervnculo"/>
          </w:rPr>
          <w:t xml:space="preserve">https://doi.org/10.1023/a:1010933404324</w:t>
        </w:r>
      </w:hyperlink>
      <w:r>
        <w:t xml:space="preserve">.</w:t>
      </w:r>
    </w:p>
    <w:bookmarkEnd w:id="239"/>
    <w:bookmarkStart w:id="241" w:name="ref-brown2024"/>
    <w:p>
      <w:pPr>
        <w:pStyle w:val="Bibliography"/>
        <w:spacing w:line="360" w:lineRule="auto"/>
        <w:jc w:val="both"/>
      </w:pPr>
      <w:r>
        <w:t xml:space="preserve">Brown, Dene, and Glenn Hawe. 2024.</w:t>
      </w:r>
      <w:r>
        <w:t xml:space="preserve"> </w:t>
      </w:r>
      <w:r>
        <w:t xml:space="preserve">“Exploring Trade-Offs in Explainable AI.”</w:t>
      </w:r>
      <w:r>
        <w:t xml:space="preserve"> </w:t>
      </w:r>
      <w:r>
        <w:rPr>
          <w:i/>
          <w:iCs/>
        </w:rPr>
        <w:t xml:space="preserve">ACM SIGAda Ada Letters</w:t>
      </w:r>
      <w:r>
        <w:t xml:space="preserve"> </w:t>
      </w:r>
      <w:r>
        <w:t xml:space="preserve">43 (2): 36–42.</w:t>
      </w:r>
      <w:r>
        <w:t xml:space="preserve"> </w:t>
      </w:r>
      <w:hyperlink ns5:id="rId240">
        <w:r>
          <w:rPr>
            <w:rStyle w:val="Hipervnculo"/>
          </w:rPr>
          <w:t xml:space="preserve">https://doi.org/10.1145/3672359.3672363</w:t>
        </w:r>
      </w:hyperlink>
      <w:r>
        <w:t xml:space="preserve">.</w:t>
      </w:r>
    </w:p>
    <w:bookmarkEnd w:id="241"/>
    <w:bookmarkStart w:id="243"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42">
        <w:r>
          <w:rPr>
            <w:rStyle w:val="Hipervnculo"/>
          </w:rPr>
          <w:t xml:space="preserve">https://doi.org/10.18653/v1/2023.emnlp-main.792</w:t>
        </w:r>
      </w:hyperlink>
      <w:r>
        <w:t xml:space="preserve">.</w:t>
      </w:r>
    </w:p>
    <w:bookmarkEnd w:id="243"/>
    <w:bookmarkStart w:id="245"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44">
        <w:r>
          <w:rPr>
            <w:rStyle w:val="Hipervnculo"/>
          </w:rPr>
          <w:t xml:space="preserve">https://doi.org/10.1145/3737445</w:t>
        </w:r>
      </w:hyperlink>
      <w:r>
        <w:t xml:space="preserve">.</w:t>
      </w:r>
    </w:p>
    <w:bookmarkEnd w:id="245"/>
    <w:bookmarkStart w:id="247"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46">
        <w:r>
          <w:rPr>
            <w:rStyle w:val="Hipervnculo"/>
          </w:rPr>
          <w:t xml:space="preserve">https://doi.org/10.3390/electronics8080832</w:t>
        </w:r>
      </w:hyperlink>
      <w:r>
        <w:t xml:space="preserve">.</w:t>
      </w:r>
    </w:p>
    <w:bookmarkEnd w:id="247"/>
    <w:bookmarkStart w:id="249" w:name="ref-choudhari2025"/>
    <w:p>
      <w:pPr>
        <w:pStyle w:val="Bibliography"/>
        <w:spacing w:line="360" w:lineRule="auto"/>
        <w:jc w:val="both"/>
      </w:pPr>
      <w:r>
        <w:t xml:space="preserve">Choudhari, Anaya, Tejal Ambhore, and Ninad Mehendale. 2025.</w:t>
      </w:r>
      <w:r>
        <w:t xml:space="preserve"> </w:t>
      </w:r>
      <w:r>
        <w:rPr>
          <w:i/>
          <w:iCs/>
        </w:rPr>
        <w:t xml:space="preserve">Explainable AI: Bridging the Gap Between Machine Intelligence and Human Understanding</w:t>
      </w:r>
      <w:r>
        <w:t xml:space="preserve">. Elsevier BV.</w:t>
      </w:r>
      <w:r>
        <w:t xml:space="preserve"> </w:t>
      </w:r>
      <w:hyperlink ns5:id="rId248">
        <w:r>
          <w:rPr>
            <w:rStyle w:val="Hipervnculo"/>
          </w:rPr>
          <w:t xml:space="preserve">https://doi.org/10.2139/ssrn.5040613</w:t>
        </w:r>
      </w:hyperlink>
      <w:r>
        <w:t xml:space="preserve">.</w:t>
      </w:r>
    </w:p>
    <w:bookmarkEnd w:id="249"/>
    <w:bookmarkStart w:id="251" w:name="ref-cohen1960"/>
    <w:p>
      <w:pPr>
        <w:pStyle w:val="Bibliography"/>
        <w:spacing w:line="360" w:lineRule="auto"/>
        <w:jc w:val="both"/>
      </w:pPr>
      <w:r>
        <w:t xml:space="preserve">Cohen, J.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ns5:id="rId250">
        <w:r>
          <w:rPr>
            <w:rStyle w:val="Hipervnculo"/>
          </w:rPr>
          <w:t xml:space="preserve">https://doi.org/10.1177/001316446002000104</w:t>
        </w:r>
      </w:hyperlink>
      <w:r>
        <w:t xml:space="preserve">.</w:t>
      </w:r>
    </w:p>
    <w:bookmarkEnd w:id="251"/>
    <w:bookmarkStart w:id="253" w:name="ref-colley2023"/>
    <w:p>
      <w:pPr>
        <w:pStyle w:val="Bibliography"/>
        <w:spacing w:line="360" w:lineRule="auto"/>
        <w:jc w:val="both"/>
      </w:pPr>
      <w:r>
        <w:t xml:space="preserve">Colley, Ashley, Matilda Kalving, Jonna Häkkilä, and Kaisa Väänänen. 2023.</w:t>
      </w:r>
      <w:r>
        <w:t xml:space="preserve"> </w:t>
      </w:r>
      <w:r>
        <w:t xml:space="preserve">“Exploring Tangible Explainable AI (TangXAI): A User Study of Two XAI Approaches.”</w:t>
      </w:r>
      <w:r>
        <w:t xml:space="preserve"> </w:t>
      </w:r>
      <w:r>
        <w:rPr>
          <w:i/>
          <w:iCs/>
        </w:rPr>
        <w:t xml:space="preserve">Proceedings of the 35th Australian Computer-Human Interaction Conference</w:t>
      </w:r>
      <w:r>
        <w:t xml:space="preserve">, 679–83.</w:t>
      </w:r>
      <w:r>
        <w:t xml:space="preserve"> </w:t>
      </w:r>
      <w:hyperlink ns5:id="rId252">
        <w:r>
          <w:rPr>
            <w:rStyle w:val="Hipervnculo"/>
          </w:rPr>
          <w:t xml:space="preserve">https://doi.org/10.1145/3638380.3638426</w:t>
        </w:r>
      </w:hyperlink>
      <w:r>
        <w:t xml:space="preserve">.</w:t>
      </w:r>
    </w:p>
    <w:bookmarkEnd w:id="253"/>
    <w:bookmarkStart w:id="255" w:name="ref-cunha2024"/>
    <w:p>
      <w:pPr>
        <w:pStyle w:val="Bibliography"/>
        <w:spacing w:line="360" w:lineRule="auto"/>
        <w:jc w:val="both"/>
      </w:pPr>
      <w:r>
        <w:t xml:space="preserve">Cunha, Bianca Moreira, and Simone Diniz Junqueira Barbosa. 2024.</w:t>
      </w:r>
      <w:r>
        <w:t xml:space="preserve"> </w:t>
      </w:r>
      <w:r>
        <w:t xml:space="preserve">“Evaluating the Effectiveness of Visual Representations of SHAP Values Toward Explainable Artificial Intelligence.”</w:t>
      </w:r>
      <w:r>
        <w:t xml:space="preserve"> </w:t>
      </w:r>
      <w:r>
        <w:rPr>
          <w:i/>
          <w:iCs/>
        </w:rPr>
        <w:t xml:space="preserve">Proceedings of the XXIII Brazilian Symposium on Human Factors in Computing Systems</w:t>
      </w:r>
      <w:r>
        <w:t xml:space="preserve">, 1–11.</w:t>
      </w:r>
      <w:r>
        <w:t xml:space="preserve"> </w:t>
      </w:r>
      <w:hyperlink ns5:id="rId254">
        <w:r>
          <w:rPr>
            <w:rStyle w:val="Hipervnculo"/>
          </w:rPr>
          <w:t xml:space="preserve">https://doi.org/10.1145/3702038.3702093</w:t>
        </w:r>
      </w:hyperlink>
      <w:r>
        <w:t xml:space="preserve">.</w:t>
      </w:r>
    </w:p>
    <w:bookmarkEnd w:id="255"/>
    <w:bookmarkStart w:id="257"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56">
        <w:r>
          <w:rPr>
            <w:rStyle w:val="Hipervnculo"/>
          </w:rPr>
          <w:t xml:space="preserve">https://www.jmlr.org/papers/v7/demsar06a.html</w:t>
        </w:r>
      </w:hyperlink>
      <w:r>
        <w:t xml:space="preserve">.</w:t>
      </w:r>
    </w:p>
    <w:bookmarkEnd w:id="257"/>
    <w:bookmarkStart w:id="259"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58">
        <w:r>
          <w:rPr>
            <w:rStyle w:val="Hipervnculo"/>
          </w:rPr>
          <w:t xml:space="preserve">https://doi.org/10.48550/arxiv.1702.08608</w:t>
        </w:r>
      </w:hyperlink>
      <w:r>
        <w:t xml:space="preserve">.</w:t>
      </w:r>
    </w:p>
    <w:bookmarkEnd w:id="259"/>
    <w:bookmarkStart w:id="261"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60">
        <w:r>
          <w:rPr>
            <w:rStyle w:val="Hipervnculo"/>
          </w:rPr>
          <w:t xml:space="preserve">http://archive.ics.uci.edu/ml</w:t>
        </w:r>
      </w:hyperlink>
      <w:r>
        <w:t xml:space="preserve">.</w:t>
      </w:r>
    </w:p>
    <w:bookmarkEnd w:id="261"/>
    <w:bookmarkStart w:id="263"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 </w:t>
      </w:r>
      <w:r>
        <w:rPr>
          <w:i/>
          <w:iCs/>
        </w:rPr>
        <w:t xml:space="preserve">ACM Computing Surveys</w:t>
      </w:r>
      <w:r>
        <w:t xml:space="preserve"> </w:t>
      </w:r>
      <w:r>
        <w:t xml:space="preserve">55 (9): 1–33.</w:t>
      </w:r>
      <w:r>
        <w:t xml:space="preserve"> </w:t>
      </w:r>
      <w:hyperlink ns5:id="rId262">
        <w:r>
          <w:rPr>
            <w:rStyle w:val="Hipervnculo"/>
          </w:rPr>
          <w:t xml:space="preserve">https://doi.org/10.1145/3561048</w:t>
        </w:r>
      </w:hyperlink>
      <w:r>
        <w:t xml:space="preserve">.</w:t>
      </w:r>
    </w:p>
    <w:bookmarkEnd w:id="263"/>
    <w:bookmarkStart w:id="265" w:name="ref-ehsan2024"/>
    <w:p>
      <w:pPr>
        <w:pStyle w:val="Bibliography"/>
        <w:spacing w:line="360" w:lineRule="auto"/>
        <w:jc w:val="both"/>
      </w:pPr>
      <w:r>
        <w:t xml:space="preserve">Ehsan, Upol, and Mark Riedl. 2024.</w:t>
      </w:r>
      <w:r>
        <w:t xml:space="preserve"> </w:t>
      </w:r>
      <w:r>
        <w:t xml:space="preserve">“Explainable AI Reloaded: Challenging the XAI Status Quo in the Era of Large Language Models.”</w:t>
      </w:r>
      <w:r>
        <w:t xml:space="preserve"> </w:t>
      </w:r>
      <w:r>
        <w:rPr>
          <w:i/>
          <w:iCs/>
        </w:rPr>
        <w:t xml:space="preserve">Proceedings of the Halfway to the Future Symposium</w:t>
      </w:r>
      <w:r>
        <w:t xml:space="preserve">, 1–8.</w:t>
      </w:r>
      <w:r>
        <w:t xml:space="preserve"> </w:t>
      </w:r>
      <w:hyperlink ns5:id="rId264">
        <w:r>
          <w:rPr>
            <w:rStyle w:val="Hipervnculo"/>
          </w:rPr>
          <w:t xml:space="preserve">https://doi.org/10.1145/3686169.3686185</w:t>
        </w:r>
      </w:hyperlink>
      <w:r>
        <w:t xml:space="preserve">.</w:t>
      </w:r>
    </w:p>
    <w:bookmarkEnd w:id="265"/>
    <w:bookmarkStart w:id="267"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 </w:t>
      </w:r>
      <w:r>
        <w:rPr>
          <w:i/>
          <w:iCs/>
        </w:rPr>
        <w:t xml:space="preserve">Extended Abstracts of the 2023 CHI Conference on Human Factors in Computing Systems</w:t>
      </w:r>
      <w:r>
        <w:t xml:space="preserve">, 1–7.</w:t>
      </w:r>
      <w:r>
        <w:t xml:space="preserve"> </w:t>
      </w:r>
      <w:hyperlink ns5:id="rId266">
        <w:r>
          <w:rPr>
            <w:rStyle w:val="Hipervnculo"/>
          </w:rPr>
          <w:t xml:space="preserve">https://doi.org/10.1145/3544549.3573832</w:t>
        </w:r>
      </w:hyperlink>
      <w:r>
        <w:t xml:space="preserve">.</w:t>
      </w:r>
    </w:p>
    <w:bookmarkEnd w:id="267"/>
    <w:bookmarkStart w:id="269" w:name="ref-fan2026"/>
    <w:p>
      <w:pPr>
        <w:pStyle w:val="Bibliography"/>
        <w:spacing w:line="360" w:lineRule="auto"/>
        <w:jc w:val="both"/>
      </w:pPr>
      <w:r>
        <w:t xml:space="preserve">Fan, Siyuan, Derui Zhu, and Zhe Yu. 2026.</w:t>
      </w:r>
      <w:r>
        <w:t xml:space="preserve"> </w:t>
      </w:r>
      <w:r>
        <w:rPr>
          <w:i/>
          <w:iCs/>
        </w:rPr>
        <w:t xml:space="preserve">A Systematic Literature Review of Explainability-Based Model Editing</w:t>
      </w:r>
      <w:r>
        <w:t xml:space="preserve">. Elsevier BV.</w:t>
      </w:r>
      <w:r>
        <w:t xml:space="preserve"> </w:t>
      </w:r>
      <w:hyperlink ns5:id="rId268">
        <w:r>
          <w:rPr>
            <w:rStyle w:val="Hipervnculo"/>
          </w:rPr>
          <w:t xml:space="preserve">https://doi.org/10.2139/ssrn.6847479</w:t>
        </w:r>
      </w:hyperlink>
      <w:r>
        <w:t xml:space="preserve">.</w:t>
      </w:r>
    </w:p>
    <w:bookmarkEnd w:id="269"/>
    <w:bookmarkStart w:id="271" w:name="ref-feldkamp2023"/>
    <w:p>
      <w:pPr>
        <w:pStyle w:val="Bibliography"/>
        <w:spacing w:line="360" w:lineRule="auto"/>
        <w:jc w:val="both"/>
      </w:pPr>
      <w:r>
        <w:t xml:space="preserve">Feldkamp, Niclas, and Steffen Strassburger. 2023.</w:t>
      </w:r>
      <w:r>
        <w:t xml:space="preserve"> </w:t>
      </w:r>
      <w:r>
        <w:t xml:space="preserve">“From Explainable AI to Explainable Simulation: Using Machine Learning and XAI to Understand System Robustness.”</w:t>
      </w:r>
      <w:r>
        <w:t xml:space="preserve"> </w:t>
      </w:r>
      <w:r>
        <w:rPr>
          <w:i/>
          <w:iCs/>
        </w:rPr>
        <w:t xml:space="preserve">ACM SIGSIM Conference on Principles of Advanced Discrete Simulation</w:t>
      </w:r>
      <w:r>
        <w:t xml:space="preserve">, 96–106.</w:t>
      </w:r>
      <w:r>
        <w:t xml:space="preserve"> </w:t>
      </w:r>
      <w:hyperlink ns5:id="rId270">
        <w:r>
          <w:rPr>
            <w:rStyle w:val="Hipervnculo"/>
          </w:rPr>
          <w:t xml:space="preserve">https://doi.org/10.1145/3573900.3591114</w:t>
        </w:r>
      </w:hyperlink>
      <w:r>
        <w:t xml:space="preserve">.</w:t>
      </w:r>
    </w:p>
    <w:bookmarkEnd w:id="271"/>
    <w:bookmarkStart w:id="272" w:name="ref-fisher2019"/>
    <w:p>
      <w:pPr>
        <w:pStyle w:val="Bibliography"/>
        <w:spacing w:line="360" w:lineRule="auto"/>
        <w:jc w:val="both"/>
      </w:pPr>
      <w:r>
        <w:t xml:space="preserve">Fisher, Aaron, Cynthia Rudin, and Francesca Dominici. 2019.</w:t>
      </w:r>
      <w:r>
        <w:t xml:space="preserve"> </w:t>
      </w:r>
      <w:r>
        <w:t xml:space="preserve">“All Models Are Wrong, but Many Are Useful: Learning a Variable’s Importance by Studying an Entire Class of Prediction Models Simultaneously.”</w:t>
      </w:r>
      <w:r>
        <w:t xml:space="preserve"> </w:t>
      </w:r>
      <w:r>
        <w:rPr>
          <w:i/>
          <w:iCs/>
        </w:rPr>
        <w:t xml:space="preserve">Journal of Machine Learning Research</w:t>
      </w:r>
      <w:r>
        <w:t xml:space="preserve">.</w:t>
      </w:r>
    </w:p>
    <w:bookmarkEnd w:id="272"/>
    <w:bookmarkStart w:id="274"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w:t>
      </w:r>
      <w:r>
        <w:t xml:space="preserve"> </w:t>
      </w:r>
      <w:r>
        <w:t xml:space="preserve">28 (4): 689–707.</w:t>
      </w:r>
      <w:r>
        <w:t xml:space="preserve"> </w:t>
      </w:r>
      <w:hyperlink ns5:id="rId273">
        <w:r>
          <w:rPr>
            <w:rStyle w:val="Hipervnculo"/>
          </w:rPr>
          <w:t xml:space="preserve">https://doi.org/10.1007/s11023-018-9482-5</w:t>
        </w:r>
      </w:hyperlink>
      <w:r>
        <w:t xml:space="preserve">.</w:t>
      </w:r>
    </w:p>
    <w:bookmarkEnd w:id="274"/>
    <w:bookmarkStart w:id="276" w:name="ref-friedman2008"/>
    <w:p>
      <w:pPr>
        <w:pStyle w:val="Bibliography"/>
        <w:spacing w:line="360" w:lineRule="auto"/>
        <w:jc w:val="both"/>
      </w:pPr>
      <w:r>
        <w:t xml:space="preserve">Friedman, &amp; Popescu, J. H. 2008.</w:t>
      </w:r>
      <w:r>
        <w:t xml:space="preserve"> </w:t>
      </w:r>
      <w:r>
        <w:t xml:space="preserve">“Predictive Learning via Rule Ensembles.”</w:t>
      </w:r>
      <w:r>
        <w:t xml:space="preserve"> </w:t>
      </w:r>
      <w:r>
        <w:rPr>
          <w:i/>
          <w:iCs/>
        </w:rPr>
        <w:t xml:space="preserve">The Annals of Applied Statistics</w:t>
      </w:r>
      <w:r>
        <w:t xml:space="preserve"> </w:t>
      </w:r>
      <w:r>
        <w:t xml:space="preserve">2 (3).</w:t>
      </w:r>
      <w:r>
        <w:t xml:space="preserve"> </w:t>
      </w:r>
      <w:hyperlink ns5:id="rId275">
        <w:r>
          <w:rPr>
            <w:rStyle w:val="Hipervnculo"/>
          </w:rPr>
          <w:t xml:space="preserve">https://doi.org/10.1214/07-aoas148</w:t>
        </w:r>
      </w:hyperlink>
      <w:r>
        <w:t xml:space="preserve">.</w:t>
      </w:r>
    </w:p>
    <w:bookmarkEnd w:id="276"/>
    <w:bookmarkStart w:id="278"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 </w:t>
      </w:r>
      <w:r>
        <w:rPr>
          <w:i/>
          <w:iCs/>
        </w:rPr>
        <w:t xml:space="preserve">The Annals of Statistics</w:t>
      </w:r>
      <w:r>
        <w:t xml:space="preserve"> </w:t>
      </w:r>
      <w:r>
        <w:t xml:space="preserve">29 (5).</w:t>
      </w:r>
      <w:r>
        <w:t xml:space="preserve"> </w:t>
      </w:r>
      <w:hyperlink ns5:id="rId277">
        <w:r>
          <w:rPr>
            <w:rStyle w:val="Hipervnculo"/>
          </w:rPr>
          <w:t xml:space="preserve">https://doi.org/10.1214/aos/1013203451</w:t>
        </w:r>
      </w:hyperlink>
      <w:r>
        <w:t xml:space="preserve">.</w:t>
      </w:r>
    </w:p>
    <w:bookmarkEnd w:id="278"/>
    <w:bookmarkStart w:id="280"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79">
        <w:r>
          <w:rPr>
            <w:rStyle w:val="Hipervnculo"/>
          </w:rPr>
          <w:t xml:space="preserve">https://doi.org/10.1080/01621459.1937.10503522</w:t>
        </w:r>
      </w:hyperlink>
      <w:r>
        <w:t xml:space="preserve">.</w:t>
      </w:r>
    </w:p>
    <w:bookmarkEnd w:id="280"/>
    <w:bookmarkStart w:id="282" w:name="ref-gafur2024"/>
    <w:p>
      <w:pPr>
        <w:pStyle w:val="Bibliography"/>
        <w:spacing w:line="360" w:lineRule="auto"/>
        <w:jc w:val="both"/>
      </w:pPr>
      <w:r>
        <w:t xml:space="preserve">Gafur, Jamil, Steve Goddard, and William Lai. 2024.</w:t>
      </w:r>
      <w:r>
        <w:t xml:space="preserve"> </w:t>
      </w:r>
      <w:r>
        <w:t xml:space="preserve">“Adversarial Robustness and Explainability of Machine Learning Models.”</w:t>
      </w:r>
      <w:r>
        <w:t xml:space="preserve"> </w:t>
      </w:r>
      <w:r>
        <w:rPr>
          <w:i/>
          <w:iCs/>
        </w:rPr>
        <w:t xml:space="preserve">Practice and Experience in Advanced Research Computing 2024: Human Powered Computing</w:t>
      </w:r>
      <w:r>
        <w:t xml:space="preserve">, 1–7.</w:t>
      </w:r>
      <w:r>
        <w:t xml:space="preserve"> </w:t>
      </w:r>
      <w:hyperlink ns5:id="rId281">
        <w:r>
          <w:rPr>
            <w:rStyle w:val="Hipervnculo"/>
          </w:rPr>
          <w:t xml:space="preserve">https://doi.org/10.1145/3626203.3670522</w:t>
        </w:r>
      </w:hyperlink>
      <w:r>
        <w:t xml:space="preserve">.</w:t>
      </w:r>
    </w:p>
    <w:bookmarkEnd w:id="282"/>
    <w:bookmarkStart w:id="284"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83">
        <w:r>
          <w:rPr>
            <w:rStyle w:val="Hipervnculo"/>
          </w:rPr>
          <w:t xml:space="preserve">https://doi.org/10.1109/dsaa.2018.00018</w:t>
        </w:r>
      </w:hyperlink>
      <w:r>
        <w:t xml:space="preserve">.</w:t>
      </w:r>
    </w:p>
    <w:bookmarkEnd w:id="284"/>
    <w:bookmarkStart w:id="286"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 </w:t>
      </w:r>
      <w:r>
        <w:rPr>
          <w:i/>
          <w:iCs/>
        </w:rPr>
        <w:t xml:space="preserve">Journal of Computational and Graphical Statistics</w:t>
      </w:r>
      <w:r>
        <w:t xml:space="preserve"> </w:t>
      </w:r>
      <w:r>
        <w:t xml:space="preserve">24 (1): 44–65.</w:t>
      </w:r>
      <w:r>
        <w:t xml:space="preserve"> </w:t>
      </w:r>
      <w:hyperlink ns5:id="rId285">
        <w:r>
          <w:rPr>
            <w:rStyle w:val="Hipervnculo"/>
          </w:rPr>
          <w:t xml:space="preserve">https://doi.org/10.1080/10618600.2014.907095</w:t>
        </w:r>
      </w:hyperlink>
      <w:r>
        <w:t xml:space="preserve">.</w:t>
      </w:r>
    </w:p>
    <w:bookmarkEnd w:id="286"/>
    <w:bookmarkStart w:id="288" w:name="ref-gomez2024"/>
    <w:p>
      <w:pPr>
        <w:pStyle w:val="Bibliography"/>
        <w:spacing w:line="360" w:lineRule="auto"/>
        <w:jc w:val="both"/>
      </w:pPr>
      <w:r>
        <w:t xml:space="preserve">Gomez, Manuel J., Álvaro Armada Sánchez, Mariano Albaladejo-González, Félix J. García Clemente, and José A. Ruipérez-Valiente. 2024.</w:t>
      </w:r>
      <w:r>
        <w:t xml:space="preserve"> </w:t>
      </w:r>
      <w:r>
        <w:t xml:space="preserve">“Utilizing Explainable AI to Enhance Real-Time Student Performance Prediction in Educational Serious Games.”</w:t>
      </w:r>
      <w:r>
        <w:t xml:space="preserve"> </w:t>
      </w:r>
      <w:r>
        <w:rPr>
          <w:i/>
          <w:iCs/>
        </w:rPr>
        <w:t xml:space="preserve">Proceedings of the 39th ACM/SIGAPP Symposium on Applied Computing</w:t>
      </w:r>
      <w:r>
        <w:t xml:space="preserve">, 93–94.</w:t>
      </w:r>
      <w:r>
        <w:t xml:space="preserve"> </w:t>
      </w:r>
      <w:hyperlink ns5:id="rId287">
        <w:r>
          <w:rPr>
            <w:rStyle w:val="Hipervnculo"/>
          </w:rPr>
          <w:t xml:space="preserve">https://doi.org/10.1145/3605098.3636109</w:t>
        </w:r>
      </w:hyperlink>
      <w:r>
        <w:t xml:space="preserve">.</w:t>
      </w:r>
    </w:p>
    <w:bookmarkEnd w:id="288"/>
    <w:bookmarkStart w:id="290"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89">
        <w:r>
          <w:rPr>
            <w:rStyle w:val="Hipervnculo"/>
          </w:rPr>
          <w:t xml:space="preserve">https://doi.org/10.1145/3236009</w:t>
        </w:r>
      </w:hyperlink>
      <w:r>
        <w:t xml:space="preserve">.</w:t>
      </w:r>
    </w:p>
    <w:bookmarkEnd w:id="290"/>
    <w:bookmarkStart w:id="292"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1">
        <w:r>
          <w:rPr>
            <w:rStyle w:val="Hipervnculo"/>
          </w:rPr>
          <w:t xml:space="preserve">https://doi.org/10.18653/v1/2020.acl-main.491</w:t>
        </w:r>
      </w:hyperlink>
      <w:r>
        <w:t xml:space="preserve">.</w:t>
      </w:r>
    </w:p>
    <w:bookmarkEnd w:id="292"/>
    <w:bookmarkStart w:id="294"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w:t>
      </w:r>
      <w:r>
        <w:t xml:space="preserve"> </w:t>
      </w:r>
      <w:r>
        <w:t xml:space="preserve">16 (1): 45–74.</w:t>
      </w:r>
      <w:r>
        <w:t xml:space="preserve"> </w:t>
      </w:r>
      <w:hyperlink ns5:id="rId293">
        <w:r>
          <w:rPr>
            <w:rStyle w:val="Hipervnculo"/>
          </w:rPr>
          <w:t xml:space="preserve">https://doi.org/10.1007/s12559-023-10179-8</w:t>
        </w:r>
      </w:hyperlink>
      <w:r>
        <w:t xml:space="preserve">.</w:t>
      </w:r>
    </w:p>
    <w:bookmarkEnd w:id="294"/>
    <w:bookmarkStart w:id="295"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95"/>
    <w:bookmarkStart w:id="296" w:name="ref-hess2023"/>
    <w:p>
      <w:pPr>
        <w:pStyle w:val="Bibliography"/>
        <w:spacing w:line="360" w:lineRule="auto"/>
        <w:jc w:val="both"/>
      </w:pPr>
      <w:r>
        <w:t xml:space="preserve">Hess, Samuel, and Gregory Ditzler. 2023.</w:t>
      </w:r>
      <w:r>
        <w:t xml:space="preserve"> </w:t>
      </w:r>
      <w:r>
        <w:t xml:space="preserve">“ProtoShotXAI: Using Prototypical Few-Shot Architecture for Explainable AI.”</w:t>
      </w:r>
      <w:r>
        <w:t xml:space="preserve"> </w:t>
      </w:r>
      <w:r>
        <w:rPr>
          <w:i/>
          <w:iCs/>
        </w:rPr>
        <w:t xml:space="preserve">Journal of Machine Learning Research</w:t>
      </w:r>
      <w:r>
        <w:t xml:space="preserve"> </w:t>
      </w:r>
      <w:r>
        <w:t xml:space="preserve">24: 1–49.</w:t>
      </w:r>
    </w:p>
    <w:bookmarkEnd w:id="296"/>
    <w:bookmarkStart w:id="298"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7">
        <w:r>
          <w:rPr>
            <w:rStyle w:val="Hipervnculo"/>
          </w:rPr>
          <w:t xml:space="preserve">https://doi.org/10.1007/s13218-023-00806-9</w:t>
        </w:r>
      </w:hyperlink>
      <w:r>
        <w:t xml:space="preserve">.</w:t>
      </w:r>
    </w:p>
    <w:bookmarkEnd w:id="298"/>
    <w:bookmarkStart w:id="300" w:name="ref-holzinger2022"/>
    <w:p>
      <w:pPr>
        <w:pStyle w:val="Bibliography"/>
        <w:spacing w:line="360" w:lineRule="auto"/>
        <w:jc w:val="both"/>
      </w:pPr>
      <w:r>
        <w:t xml:space="preserve">Holzinger, Andreas, Anna Saranti, Christoph Molnar, Przemyslaw Biecek, and Wojciech Samek. 2022.</w:t>
      </w:r>
      <w:r>
        <w:t xml:space="preserve"> </w:t>
      </w:r>
      <w:r>
        <w:rPr>
          <w:i/>
          <w:iCs/>
        </w:rPr>
        <w:t xml:space="preserve">Explainable AI Methods - a Brief Overview</w:t>
      </w:r>
      <w:r>
        <w:t xml:space="preserve">. Springer International Publishing.</w:t>
      </w:r>
      <w:r>
        <w:t xml:space="preserve"> </w:t>
      </w:r>
      <w:hyperlink ns5:id="rId299">
        <w:r>
          <w:rPr>
            <w:rStyle w:val="Hipervnculo"/>
          </w:rPr>
          <w:t xml:space="preserve">https://doi.org/10.1007/978-3-031-04083-2_2</w:t>
        </w:r>
      </w:hyperlink>
      <w:r>
        <w:t xml:space="preserve">.</w:t>
      </w:r>
    </w:p>
    <w:bookmarkEnd w:id="300"/>
    <w:bookmarkStart w:id="302" w:name="ref-hosseini2025"/>
    <w:p>
      <w:pPr>
        <w:pStyle w:val="Bibliography"/>
        <w:spacing w:line="360" w:lineRule="auto"/>
        <w:jc w:val="both"/>
      </w:pPr>
      <w:r>
        <w:t xml:space="preserve">Hosseini, Soodeh, and Hossein Seilani. 2025.</w:t>
      </w:r>
      <w:r>
        <w:t xml:space="preserve"> </w:t>
      </w:r>
      <w:r>
        <w:t xml:space="preserve">“The Role of Agentic AI in Shaping a Smart Future: A Systematic Review.”</w:t>
      </w:r>
      <w:r>
        <w:t xml:space="preserve"> </w:t>
      </w:r>
      <w:r>
        <w:rPr>
          <w:i/>
          <w:iCs/>
        </w:rPr>
        <w:t xml:space="preserve">Array</w:t>
      </w:r>
      <w:r>
        <w:t xml:space="preserve"> </w:t>
      </w:r>
      <w:r>
        <w:t xml:space="preserve">26: 100399.</w:t>
      </w:r>
      <w:r>
        <w:t xml:space="preserve"> </w:t>
      </w:r>
      <w:hyperlink ns5:id="rId301">
        <w:r>
          <w:rPr>
            <w:rStyle w:val="Hipervnculo"/>
          </w:rPr>
          <w:t xml:space="preserve">https://doi.org/10.1016/j.array.2025.100399</w:t>
        </w:r>
      </w:hyperlink>
      <w:r>
        <w:t xml:space="preserve">.</w:t>
      </w:r>
    </w:p>
    <w:bookmarkEnd w:id="302"/>
    <w:bookmarkStart w:id="304"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303">
        <w:r>
          <w:rPr>
            <w:rStyle w:val="Hipervnculo"/>
          </w:rPr>
          <w:t xml:space="preserve">https://doi.org/10.1126/science.359.6377.725</w:t>
        </w:r>
      </w:hyperlink>
      <w:r>
        <w:t xml:space="preserve">.</w:t>
      </w:r>
    </w:p>
    <w:bookmarkEnd w:id="304"/>
    <w:bookmarkStart w:id="306" w:name="ref-iatrellis2023"/>
    <w:p>
      <w:pPr>
        <w:pStyle w:val="Bibliography"/>
        <w:spacing w:line="360" w:lineRule="auto"/>
        <w:jc w:val="both"/>
      </w:pPr>
      <w:r>
        <w:t xml:space="preserve">Iatrellis, Omiros, Nicholas Samaras, Charalampos Dervenis, and Theodor Panagiotakopoulos. 2023.</w:t>
      </w:r>
      <w:r>
        <w:t xml:space="preserve"> </w:t>
      </w:r>
      <w:r>
        <w:t xml:space="preserve">“KONX: A Dynamic Approach for Explainable AI in Higher Education.”</w:t>
      </w:r>
      <w:r>
        <w:t xml:space="preserve"> </w:t>
      </w:r>
      <w:r>
        <w:rPr>
          <w:i/>
          <w:iCs/>
        </w:rPr>
        <w:t xml:space="preserve">Proceedings of the 7th International Conference on Algorithms, Computing and Systems</w:t>
      </w:r>
      <w:r>
        <w:t xml:space="preserve">, 118–24.</w:t>
      </w:r>
      <w:r>
        <w:t xml:space="preserve"> </w:t>
      </w:r>
      <w:hyperlink ns5:id="rId305">
        <w:r>
          <w:rPr>
            <w:rStyle w:val="Hipervnculo"/>
          </w:rPr>
          <w:t xml:space="preserve">https://doi.org/10.1145/3631908.3631925</w:t>
        </w:r>
      </w:hyperlink>
      <w:r>
        <w:t xml:space="preserve">.</w:t>
      </w:r>
    </w:p>
    <w:bookmarkEnd w:id="306"/>
    <w:bookmarkStart w:id="308" w:name="ref-ji2022"/>
    <w:p>
      <w:pPr>
        <w:pStyle w:val="Bibliography"/>
        <w:spacing w:line="360" w:lineRule="auto"/>
        <w:jc w:val="both"/>
      </w:pPr>
      <w:r>
        <w:t xml:space="preserve">Ji, Lee, Z. 2022.</w:t>
      </w:r>
      <w:r>
        <w:t xml:space="preserve"> </w:t>
      </w:r>
      <w:r>
        <w:t xml:space="preserve">“Survey of Hallucination in Natural Language Generation.”</w:t>
      </w:r>
      <w:r>
        <w:t xml:space="preserve"> </w:t>
      </w:r>
      <w:r>
        <w:rPr>
          <w:i/>
          <w:iCs/>
        </w:rPr>
        <w:t xml:space="preserve">ACM Computing Surveys</w:t>
      </w:r>
      <w:r>
        <w:t xml:space="preserve"> </w:t>
      </w:r>
      <w:r>
        <w:t xml:space="preserve">55 (12): 1–38.</w:t>
      </w:r>
      <w:r>
        <w:t xml:space="preserve"> </w:t>
      </w:r>
      <w:hyperlink ns5:id="rId307">
        <w:r>
          <w:rPr>
            <w:rStyle w:val="Hipervnculo"/>
          </w:rPr>
          <w:t xml:space="preserve">https://doi.org/10.1145/3571730</w:t>
        </w:r>
      </w:hyperlink>
      <w:r>
        <w:t xml:space="preserve">.</w:t>
      </w:r>
    </w:p>
    <w:bookmarkEnd w:id="308"/>
    <w:bookmarkStart w:id="309" w:name="ref-kadir2023"/>
    <w:p>
      <w:pPr>
        <w:pStyle w:val="Bibliography"/>
        <w:spacing w:line="360" w:lineRule="auto"/>
        <w:jc w:val="both"/>
      </w:pPr>
      <w:r>
        <w:t xml:space="preserve">Kadir, Md Abdul, Amir Mosavi, and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9"/>
    <w:bookmarkStart w:id="311" w:name="ref-kalasampath2025"/>
    <w:p>
      <w:pPr>
        <w:pStyle w:val="Bibliography"/>
        <w:spacing w:line="360" w:lineRule="auto"/>
        <w:jc w:val="both"/>
      </w:pPr>
      <w:r>
        <w:t xml:space="preserve">Kalasampath, Khushi, K. N. Spoorthi, Sreeparvathy Sajeev, Sahil Sarma Kuppa, Kavya Ajay, and Angulakshmi Maruthamuthu. 2025.</w:t>
      </w:r>
      <w:r>
        <w:t xml:space="preserve"> </w:t>
      </w:r>
      <w:r>
        <w:t xml:space="preserve">“A Literature Review on Applications of Explainable Artificial Intelligence (XAI).”</w:t>
      </w:r>
      <w:r>
        <w:t xml:space="preserve"> </w:t>
      </w:r>
      <w:r>
        <w:rPr>
          <w:i/>
          <w:iCs/>
        </w:rPr>
        <w:t xml:space="preserve">IEEE Access</w:t>
      </w:r>
      <w:r>
        <w:t xml:space="preserve"> </w:t>
      </w:r>
      <w:r>
        <w:t xml:space="preserve">13: 41111–40.</w:t>
      </w:r>
      <w:r>
        <w:t xml:space="preserve"> </w:t>
      </w:r>
      <w:hyperlink ns5:id="rId310">
        <w:r>
          <w:rPr>
            <w:rStyle w:val="Hipervnculo"/>
          </w:rPr>
          <w:t xml:space="preserve">https://doi.org/10.1109/access.2025.3546681</w:t>
        </w:r>
      </w:hyperlink>
      <w:r>
        <w:t xml:space="preserve">.</w:t>
      </w:r>
    </w:p>
    <w:bookmarkEnd w:id="311"/>
    <w:bookmarkStart w:id="31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312">
        <w:r>
          <w:rPr>
            <w:rStyle w:val="Hipervnculo"/>
          </w:rPr>
          <w:t xml:space="preserve">https://doi.org/10.1145/3527848</w:t>
        </w:r>
      </w:hyperlink>
      <w:r>
        <w:t xml:space="preserve">.</w:t>
      </w:r>
    </w:p>
    <w:bookmarkEnd w:id="313"/>
    <w:bookmarkStart w:id="315" w:name="ref-karmakar2024"/>
    <w:p>
      <w:pPr>
        <w:pStyle w:val="Bibliography"/>
        <w:spacing w:line="360" w:lineRule="auto"/>
        <w:jc w:val="both"/>
      </w:pPr>
      <w:r>
        <w:t xml:space="preserve">Karmakar, Pratik, Mikaël Monet, Pierre Senellart, and Stephane Bressan. 2024.</w:t>
      </w:r>
      <w:r>
        <w:t xml:space="preserve"> </w:t>
      </w:r>
      <w:r>
        <w:t xml:space="preserve">“Expected Shapley-Like Scores of Boolean Functions: Complexity and Applications to Probabilistic Databases.”</w:t>
      </w:r>
      <w:r>
        <w:t xml:space="preserve"> </w:t>
      </w:r>
      <w:r>
        <w:rPr>
          <w:i/>
          <w:iCs/>
        </w:rPr>
        <w:t xml:space="preserve">Proceedings of the ACM on Management of Data</w:t>
      </w:r>
      <w:r>
        <w:t xml:space="preserve"> </w:t>
      </w:r>
      <w:r>
        <w:t xml:space="preserve">2 (2): 1–26.</w:t>
      </w:r>
      <w:r>
        <w:t xml:space="preserve"> </w:t>
      </w:r>
      <w:hyperlink ns5:id="rId314">
        <w:r>
          <w:rPr>
            <w:rStyle w:val="Hipervnculo"/>
          </w:rPr>
          <w:t xml:space="preserve">https://doi.org/10.1145/3651593</w:t>
        </w:r>
      </w:hyperlink>
      <w:r>
        <w:t xml:space="preserve">.</w:t>
      </w:r>
    </w:p>
    <w:bookmarkEnd w:id="315"/>
    <w:bookmarkStart w:id="317"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316">
        <w:r>
          <w:rPr>
            <w:rStyle w:val="Hipervnculo"/>
          </w:rPr>
          <w:t xml:space="preserve">https://doi.org/10.1145/3313831.3376219</w:t>
        </w:r>
      </w:hyperlink>
      <w:r>
        <w:t xml:space="preserve">.</w:t>
      </w:r>
    </w:p>
    <w:bookmarkEnd w:id="317"/>
    <w:bookmarkStart w:id="318"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 </w:t>
      </w:r>
      <w:r>
        <w:rPr>
          <w:i/>
          <w:iCs/>
        </w:rPr>
        <w:t xml:space="preserve">Proceedings of the 35th International Conference on Machine Learning</w:t>
      </w:r>
      <w:r>
        <w:t xml:space="preserve">.</w:t>
      </w:r>
    </w:p>
    <w:bookmarkEnd w:id="318"/>
    <w:bookmarkStart w:id="320"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 </w:t>
      </w:r>
      <w:r>
        <w:rPr>
          <w:i/>
          <w:iCs/>
        </w:rPr>
        <w:t xml:space="preserve">Extended Abstracts of the CHI Conference on Human Factors in Computing Systems</w:t>
      </w:r>
      <w:r>
        <w:t xml:space="preserve">, 1–6.</w:t>
      </w:r>
      <w:r>
        <w:t xml:space="preserve"> </w:t>
      </w:r>
      <w:hyperlink ns5:id="rId319">
        <w:r>
          <w:rPr>
            <w:rStyle w:val="Hipervnculo"/>
          </w:rPr>
          <w:t xml:space="preserve">https://doi.org/10.1145/3613905.3638184</w:t>
        </w:r>
      </w:hyperlink>
      <w:r>
        <w:t xml:space="preserve">.</w:t>
      </w:r>
    </w:p>
    <w:bookmarkEnd w:id="320"/>
    <w:bookmarkStart w:id="321"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 </w:t>
      </w:r>
      <w:r>
        <w:rPr>
          <w:i/>
          <w:iCs/>
        </w:rPr>
        <w:t xml:space="preserve">Proceedings of the 37th International Conference on Machine Learning</w:t>
      </w:r>
      <w:r>
        <w:t xml:space="preserve">.</w:t>
      </w:r>
    </w:p>
    <w:bookmarkEnd w:id="321"/>
    <w:bookmarkStart w:id="323"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322">
        <w:r>
          <w:rPr>
            <w:rStyle w:val="Hipervnculo"/>
          </w:rPr>
          <w:t xml:space="preserve">https://archive.ics.uci.edu/dataset/2/adult</w:t>
        </w:r>
      </w:hyperlink>
      <w:r>
        <w:t xml:space="preserve">.</w:t>
      </w:r>
    </w:p>
    <w:bookmarkEnd w:id="323"/>
    <w:bookmarkStart w:id="325"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324">
        <w:r>
          <w:rPr>
            <w:rStyle w:val="Hipervnculo"/>
          </w:rPr>
          <w:t xml:space="preserve">https://doi.org/10.1016/j.jcm.2016.02.012</w:t>
        </w:r>
      </w:hyperlink>
      <w:r>
        <w:t xml:space="preserve">.</w:t>
      </w:r>
    </w:p>
    <w:bookmarkEnd w:id="325"/>
    <w:bookmarkStart w:id="326"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4th ed. SAGE Publications.</w:t>
      </w:r>
    </w:p>
    <w:bookmarkEnd w:id="326"/>
    <w:bookmarkStart w:id="328" w:name="ref-kumagai2023"/>
    <w:p>
      <w:pPr>
        <w:pStyle w:val="Bibliography"/>
        <w:spacing w:line="360" w:lineRule="auto"/>
        <w:jc w:val="both"/>
      </w:pPr>
      <w:r>
        <w:t xml:space="preserve">Kumagai, Ryo, Shu Takemoto, Yusuke Nozaki, and Masaya Yoshikawa. 2023.</w:t>
      </w:r>
      <w:r>
        <w:t xml:space="preserve"> </w:t>
      </w:r>
      <w:r>
        <w:t xml:space="preserve">“Explainable AI Based Adversarial Examples and Its Evaluation.”</w:t>
      </w:r>
      <w:r>
        <w:t xml:space="preserve"> </w:t>
      </w:r>
      <w:r>
        <w:rPr>
          <w:i/>
          <w:iCs/>
        </w:rPr>
        <w:t xml:space="preserve">Proceedings of the 2023 6th International Conference on Electronics, Communications and Control Engineering</w:t>
      </w:r>
      <w:r>
        <w:t xml:space="preserve">, 220–25.</w:t>
      </w:r>
      <w:r>
        <w:t xml:space="preserve"> </w:t>
      </w:r>
      <w:hyperlink ns5:id="rId327">
        <w:r>
          <w:rPr>
            <w:rStyle w:val="Hipervnculo"/>
          </w:rPr>
          <w:t xml:space="preserve">https://doi.org/10.1145/3592307.3592342</w:t>
        </w:r>
      </w:hyperlink>
      <w:r>
        <w:t xml:space="preserve">.</w:t>
      </w:r>
    </w:p>
    <w:bookmarkEnd w:id="328"/>
    <w:bookmarkStart w:id="330"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329">
        <w:r>
          <w:rPr>
            <w:rStyle w:val="Hipervnculo"/>
          </w:rPr>
          <w:t xml:space="preserve">https://doi.org/10.3389/fpsyg.2013.00863</w:t>
        </w:r>
      </w:hyperlink>
      <w:r>
        <w:t xml:space="preserve">.</w:t>
      </w:r>
    </w:p>
    <w:bookmarkEnd w:id="330"/>
    <w:bookmarkStart w:id="332"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331">
        <w:r>
          <w:rPr>
            <w:rStyle w:val="Hipervnculo"/>
          </w:rPr>
          <w:t xml:space="preserve">https://doi.org/10.1016/j.artint.2021.103473</w:t>
        </w:r>
      </w:hyperlink>
      <w:r>
        <w:t xml:space="preserve">.</w:t>
      </w:r>
    </w:p>
    <w:bookmarkEnd w:id="332"/>
    <w:bookmarkStart w:id="334"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333">
        <w:r>
          <w:rPr>
            <w:rStyle w:val="Hipervnculo"/>
          </w:rPr>
          <w:t xml:space="preserve">https://doi.org/10.24963/ijcai.2019/388</w:t>
        </w:r>
      </w:hyperlink>
      <w:r>
        <w:t xml:space="preserve">.</w:t>
      </w:r>
    </w:p>
    <w:bookmarkEnd w:id="334"/>
    <w:bookmarkStart w:id="335" w:name="ref-li2022"/>
    <w:p>
      <w:pPr>
        <w:pStyle w:val="Bibliography"/>
        <w:spacing w:line="360" w:lineRule="auto"/>
        <w:jc w:val="both"/>
      </w:pPr>
      <w:r>
        <w:t xml:space="preserve">Li, Xuhong, Haoyi Xiong, Xingjian Li, Xuanyu Wu, Zeyu Chen, and Dejing Dou. 2022.</w:t>
      </w:r>
      <w:r>
        <w:t xml:space="preserve"> </w:t>
      </w:r>
      <w:r>
        <w:t xml:space="preserve">“InterpretDL: Explaining Deep Models in PaddlePaddle.”</w:t>
      </w:r>
      <w:r>
        <w:t xml:space="preserve"> </w:t>
      </w:r>
      <w:r>
        <w:rPr>
          <w:i/>
          <w:iCs/>
        </w:rPr>
        <w:t xml:space="preserve">Journal of Machine Learning Research</w:t>
      </w:r>
      <w:r>
        <w:t xml:space="preserve"> </w:t>
      </w:r>
      <w:r>
        <w:t xml:space="preserve">23: 1–6.</w:t>
      </w:r>
    </w:p>
    <w:bookmarkEnd w:id="335"/>
    <w:bookmarkStart w:id="33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w:t>
      </w:r>
      <w:r>
        <w:t xml:space="preserve"> </w:t>
      </w:r>
      <w:r>
        <w:t xml:space="preserve">23 (1): 18.</w:t>
      </w:r>
      <w:r>
        <w:t xml:space="preserve"> </w:t>
      </w:r>
      <w:hyperlink ns5:id="rId336">
        <w:r>
          <w:rPr>
            <w:rStyle w:val="Hipervnculo"/>
          </w:rPr>
          <w:t xml:space="preserve">https://doi.org/10.3390/e23010018</w:t>
        </w:r>
      </w:hyperlink>
      <w:r>
        <w:t xml:space="preserve">.</w:t>
      </w:r>
    </w:p>
    <w:bookmarkEnd w:id="337"/>
    <w:bookmarkStart w:id="33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w:t>
      </w:r>
      <w:r>
        <w:t xml:space="preserve"> </w:t>
      </w:r>
      <w:r>
        <w:t xml:space="preserve">16 (3): 31–57.</w:t>
      </w:r>
      <w:r>
        <w:t xml:space="preserve"> </w:t>
      </w:r>
      <w:hyperlink ns5:id="rId338">
        <w:r>
          <w:rPr>
            <w:rStyle w:val="Hipervnculo"/>
          </w:rPr>
          <w:t xml:space="preserve">https://doi.org/10.1145/3236386.3241340</w:t>
        </w:r>
      </w:hyperlink>
      <w:r>
        <w:t xml:space="preserve">.</w:t>
      </w:r>
    </w:p>
    <w:bookmarkEnd w:id="339"/>
    <w:bookmarkStart w:id="340"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40"/>
    <w:bookmarkStart w:id="341" w:name="ref-long2019"/>
    <w:p>
      <w:pPr>
        <w:pStyle w:val="Bibliography"/>
        <w:spacing w:line="360" w:lineRule="auto"/>
        <w:jc w:val="both"/>
      </w:pPr>
      <w:r>
        <w:t xml:space="preserve">Long, Bowen, Enjie Liu, Renxi Qiu, and Yanqing Duan. 2019.</w:t>
      </w:r>
      <w:r>
        <w:t xml:space="preserve"> </w:t>
      </w:r>
      <w:r>
        <w:rPr>
          <w:i/>
          <w:iCs/>
        </w:rPr>
        <w:t xml:space="preserve">Explainable AI: The Latest Advancements and New Trends</w:t>
      </w:r>
      <w:r>
        <w:t xml:space="preserve">.</w:t>
      </w:r>
    </w:p>
    <w:bookmarkEnd w:id="341"/>
    <w:bookmarkStart w:id="343"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 </w:t>
      </w:r>
      <w:r>
        <w:rPr>
          <w:i/>
          <w:iCs/>
        </w:rPr>
        <w:t xml:space="preserve">Information Fusion</w:t>
      </w:r>
      <w:r>
        <w:t xml:space="preserve"> </w:t>
      </w:r>
      <w:r>
        <w:t xml:space="preserve">106: 102301.</w:t>
      </w:r>
      <w:r>
        <w:t xml:space="preserve"> </w:t>
      </w:r>
      <w:hyperlink ns5:id="rId342">
        <w:r>
          <w:rPr>
            <w:rStyle w:val="Hipervnculo"/>
          </w:rPr>
          <w:t xml:space="preserve">https://doi.org/10.1016/j.inffus.2024.102301</w:t>
        </w:r>
      </w:hyperlink>
      <w:r>
        <w:t xml:space="preserve">.</w:t>
      </w:r>
    </w:p>
    <w:bookmarkEnd w:id="343"/>
    <w:bookmarkStart w:id="345"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344">
        <w:r>
          <w:rPr>
            <w:rStyle w:val="Hipervnculo"/>
          </w:rPr>
          <w:t xml:space="preserve">https://doi.org/10.48550/arxiv.1705.07874</w:t>
        </w:r>
      </w:hyperlink>
      <w:r>
        <w:t xml:space="preserve">.</w:t>
      </w:r>
    </w:p>
    <w:bookmarkEnd w:id="345"/>
    <w:bookmarkStart w:id="347"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346">
        <w:r>
          <w:rPr>
            <w:rStyle w:val="Hipervnculo"/>
          </w:rPr>
          <w:t xml:space="preserve">https://doi.org/10.1145/3647444.3647912</w:t>
        </w:r>
      </w:hyperlink>
      <w:r>
        <w:t xml:space="preserve">.</w:t>
      </w:r>
    </w:p>
    <w:bookmarkEnd w:id="347"/>
    <w:bookmarkStart w:id="349"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w:t>
      </w:r>
      <w:r>
        <w:t xml:space="preserve"> </w:t>
      </w:r>
      <w:r>
        <w:t xml:space="preserve">13 (3).</w:t>
      </w:r>
      <w:r>
        <w:t xml:space="preserve"> </w:t>
      </w:r>
      <w:hyperlink ns5:id="rId348">
        <w:r>
          <w:rPr>
            <w:rStyle w:val="Hipervnculo"/>
          </w:rPr>
          <w:t xml:space="preserve">https://doi.org/10.1002/widm.1493</w:t>
        </w:r>
      </w:hyperlink>
      <w:r>
        <w:t xml:space="preserve">.</w:t>
      </w:r>
    </w:p>
    <w:bookmarkEnd w:id="349"/>
    <w:bookmarkStart w:id="351"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50">
        <w:r>
          <w:rPr>
            <w:rStyle w:val="Hipervnculo"/>
          </w:rPr>
          <w:t xml:space="preserve">https://doi.org/10.1007/978-3-031-75387-9_12</w:t>
        </w:r>
      </w:hyperlink>
      <w:r>
        <w:t xml:space="preserve">.</w:t>
      </w:r>
    </w:p>
    <w:bookmarkEnd w:id="351"/>
    <w:bookmarkStart w:id="353"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352">
        <w:r>
          <w:rPr>
            <w:rStyle w:val="Hipervnculo"/>
          </w:rPr>
          <w:t xml:space="preserve">https://doi.org/10.1016/j.artint.2018.07.007</w:t>
        </w:r>
      </w:hyperlink>
      <w:r>
        <w:t xml:space="preserve">.</w:t>
      </w:r>
    </w:p>
    <w:bookmarkEnd w:id="353"/>
    <w:bookmarkStart w:id="354" w:name="ref-mitchell2022"/>
    <w:p>
      <w:pPr>
        <w:pStyle w:val="Bibliography"/>
        <w:spacing w:line="360" w:lineRule="auto"/>
        <w:jc w:val="both"/>
      </w:pPr>
      <w:r>
        <w:t xml:space="preserve">Mitchell, Rory, Joshua Cooper, Eibe Frank, and Geoffrey Holmes. 2022.</w:t>
      </w:r>
      <w:r>
        <w:t xml:space="preserve"> </w:t>
      </w:r>
      <w:r>
        <w:t xml:space="preserve">“Sampling Permutations for Shapley Value Estimation.”</w:t>
      </w:r>
      <w:r>
        <w:t xml:space="preserve"> </w:t>
      </w:r>
      <w:r>
        <w:rPr>
          <w:i/>
          <w:iCs/>
        </w:rPr>
        <w:t xml:space="preserve">Journal of Machine Learning Research</w:t>
      </w:r>
      <w:r>
        <w:t xml:space="preserve"> </w:t>
      </w:r>
      <w:r>
        <w:t xml:space="preserve">23: 1–46.</w:t>
      </w:r>
    </w:p>
    <w:bookmarkEnd w:id="354"/>
    <w:bookmarkStart w:id="356"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 </w:t>
      </w:r>
      <w:r>
        <w:rPr>
          <w:i/>
          <w:iCs/>
        </w:rPr>
        <w:t xml:space="preserve">Proceedings of the 2023 Fifteenth International Conference on Contemporary Computing</w:t>
      </w:r>
      <w:r>
        <w:t xml:space="preserve">, 537–44.</w:t>
      </w:r>
      <w:r>
        <w:t xml:space="preserve"> </w:t>
      </w:r>
      <w:hyperlink ns5:id="rId355">
        <w:r>
          <w:rPr>
            <w:rStyle w:val="Hipervnculo"/>
          </w:rPr>
          <w:t xml:space="preserve">https://doi.org/10.1145/3607947.3608059</w:t>
        </w:r>
      </w:hyperlink>
      <w:r>
        <w:t xml:space="preserve">.</w:t>
      </w:r>
    </w:p>
    <w:bookmarkEnd w:id="356"/>
    <w:bookmarkStart w:id="358"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357">
        <w:r>
          <w:rPr>
            <w:rStyle w:val="Hipervnculo"/>
          </w:rPr>
          <w:t xml:space="preserve">https://doi.org/10.1145/3287560.3287574</w:t>
        </w:r>
      </w:hyperlink>
      <w:r>
        <w:t xml:space="preserve">.</w:t>
      </w:r>
    </w:p>
    <w:bookmarkEnd w:id="358"/>
    <w:bookmarkStart w:id="360"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359">
        <w:r>
          <w:rPr>
            <w:rStyle w:val="Hipervnculo"/>
          </w:rPr>
          <w:t xml:space="preserve">https://doi.org/10.1145/3387166</w:t>
        </w:r>
      </w:hyperlink>
      <w:r>
        <w:t xml:space="preserve">.</w:t>
      </w:r>
    </w:p>
    <w:bookmarkEnd w:id="360"/>
    <w:bookmarkStart w:id="362" w:name="ref-molnar2020"/>
    <w:p>
      <w:pPr>
        <w:pStyle w:val="Bibliography"/>
        <w:spacing w:line="360" w:lineRule="auto"/>
        <w:jc w:val="both"/>
      </w:pPr>
      <w:r>
        <w:t xml:space="preserve">Molnar, Christoph, Giuseppe Casalicchio, and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1">
        <w:r>
          <w:rPr>
            <w:rStyle w:val="Hipervnculo"/>
          </w:rPr>
          <w:t xml:space="preserve">https://doi.org/10.1007/978-3-030-65965-3_28</w:t>
        </w:r>
      </w:hyperlink>
      <w:r>
        <w:t xml:space="preserve">.</w:t>
      </w:r>
    </w:p>
    <w:bookmarkEnd w:id="362"/>
    <w:bookmarkStart w:id="364" w:name="ref-morrison2023"/>
    <w:p>
      <w:pPr>
        <w:pStyle w:val="Bibliography"/>
        <w:spacing w:line="360" w:lineRule="auto"/>
        <w:jc w:val="both"/>
      </w:pPr>
      <w:r>
        <w:t xml:space="preserve">Morrison, Katelyn, Mayank Jain, Jessica Hammer, and Adam Perer. 2023.</w:t>
      </w:r>
      <w:r>
        <w:t xml:space="preserve"> </w:t>
      </w:r>
      <w:r>
        <w:t xml:space="preserve">“Eye into AI: Evaluating the Interpretability of Explainable AI Techniques Through a Game with a Purpose.”</w:t>
      </w:r>
      <w:r>
        <w:t xml:space="preserve"> </w:t>
      </w:r>
      <w:r>
        <w:rPr>
          <w:i/>
          <w:iCs/>
        </w:rPr>
        <w:t xml:space="preserve">Proceedings of the ACM on Human-Computer Interaction</w:t>
      </w:r>
      <w:r>
        <w:t xml:space="preserve"> </w:t>
      </w:r>
      <w:r>
        <w:t xml:space="preserve">7 (CSCW2): 1–22.</w:t>
      </w:r>
      <w:r>
        <w:t xml:space="preserve"> </w:t>
      </w:r>
      <w:hyperlink ns5:id="rId363">
        <w:r>
          <w:rPr>
            <w:rStyle w:val="Hipervnculo"/>
          </w:rPr>
          <w:t xml:space="preserve">https://doi.org/10.1145/3610064</w:t>
        </w:r>
      </w:hyperlink>
      <w:r>
        <w:t xml:space="preserve">.</w:t>
      </w:r>
    </w:p>
    <w:bookmarkEnd w:id="364"/>
    <w:bookmarkStart w:id="366"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365">
        <w:r>
          <w:rPr>
            <w:rStyle w:val="Hipervnculo"/>
          </w:rPr>
          <w:t xml:space="preserve">https://doi.org/10.1145/3351095.3372850</w:t>
        </w:r>
      </w:hyperlink>
      <w:r>
        <w:t xml:space="preserve">.</w:t>
      </w:r>
    </w:p>
    <w:bookmarkEnd w:id="366"/>
    <w:bookmarkStart w:id="368" w:name="ref-muntasir2024"/>
    <w:p>
      <w:pPr>
        <w:pStyle w:val="Bibliography"/>
        <w:spacing w:line="360" w:lineRule="auto"/>
        <w:jc w:val="both"/>
      </w:pPr>
      <w:r>
        <w:t xml:space="preserve">Muntasir, Fahim, and Jannatun Noor. 2024.</w:t>
      </w:r>
      <w:r>
        <w:t xml:space="preserve"> </w:t>
      </w:r>
      <w:r>
        <w:t xml:space="preserve">“Explainable AI Discloses Gender Bias in Sexism Detection Algorithm.”</w:t>
      </w:r>
      <w:r>
        <w:t xml:space="preserve"> </w:t>
      </w:r>
      <w:r>
        <w:rPr>
          <w:i/>
          <w:iCs/>
        </w:rPr>
        <w:t xml:space="preserve">Proceedings of the 11th International Conference on Networking, Systems, and Security</w:t>
      </w:r>
      <w:r>
        <w:t xml:space="preserve">, 120–27.</w:t>
      </w:r>
      <w:r>
        <w:t xml:space="preserve"> </w:t>
      </w:r>
      <w:hyperlink ns5:id="rId367">
        <w:r>
          <w:rPr>
            <w:rStyle w:val="Hipervnculo"/>
          </w:rPr>
          <w:t xml:space="preserve">https://doi.org/10.1145/3704522.3704524</w:t>
        </w:r>
      </w:hyperlink>
      <w:r>
        <w:t xml:space="preserve">.</w:t>
      </w:r>
    </w:p>
    <w:bookmarkEnd w:id="368"/>
    <w:bookmarkStart w:id="370"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 (44): 22071–80.</w:t>
      </w:r>
      <w:r>
        <w:t xml:space="preserve"> </w:t>
      </w:r>
      <w:hyperlink ns5:id="rId369">
        <w:r>
          <w:rPr>
            <w:rStyle w:val="Hipervnculo"/>
          </w:rPr>
          <w:t xml:space="preserve">https://doi.org/10.1073/pnas.1900654116</w:t>
        </w:r>
      </w:hyperlink>
      <w:r>
        <w:t xml:space="preserve">.</w:t>
      </w:r>
    </w:p>
    <w:bookmarkEnd w:id="370"/>
    <w:bookmarkStart w:id="372" w:name="ref-nannini2024"/>
    <w:p>
      <w:pPr>
        <w:pStyle w:val="Bibliography"/>
        <w:spacing w:line="360" w:lineRule="auto"/>
        <w:jc w:val="both"/>
      </w:pPr>
      <w:r>
        <w:t xml:space="preserve">Nannini, Luca, Marta Marchiori Manerba, and Isacco Beretta. 2024.</w:t>
      </w:r>
      <w:r>
        <w:t xml:space="preserve"> </w:t>
      </w:r>
      <w:r>
        <w:t xml:space="preserve">“Mapping the Landscape of Ethical Considerations in Explainable AI Research.”</w:t>
      </w:r>
      <w:r>
        <w:t xml:space="preserve"> </w:t>
      </w:r>
      <w:r>
        <w:rPr>
          <w:i/>
          <w:iCs/>
        </w:rPr>
        <w:t xml:space="preserve">Ethics and Information Technology</w:t>
      </w:r>
      <w:r>
        <w:t xml:space="preserve"> </w:t>
      </w:r>
      <w:r>
        <w:t xml:space="preserve">26 (3).</w:t>
      </w:r>
      <w:r>
        <w:t xml:space="preserve"> </w:t>
      </w:r>
      <w:hyperlink ns5:id="rId371">
        <w:r>
          <w:rPr>
            <w:rStyle w:val="Hipervnculo"/>
          </w:rPr>
          <w:t xml:space="preserve">https://doi.org/10.1007/s10676-024-09773-7</w:t>
        </w:r>
      </w:hyperlink>
      <w:r>
        <w:t xml:space="preserve">.</w:t>
      </w:r>
    </w:p>
    <w:bookmarkEnd w:id="372"/>
    <w:bookmarkStart w:id="374"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373">
        <w:r>
          <w:rPr>
            <w:rStyle w:val="Hipervnculo"/>
          </w:rPr>
          <w:t xml:space="preserve">https://doi.org/10.1145/3583558</w:t>
        </w:r>
      </w:hyperlink>
      <w:r>
        <w:t xml:space="preserve">.</w:t>
      </w:r>
    </w:p>
    <w:bookmarkEnd w:id="374"/>
    <w:bookmarkStart w:id="376"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375">
        <w:r>
          <w:rPr>
            <w:rStyle w:val="Hipervnculo"/>
          </w:rPr>
          <w:t xml:space="preserve">https://catalog.princeton.edu/catalog/2081365</w:t>
        </w:r>
      </w:hyperlink>
      <w:r>
        <w:t xml:space="preserve">.</w:t>
      </w:r>
    </w:p>
    <w:bookmarkEnd w:id="376"/>
    <w:bookmarkStart w:id="378" w:name="ref-ngueajio2025"/>
    <w:p>
      <w:pPr>
        <w:pStyle w:val="Bibliography"/>
        <w:spacing w:line="360" w:lineRule="auto"/>
        <w:jc w:val="both"/>
      </w:pPr>
      <w:r>
        <w:t xml:space="preserve">Ngueajio, Mikel K., Saurav Aryal, Marcellin Atemkeng, Gloria Washington, and Danda Rawat. 2025.</w:t>
      </w:r>
      <w:r>
        <w:t xml:space="preserve"> </w:t>
      </w:r>
      <w:r>
        <w:t xml:space="preserve">“Decoding Fake News and Hate Speech: A Survey of Explainable AI Techniques.”</w:t>
      </w:r>
      <w:r>
        <w:t xml:space="preserve"> </w:t>
      </w:r>
      <w:r>
        <w:rPr>
          <w:i/>
          <w:iCs/>
        </w:rPr>
        <w:t xml:space="preserve">ACM Computing Surveys</w:t>
      </w:r>
      <w:r>
        <w:t xml:space="preserve"> </w:t>
      </w:r>
      <w:r>
        <w:t xml:space="preserve">57 (7): 1–37.</w:t>
      </w:r>
      <w:r>
        <w:t xml:space="preserve"> </w:t>
      </w:r>
      <w:hyperlink ns5:id="rId377">
        <w:r>
          <w:rPr>
            <w:rStyle w:val="Hipervnculo"/>
          </w:rPr>
          <w:t xml:space="preserve">https://doi.org/10.1145/3711123</w:t>
        </w:r>
      </w:hyperlink>
      <w:r>
        <w:t xml:space="preserve">.</w:t>
      </w:r>
    </w:p>
    <w:bookmarkEnd w:id="378"/>
    <w:bookmarkStart w:id="379" w:name="ref-nguyen2019"/>
    <w:p>
      <w:pPr>
        <w:pStyle w:val="Bibliography"/>
        <w:spacing w:line="360" w:lineRule="auto"/>
        <w:jc w:val="both"/>
      </w:pPr>
      <w:r>
        <w:t xml:space="preserve">Nguyen, An-phi, and Maria Rodriguez Martinez. 2019.</w:t>
      </w:r>
      <w:r>
        <w:t xml:space="preserve"> </w:t>
      </w:r>
      <w:r>
        <w:rPr>
          <w:i/>
          <w:iCs/>
        </w:rPr>
        <w:t xml:space="preserve">MonoNet: Towards Interpretable Models by Learning Monotonic Features</w:t>
      </w:r>
      <w:r>
        <w:t xml:space="preserve">.</w:t>
      </w:r>
    </w:p>
    <w:bookmarkEnd w:id="379"/>
    <w:bookmarkStart w:id="381" w:name="ref-nimmo2024"/>
    <w:p>
      <w:pPr>
        <w:pStyle w:val="Bibliography"/>
        <w:spacing w:line="360" w:lineRule="auto"/>
        <w:jc w:val="both"/>
      </w:pPr>
      <w:r>
        <w:t xml:space="preserve">Nimmo, Robert, Marios Constantinides, Ke Zhou, Daniele Quercia, and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80">
        <w:r>
          <w:rPr>
            <w:rStyle w:val="Hipervnculo"/>
          </w:rPr>
          <w:t xml:space="preserve">https://doi.org/10.1145/3613904.3642352</w:t>
        </w:r>
      </w:hyperlink>
      <w:r>
        <w:t xml:space="preserve">.</w:t>
      </w:r>
    </w:p>
    <w:bookmarkEnd w:id="381"/>
    <w:bookmarkStart w:id="382"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382"/>
    <w:bookmarkStart w:id="384"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w:t>
      </w:r>
      <w:r>
        <w:t xml:space="preserve"> </w:t>
      </w:r>
      <w:r>
        <w:t xml:space="preserve">13 (1).</w:t>
      </w:r>
      <w:r>
        <w:t xml:space="preserve"> </w:t>
      </w:r>
      <w:hyperlink ns5:id="rId383">
        <w:r>
          <w:rPr>
            <w:rStyle w:val="Hipervnculo"/>
          </w:rPr>
          <w:t xml:space="preserve">https://doi.org/10.1038/s41467-022-33417-3</w:t>
        </w:r>
      </w:hyperlink>
      <w:r>
        <w:t xml:space="preserve">.</w:t>
      </w:r>
    </w:p>
    <w:bookmarkEnd w:id="384"/>
    <w:bookmarkStart w:id="385" w:name="ref-olsen2022"/>
    <w:p>
      <w:pPr>
        <w:pStyle w:val="Bibliography"/>
        <w:spacing w:line="360" w:lineRule="auto"/>
        <w:jc w:val="both"/>
      </w:pPr>
      <w:r>
        <w:t xml:space="preserve">Olsen, Lars Henry Berge, Ingrid Kristine Glad, Martin Jullum, and Kjersti Aas. 2022.</w:t>
      </w:r>
      <w:r>
        <w:t xml:space="preserve"> </w:t>
      </w:r>
      <w:r>
        <w:t xml:space="preserve">“Using Shapley Values and Variational Autoencoders to Explain Predictive Models with Dependent Mixed Features.”</w:t>
      </w:r>
      <w:r>
        <w:t xml:space="preserve"> </w:t>
      </w:r>
      <w:r>
        <w:rPr>
          <w:i/>
          <w:iCs/>
        </w:rPr>
        <w:t xml:space="preserve">Journal of Machine Learning Research</w:t>
      </w:r>
      <w:r>
        <w:t xml:space="preserve"> </w:t>
      </w:r>
      <w:r>
        <w:t xml:space="preserve">23: 1–51.</w:t>
      </w:r>
    </w:p>
    <w:bookmarkEnd w:id="385"/>
    <w:bookmarkStart w:id="387"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386">
        <w:r>
          <w:rPr>
            <w:rStyle w:val="Hipervnculo"/>
          </w:rPr>
          <w:t xml:space="preserve">https://doi.org/10.1016/j.neucom.2024.128282</w:t>
        </w:r>
      </w:hyperlink>
      <w:r>
        <w:t xml:space="preserve">.</w:t>
      </w:r>
    </w:p>
    <w:bookmarkEnd w:id="387"/>
    <w:bookmarkStart w:id="389" w:name="ref-peters2024"/>
    <w:p>
      <w:pPr>
        <w:pStyle w:val="Bibliography"/>
        <w:spacing w:line="360" w:lineRule="auto"/>
        <w:jc w:val="both"/>
      </w:pPr>
      <w:r>
        <w:t xml:space="preserve">Peters, Uwe, and Mary Carman. 2024.</w:t>
      </w:r>
      <w:r>
        <w:t xml:space="preserve"> </w:t>
      </w:r>
      <w:r>
        <w:t xml:space="preserve">“Cultural Bias in Explainable AI Research: A Systematic Analysis.”</w:t>
      </w:r>
      <w:r>
        <w:t xml:space="preserve"> </w:t>
      </w:r>
      <w:r>
        <w:rPr>
          <w:i/>
          <w:iCs/>
        </w:rPr>
        <w:t xml:space="preserve">Journal of Artificial Intelligence Research</w:t>
      </w:r>
      <w:r>
        <w:t xml:space="preserve"> </w:t>
      </w:r>
      <w:r>
        <w:t xml:space="preserve">79: 971–1000.</w:t>
      </w:r>
      <w:r>
        <w:t xml:space="preserve"> </w:t>
      </w:r>
      <w:hyperlink ns5:id="rId388">
        <w:r>
          <w:rPr>
            <w:rStyle w:val="Hipervnculo"/>
          </w:rPr>
          <w:t xml:space="preserve">https://doi.org/10.1613/jair.1.14888</w:t>
        </w:r>
      </w:hyperlink>
      <w:r>
        <w:t xml:space="preserve">.</w:t>
      </w:r>
    </w:p>
    <w:bookmarkEnd w:id="389"/>
    <w:bookmarkStart w:id="391"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 </w:t>
      </w:r>
      <w:r>
        <w:rPr>
          <w:i/>
          <w:iCs/>
        </w:rPr>
        <w:t xml:space="preserve">Companion Publication of the 2024 Conference on Computer-Supported Cooperative Work and Social Computing</w:t>
      </w:r>
      <w:r>
        <w:t xml:space="preserve">, 43–46.</w:t>
      </w:r>
      <w:r>
        <w:t xml:space="preserve"> </w:t>
      </w:r>
      <w:hyperlink ns5:id="rId390">
        <w:r>
          <w:rPr>
            <w:rStyle w:val="Hipervnculo"/>
          </w:rPr>
          <w:t xml:space="preserve">https://doi.org/10.1145/3678884.3682046</w:t>
        </w:r>
      </w:hyperlink>
      <w:r>
        <w:t xml:space="preserve">.</w:t>
      </w:r>
    </w:p>
    <w:bookmarkEnd w:id="391"/>
    <w:bookmarkStart w:id="393"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392">
        <w:r>
          <w:rPr>
            <w:rStyle w:val="Hipervnculo"/>
          </w:rPr>
          <w:t xml:space="preserve">https://doi.org/10.1145/3375627.3375850</w:t>
        </w:r>
      </w:hyperlink>
      <w:r>
        <w:t xml:space="preserve">.</w:t>
      </w:r>
    </w:p>
    <w:bookmarkEnd w:id="393"/>
    <w:bookmarkStart w:id="394" w:name="ref-proszewska2025"/>
    <w:p>
      <w:pPr>
        <w:pStyle w:val="Bibliography"/>
        <w:spacing w:line="360" w:lineRule="auto"/>
        <w:jc w:val="both"/>
      </w:pPr>
      <w:r>
        <w:t xml:space="preserve">Proszewska, Magdalena, Tomasz Danel, and Dawid Rymarczyk. 2025.</w:t>
      </w:r>
      <w:r>
        <w:t xml:space="preserve"> </w:t>
      </w:r>
      <w:r>
        <w:rPr>
          <w:i/>
          <w:iCs/>
        </w:rPr>
        <w:t xml:space="preserve">B-XAIC Dataset: Benchmarking Explainable AI for Graph Neural Networks Using Chemical Data</w:t>
      </w:r>
      <w:r>
        <w:t xml:space="preserve">.</w:t>
      </w:r>
    </w:p>
    <w:bookmarkEnd w:id="394"/>
    <w:bookmarkStart w:id="395" w:name="ref-ramachandram2025"/>
    <w:p>
      <w:pPr>
        <w:pStyle w:val="Bibliography"/>
        <w:spacing w:line="360" w:lineRule="auto"/>
        <w:jc w:val="both"/>
      </w:pPr>
      <w:r>
        <w:t xml:space="preserve">Ramachandram, Dhanesh, Himanshu Joshi, Judy Zhu, Dhari Gandhi, Lucas Hartman, and Ananya Raval. 2025.</w:t>
      </w:r>
      <w:r>
        <w:t xml:space="preserve"> </w:t>
      </w:r>
      <w:r>
        <w:rPr>
          <w:i/>
          <w:iCs/>
        </w:rPr>
        <w:t xml:space="preserve">Transparent AI: The Case for Interpretability and Explainability</w:t>
      </w:r>
      <w:r>
        <w:t xml:space="preserve">. Vector Institute for Artificial Intelligence.</w:t>
      </w:r>
    </w:p>
    <w:bookmarkEnd w:id="395"/>
    <w:bookmarkStart w:id="397" w:name="ref-reif2025"/>
    <w:p>
      <w:pPr>
        <w:pStyle w:val="Bibliography"/>
        <w:spacing w:line="360" w:lineRule="auto"/>
        <w:jc w:val="both"/>
      </w:pPr>
      <w:r>
        <w:t xml:space="preserve">Reif, Jessica A., Richard P. Larrick, and Jack B. Soll. 2025.</w:t>
      </w:r>
      <w:r>
        <w:t xml:space="preserve"> </w:t>
      </w:r>
      <w:r>
        <w:t xml:space="preserve">“Evidence of a Social Evaluation Penalty for Using AI.”</w:t>
      </w:r>
      <w:r>
        <w:t xml:space="preserve"> </w:t>
      </w:r>
      <w:r>
        <w:rPr>
          <w:i/>
          <w:iCs/>
        </w:rPr>
        <w:t xml:space="preserve">Proceedings of the National Academy of Sciences</w:t>
      </w:r>
      <w:r>
        <w:t xml:space="preserve"> </w:t>
      </w:r>
      <w:r>
        <w:t xml:space="preserve">122 (19).</w:t>
      </w:r>
      <w:r>
        <w:t xml:space="preserve"> </w:t>
      </w:r>
      <w:hyperlink ns5:id="rId396">
        <w:r>
          <w:rPr>
            <w:rStyle w:val="Hipervnculo"/>
          </w:rPr>
          <w:t xml:space="preserve">https://doi.org/10.1073/pnas.2426766122</w:t>
        </w:r>
      </w:hyperlink>
      <w:r>
        <w:t xml:space="preserve">.</w:t>
      </w:r>
    </w:p>
    <w:bookmarkEnd w:id="397"/>
    <w:bookmarkStart w:id="39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398">
        <w:r>
          <w:rPr>
            <w:rStyle w:val="Hipervnculo"/>
          </w:rPr>
          <w:t xml:space="preserve">https://doi.org/10.1145/2939672.2939778</w:t>
        </w:r>
      </w:hyperlink>
      <w:r>
        <w:t xml:space="preserve">.</w:t>
      </w:r>
    </w:p>
    <w:bookmarkEnd w:id="399"/>
    <w:bookmarkStart w:id="40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w:t>
      </w:r>
      <w:r>
        <w:t xml:space="preserve"> </w:t>
      </w:r>
      <w:r>
        <w:t xml:space="preserve">32 (1).</w:t>
      </w:r>
      <w:r>
        <w:t xml:space="preserve"> </w:t>
      </w:r>
      <w:hyperlink ns5:id="rId400">
        <w:r>
          <w:rPr>
            <w:rStyle w:val="Hipervnculo"/>
          </w:rPr>
          <w:t xml:space="preserve">https://doi.org/10.1609/aaai.v32i1.11491</w:t>
        </w:r>
      </w:hyperlink>
      <w:r>
        <w:t xml:space="preserve">.</w:t>
      </w:r>
    </w:p>
    <w:bookmarkEnd w:id="401"/>
    <w:bookmarkStart w:id="403" w:name="ref-rodriguez2024"/>
    <w:p>
      <w:pPr>
        <w:pStyle w:val="Bibliography"/>
        <w:spacing w:line="360" w:lineRule="auto"/>
        <w:jc w:val="both"/>
      </w:pPr>
      <w:r>
        <w:t xml:space="preserve">Rodriguez, Sebastian, and John Thangarajah. 2024.</w:t>
      </w:r>
      <w:r>
        <w:t xml:space="preserve"> </w:t>
      </w:r>
      <w:r>
        <w:t xml:space="preserve">“Explainable Agents (XAg) by Design.”</w:t>
      </w:r>
      <w:r>
        <w:t xml:space="preserve"> </w:t>
      </w:r>
      <w:r>
        <w:rPr>
          <w:i/>
          <w:iCs/>
        </w:rPr>
        <w:t xml:space="preserve">International Joint Conference on Autonomous Agents and Multiagent Systems</w:t>
      </w:r>
      <w:r>
        <w:t xml:space="preserve">, 2712–16.</w:t>
      </w:r>
      <w:r>
        <w:t xml:space="preserve"> </w:t>
      </w:r>
      <w:hyperlink ns5:id="rId402">
        <w:r>
          <w:rPr>
            <w:rStyle w:val="Hipervnculo"/>
          </w:rPr>
          <w:t xml:space="preserve">https://doi.org/10.65109/vllw9552</w:t>
        </w:r>
      </w:hyperlink>
      <w:r>
        <w:t xml:space="preserve">.</w:t>
      </w:r>
    </w:p>
    <w:bookmarkEnd w:id="403"/>
    <w:bookmarkStart w:id="405"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404">
        <w:r>
          <w:rPr>
            <w:rStyle w:val="Hipervnculo"/>
          </w:rPr>
          <w:t xml:space="preserve">https://doi.org/10.1109/TPAMI.2023.3331846</w:t>
        </w:r>
      </w:hyperlink>
      <w:r>
        <w:t xml:space="preserve">.</w:t>
      </w:r>
    </w:p>
    <w:bookmarkEnd w:id="405"/>
    <w:bookmarkStart w:id="407"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w:t>
      </w:r>
      <w:r>
        <w:t xml:space="preserve"> </w:t>
      </w:r>
      <w:r>
        <w:t xml:space="preserve">16 (none).</w:t>
      </w:r>
      <w:r>
        <w:t xml:space="preserve"> </w:t>
      </w:r>
      <w:hyperlink ns5:id="rId406">
        <w:r>
          <w:rPr>
            <w:rStyle w:val="Hipervnculo"/>
          </w:rPr>
          <w:t xml:space="preserve">https://doi.org/10.1214/21-ss133</w:t>
        </w:r>
      </w:hyperlink>
      <w:r>
        <w:t xml:space="preserve">.</w:t>
      </w:r>
    </w:p>
    <w:bookmarkEnd w:id="407"/>
    <w:bookmarkStart w:id="409"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ns5:id="rId408">
        <w:r>
          <w:rPr>
            <w:rStyle w:val="Hipervnculo"/>
          </w:rPr>
          <w:t xml:space="preserve">https://doi.org/10.1038/s42256-019-0048-x</w:t>
        </w:r>
      </w:hyperlink>
      <w:r>
        <w:t xml:space="preserve">.</w:t>
      </w:r>
    </w:p>
    <w:bookmarkEnd w:id="409"/>
    <w:bookmarkStart w:id="411"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w:t>
      </w:r>
      <w:r>
        <w:t xml:space="preserve"> </w:t>
      </w:r>
      <w:r>
        <w:t xml:space="preserve">14 (19): 8884.</w:t>
      </w:r>
      <w:r>
        <w:t xml:space="preserve"> </w:t>
      </w:r>
      <w:hyperlink ns5:id="rId410">
        <w:r>
          <w:rPr>
            <w:rStyle w:val="Hipervnculo"/>
          </w:rPr>
          <w:t xml:space="preserve">https://doi.org/10.3390/app14198884</w:t>
        </w:r>
      </w:hyperlink>
      <w:r>
        <w:t xml:space="preserve">.</w:t>
      </w:r>
    </w:p>
    <w:bookmarkEnd w:id="411"/>
    <w:bookmarkStart w:id="413"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 </w:t>
      </w:r>
      <w:r>
        <w:rPr>
          <w:i/>
          <w:iCs/>
        </w:rPr>
        <w:t xml:space="preserve">Knowledge-Based Systems</w:t>
      </w:r>
      <w:r>
        <w:t xml:space="preserve"> </w:t>
      </w:r>
      <w:r>
        <w:t xml:space="preserve">263: 110273.</w:t>
      </w:r>
      <w:r>
        <w:t xml:space="preserve"> </w:t>
      </w:r>
      <w:hyperlink ns5:id="rId412">
        <w:r>
          <w:rPr>
            <w:rStyle w:val="Hipervnculo"/>
          </w:rPr>
          <w:t xml:space="preserve">https://doi.org/10.1016/j.knosys.2023.110273</w:t>
        </w:r>
      </w:hyperlink>
      <w:r>
        <w:t xml:space="preserve">.</w:t>
      </w:r>
    </w:p>
    <w:bookmarkEnd w:id="413"/>
    <w:bookmarkStart w:id="415"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414">
        <w:r>
          <w:rPr>
            <w:rStyle w:val="Hipervnculo"/>
          </w:rPr>
          <w:t xml:space="preserve">https://doi.org/10.1007/978-3-030-28954-6</w:t>
        </w:r>
      </w:hyperlink>
      <w:r>
        <w:t xml:space="preserve">.</w:t>
      </w:r>
    </w:p>
    <w:bookmarkEnd w:id="415"/>
    <w:bookmarkStart w:id="417" w:name="ref-saqib2024"/>
    <w:p>
      <w:pPr>
        <w:pStyle w:val="Bibliography"/>
        <w:spacing w:line="360" w:lineRule="auto"/>
        <w:jc w:val="both"/>
      </w:pPr>
      <w:r>
        <w:t xml:space="preserve">Saqib, Mohd, Samaneh Mahdavifar, Benjamin C. M. Fung, and Philippe Charland. 2024.</w:t>
      </w:r>
      <w:r>
        <w:t xml:space="preserve"> </w:t>
      </w:r>
      <w:r>
        <w:t xml:space="preserve">“A Comprehensive Analysis of Explainable AI for Malware Hunting.”</w:t>
      </w:r>
      <w:r>
        <w:t xml:space="preserve"> </w:t>
      </w:r>
      <w:r>
        <w:rPr>
          <w:i/>
          <w:iCs/>
        </w:rPr>
        <w:t xml:space="preserve">ACM Computing Surveys</w:t>
      </w:r>
      <w:r>
        <w:t xml:space="preserve"> </w:t>
      </w:r>
      <w:r>
        <w:t xml:space="preserve">56 (12): 1–40.</w:t>
      </w:r>
      <w:r>
        <w:t xml:space="preserve"> </w:t>
      </w:r>
      <w:hyperlink ns5:id="rId416">
        <w:r>
          <w:rPr>
            <w:rStyle w:val="Hipervnculo"/>
          </w:rPr>
          <w:t xml:space="preserve">https://doi.org/10.1145/3677374</w:t>
        </w:r>
      </w:hyperlink>
      <w:r>
        <w:t xml:space="preserve">.</w:t>
      </w:r>
    </w:p>
    <w:bookmarkEnd w:id="417"/>
    <w:bookmarkStart w:id="419"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w:t>
      </w:r>
      <w:r>
        <w:t xml:space="preserve"> </w:t>
      </w:r>
      <w:r>
        <w:t xml:space="preserve">38 (5): 3043–101.</w:t>
      </w:r>
      <w:r>
        <w:t xml:space="preserve"> </w:t>
      </w:r>
      <w:hyperlink ns5:id="rId418">
        <w:r>
          <w:rPr>
            <w:rStyle w:val="Hipervnculo"/>
          </w:rPr>
          <w:t xml:space="preserve">https://doi.org/10.1007/s10618-022-00867-8</w:t>
        </w:r>
      </w:hyperlink>
      <w:r>
        <w:t xml:space="preserve">.</w:t>
      </w:r>
    </w:p>
    <w:bookmarkEnd w:id="419"/>
    <w:bookmarkStart w:id="421"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20">
        <w:r>
          <w:rPr>
            <w:rStyle w:val="Hipervnculo"/>
          </w:rPr>
          <w:t xml:space="preserve">https://www.rand.org/pubs/papers/P0295.html</w:t>
        </w:r>
      </w:hyperlink>
      <w:r>
        <w:t xml:space="preserve">.</w:t>
      </w:r>
    </w:p>
    <w:bookmarkEnd w:id="421"/>
    <w:bookmarkStart w:id="423" w:name="ref-sithakoul2024"/>
    <w:p>
      <w:pPr>
        <w:pStyle w:val="Bibliography"/>
        <w:spacing w:line="360" w:lineRule="auto"/>
        <w:jc w:val="both"/>
      </w:pPr>
      <w:r>
        <w:t xml:space="preserve">Sithakoul, Samuel, Sara Meftah, and Clément Feutry. 2024.</w:t>
      </w:r>
      <w:r>
        <w:t xml:space="preserve"> </w:t>
      </w:r>
      <w:r>
        <w:rPr>
          <w:i/>
          <w:iCs/>
        </w:rPr>
        <w:t xml:space="preserve">BEExAI: Benchmark to Evaluate Explainable AI</w:t>
      </w:r>
      <w:r>
        <w:t xml:space="preserve">. Springer Nature Switzerland.</w:t>
      </w:r>
      <w:r>
        <w:t xml:space="preserve"> </w:t>
      </w:r>
      <w:hyperlink ns5:id="rId422">
        <w:r>
          <w:rPr>
            <w:rStyle w:val="Hipervnculo"/>
          </w:rPr>
          <w:t xml:space="preserve">https://doi.org/10.1007/978-3-031-63787-2_23</w:t>
        </w:r>
      </w:hyperlink>
      <w:r>
        <w:t xml:space="preserve">.</w:t>
      </w:r>
    </w:p>
    <w:bookmarkEnd w:id="423"/>
    <w:bookmarkStart w:id="425"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424">
        <w:r>
          <w:rPr>
            <w:rStyle w:val="Hipervnculo"/>
          </w:rPr>
          <w:t xml:space="preserve">https://doi.org/10.1145/3375627.3375830</w:t>
        </w:r>
      </w:hyperlink>
      <w:r>
        <w:t xml:space="preserve">.</w:t>
      </w:r>
    </w:p>
    <w:bookmarkEnd w:id="425"/>
    <w:bookmarkStart w:id="427"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6">
        <w:r>
          <w:rPr>
            <w:rStyle w:val="Hipervnculo"/>
          </w:rPr>
          <w:t xml:space="preserve">https://doi.org/10.1007/s13218-020-00637-y</w:t>
        </w:r>
      </w:hyperlink>
      <w:r>
        <w:t xml:space="preserve">.</w:t>
      </w:r>
    </w:p>
    <w:bookmarkEnd w:id="427"/>
    <w:bookmarkStart w:id="429" w:name="ref-tan2023"/>
    <w:p>
      <w:pPr>
        <w:pStyle w:val="Bibliography"/>
        <w:spacing w:line="360" w:lineRule="auto"/>
        <w:jc w:val="both"/>
      </w:pPr>
      <w:r>
        <w:t xml:space="preserve">Tan, Juntao, and Yongfeng Zhang. 2023.</w:t>
      </w:r>
      <w:r>
        <w:t xml:space="preserve"> </w:t>
      </w:r>
      <w:r>
        <w:t xml:space="preserve">“ExplainableFold: Understanding AlphaFold Prediction with Explainable AI.”</w:t>
      </w:r>
      <w:r>
        <w:t xml:space="preserve"> </w:t>
      </w:r>
      <w:r>
        <w:rPr>
          <w:i/>
          <w:iCs/>
        </w:rPr>
        <w:t xml:space="preserve">Proceedings of the 29th ACM SIGKDD Conference on Knowledge Discovery and Data Mining</w:t>
      </w:r>
      <w:r>
        <w:t xml:space="preserve">, 2166–76.</w:t>
      </w:r>
      <w:r>
        <w:t xml:space="preserve"> </w:t>
      </w:r>
      <w:hyperlink ns5:id="rId428">
        <w:r>
          <w:rPr>
            <w:rStyle w:val="Hipervnculo"/>
          </w:rPr>
          <w:t xml:space="preserve">https://doi.org/10.1145/3580305.3599337</w:t>
        </w:r>
      </w:hyperlink>
      <w:r>
        <w:t xml:space="preserve">.</w:t>
      </w:r>
    </w:p>
    <w:bookmarkEnd w:id="429"/>
    <w:bookmarkStart w:id="431"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430">
        <w:r>
          <w:rPr>
            <w:rStyle w:val="Hipervnculo"/>
          </w:rPr>
          <w:t xml:space="preserve">https://doi.org/10.1109/TNNLS.2020.3027314</w:t>
        </w:r>
      </w:hyperlink>
      <w:r>
        <w:t xml:space="preserve">.</w:t>
      </w:r>
    </w:p>
    <w:bookmarkEnd w:id="431"/>
    <w:bookmarkStart w:id="433"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432">
        <w:r>
          <w:rPr>
            <w:rStyle w:val="Hipervnculo"/>
          </w:rPr>
          <w:t xml:space="preserve">https://doi.org/10.1609/aaai.v34i04.6064</w:t>
        </w:r>
      </w:hyperlink>
      <w:r>
        <w:t xml:space="preserve">.</w:t>
      </w:r>
    </w:p>
    <w:bookmarkEnd w:id="433"/>
    <w:bookmarkStart w:id="435"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434">
        <w:r>
          <w:rPr>
            <w:rStyle w:val="Hipervnculo"/>
          </w:rPr>
          <w:t xml:space="preserve">https://doi.org/10.1201/9781003442509</w:t>
        </w:r>
      </w:hyperlink>
      <w:r>
        <w:t xml:space="preserve">.</w:t>
      </w:r>
    </w:p>
    <w:bookmarkEnd w:id="435"/>
    <w:bookmarkStart w:id="436" w:name="ref-tsai2023"/>
    <w:p>
      <w:pPr>
        <w:pStyle w:val="Bibliography"/>
        <w:spacing w:line="360" w:lineRule="auto"/>
        <w:jc w:val="both"/>
      </w:pPr>
      <w:r>
        <w:t xml:space="preserve">Tsai, Che-Ping, Chih-Kuan Yeh, and Pradeep Ravikumar. 2023.</w:t>
      </w:r>
      <w:r>
        <w:t xml:space="preserve"> </w:t>
      </w:r>
      <w:r>
        <w:t xml:space="preserve">“Faith-Shap: The Faithful Shapley Interaction Index.”</w:t>
      </w:r>
      <w:r>
        <w:t xml:space="preserve"> </w:t>
      </w:r>
      <w:r>
        <w:rPr>
          <w:i/>
          <w:iCs/>
        </w:rPr>
        <w:t xml:space="preserve">Journal of Machine Learning Research</w:t>
      </w:r>
      <w:r>
        <w:t xml:space="preserve"> </w:t>
      </w:r>
      <w:r>
        <w:t xml:space="preserve">24: 1–42.</w:t>
      </w:r>
    </w:p>
    <w:bookmarkEnd w:id="436"/>
    <w:bookmarkStart w:id="438" w:name="ref-tsigos2024"/>
    <w:p>
      <w:pPr>
        <w:pStyle w:val="Bibliography"/>
        <w:spacing w:line="360" w:lineRule="auto"/>
        <w:jc w:val="both"/>
      </w:pPr>
      <w:r>
        <w:t xml:space="preserve">Tsigos, Konstantinos, Evlampios Apostolidis, Spyridon Baxevanakis, Symeon Papadopoulos, and Vasileios Mezaris. 2024.</w:t>
      </w:r>
      <w:r>
        <w:t xml:space="preserve"> </w:t>
      </w:r>
      <w:r>
        <w:t xml:space="preserve">“Towards Quantitative Evaluation of Explainable AI Methods for Deepfake Detection.”</w:t>
      </w:r>
      <w:r>
        <w:t xml:space="preserve"> </w:t>
      </w:r>
      <w:r>
        <w:rPr>
          <w:i/>
          <w:iCs/>
        </w:rPr>
        <w:t xml:space="preserve">3rd ACM International Workshop on Multimedia AI Against Disinformation</w:t>
      </w:r>
      <w:r>
        <w:t xml:space="preserve">, 37–45.</w:t>
      </w:r>
      <w:r>
        <w:t xml:space="preserve"> </w:t>
      </w:r>
      <w:hyperlink ns5:id="rId437">
        <w:r>
          <w:rPr>
            <w:rStyle w:val="Hipervnculo"/>
          </w:rPr>
          <w:t xml:space="preserve">https://doi.org/10.1145/3643491.3660292</w:t>
        </w:r>
      </w:hyperlink>
      <w:r>
        <w:t xml:space="preserve">.</w:t>
      </w:r>
    </w:p>
    <w:bookmarkEnd w:id="438"/>
    <w:bookmarkStart w:id="440" w:name="ref-ullah2024"/>
    <w:p>
      <w:pPr>
        <w:pStyle w:val="Bibliography"/>
        <w:spacing w:line="360" w:lineRule="auto"/>
        <w:jc w:val="both"/>
      </w:pPr>
      <w:r>
        <w:t xml:space="preserve">Ullah, Naeem, Javed Ali Khan, Ivanoe De Falco, and Giovanna Sannino. 2024.</w:t>
      </w:r>
      <w:r>
        <w:t xml:space="preserve"> </w:t>
      </w:r>
      <w:r>
        <w:t xml:space="preserve">“Explainable Artificial Intelligence: Importance, Use Domains, Stages, Output Shapes, and Challenges.”</w:t>
      </w:r>
      <w:r>
        <w:t xml:space="preserve"> </w:t>
      </w:r>
      <w:r>
        <w:rPr>
          <w:i/>
          <w:iCs/>
        </w:rPr>
        <w:t xml:space="preserve">ACM Computing Surveys</w:t>
      </w:r>
      <w:r>
        <w:t xml:space="preserve"> </w:t>
      </w:r>
      <w:r>
        <w:t xml:space="preserve">57 (4): 1–36.</w:t>
      </w:r>
      <w:r>
        <w:t xml:space="preserve"> </w:t>
      </w:r>
      <w:hyperlink ns5:id="rId439">
        <w:r>
          <w:rPr>
            <w:rStyle w:val="Hipervnculo"/>
          </w:rPr>
          <w:t xml:space="preserve">https://doi.org/10.1145/3705724</w:t>
        </w:r>
      </w:hyperlink>
      <w:r>
        <w:t xml:space="preserve">.</w:t>
      </w:r>
    </w:p>
    <w:bookmarkEnd w:id="440"/>
    <w:bookmarkStart w:id="442"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 </w:t>
      </w:r>
      <w:r>
        <w:rPr>
          <w:i/>
          <w:iCs/>
        </w:rPr>
        <w:t xml:space="preserve">ACM Transactions on Interactive Intelligent Systems</w:t>
      </w:r>
      <w:r>
        <w:t xml:space="preserve"> </w:t>
      </w:r>
      <w:r>
        <w:t xml:space="preserve">13 (4): 1–39.</w:t>
      </w:r>
      <w:r>
        <w:t xml:space="preserve"> </w:t>
      </w:r>
      <w:hyperlink ns5:id="rId441">
        <w:r>
          <w:rPr>
            <w:rStyle w:val="Hipervnculo"/>
          </w:rPr>
          <w:t xml:space="preserve">https://doi.org/10.1145/3599974</w:t>
        </w:r>
      </w:hyperlink>
      <w:r>
        <w:t xml:space="preserve">.</w:t>
      </w:r>
    </w:p>
    <w:bookmarkEnd w:id="442"/>
    <w:bookmarkStart w:id="444"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443">
        <w:r>
          <w:rPr>
            <w:rStyle w:val="Hipervnculo"/>
          </w:rPr>
          <w:t xml:space="preserve">https://doi.org/10.1613/jair.1.13283</w:t>
        </w:r>
      </w:hyperlink>
      <w:r>
        <w:t xml:space="preserve">.</w:t>
      </w:r>
    </w:p>
    <w:bookmarkEnd w:id="444"/>
    <w:bookmarkStart w:id="446"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445">
        <w:r>
          <w:rPr>
            <w:rStyle w:val="Hipervnculo"/>
          </w:rPr>
          <w:t xml:space="preserve">https://doi.org/10.1007/978-3-319-57959-7</w:t>
        </w:r>
      </w:hyperlink>
      <w:r>
        <w:t xml:space="preserve">.</w:t>
      </w:r>
    </w:p>
    <w:bookmarkEnd w:id="446"/>
    <w:bookmarkStart w:id="448"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447">
        <w:r>
          <w:rPr>
            <w:rStyle w:val="Hipervnculo"/>
          </w:rPr>
          <w:t xml:space="preserve">https://doi.org/10.2139/ssrn.3063289</w:t>
        </w:r>
      </w:hyperlink>
      <w:r>
        <w:t xml:space="preserve">.</w:t>
      </w:r>
    </w:p>
    <w:bookmarkEnd w:id="448"/>
    <w:bookmarkStart w:id="449" w:name="ref-wang2025"/>
    <w:p>
      <w:pPr>
        <w:pStyle w:val="Bibliography"/>
        <w:spacing w:line="360" w:lineRule="auto"/>
        <w:jc w:val="both"/>
      </w:pPr>
      <w:r>
        <w:t xml:space="preserve">Wang, Zhanliang, and Kai Wang. 2025.</w:t>
      </w:r>
      <w:r>
        <w:t xml:space="preserve"> </w:t>
      </w:r>
      <w:r>
        <w:rPr>
          <w:i/>
          <w:iCs/>
        </w:rPr>
        <w:t xml:space="preserve">MultiSHAP: A Shapley-Based Framework for Explaining Cross-Modal Interactions in Multimodal AI Models</w:t>
      </w:r>
      <w:r>
        <w:t xml:space="preserve">.</w:t>
      </w:r>
    </w:p>
    <w:bookmarkEnd w:id="449"/>
    <w:bookmarkStart w:id="451"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450">
        <w:r>
          <w:rPr>
            <w:rStyle w:val="Hipervnculo"/>
          </w:rPr>
          <w:t xml:space="preserve">https://doi.org/10.2307/3001968</w:t>
        </w:r>
      </w:hyperlink>
      <w:r>
        <w:t xml:space="preserve">.</w:t>
      </w:r>
    </w:p>
    <w:bookmarkEnd w:id="451"/>
    <w:bookmarkStart w:id="453"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452">
        <w:r>
          <w:rPr>
            <w:rStyle w:val="Hipervnculo"/>
          </w:rPr>
          <w:t xml:space="preserve">https://trustai4s-lab.github.io/ffidelity</w:t>
        </w:r>
      </w:hyperlink>
      <w:r>
        <w:t xml:space="preserve">.</w:t>
      </w:r>
    </w:p>
    <w:bookmarkEnd w:id="453"/>
    <w:bookmarkEnd w:id="454"/>
    <w:bookmarkEnd w:id="455"/>
    <w:bookmarkStart w:id="479" w:name="apéndices"/>
    <w:p>
      <w:pPr>
        <w:pStyle w:val="Ttulo1"/>
        <w:spacing w:line="360" w:lineRule="auto"/>
        <w:jc w:val="both"/>
      </w:pPr>
      <w:r>
        <w:t xml:space="preserve">Apéndices</w:t>
      </w:r>
    </w:p>
    <w:bookmarkStart w:id="457"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456"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6"/>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7"/>
    <w:bookmarkStart w:id="459"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458"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8"/>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9"/>
    <w:bookmarkStart w:id="466"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460"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60"/>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5"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461"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1"/>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462"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2"/>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463"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3"/>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464"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4"/>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5"/>
    <w:bookmarkEnd w:id="466"/>
    <w:bookmarkStart w:id="474"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467"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7"/>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9"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468"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8"/>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9"/>
    <w:bookmarkStart w:id="471"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470"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70"/>
          <w:p>
            <w:pPr>
              <w:spacing w:line="360" w:lineRule="auto"/>
              <w:jc w:val="both"/>
            </w:pPr>
          </w:p>
        </w:tc>
      </w:tr>
    </w:tbl>
    <w:bookmarkEnd w:id="471"/>
    <w:bookmarkStart w:id="473"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472"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2"/>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3"/>
    <w:bookmarkEnd w:id="474"/>
    <w:bookmarkStart w:id="476"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475"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5"/>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6"/>
    <w:bookmarkStart w:id="478"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477"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477"/>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478"/>
    <w:bookmarkEnd w:id="479"/>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7" Target="media/rId147.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60" Target="http://archive.ics.uci.edu/ml" TargetMode="External" /><Relationship Type="http://schemas.openxmlformats.org/officeDocument/2006/relationships/hyperlink" Id="rId322" Target="https://archive.ics.uci.edu/dataset/2/adult" TargetMode="External" /><Relationship Type="http://schemas.openxmlformats.org/officeDocument/2006/relationships/hyperlink" Id="rId214" Target="https://arxiv.org/abs/1806.08049" TargetMode="External" /><Relationship Type="http://schemas.openxmlformats.org/officeDocument/2006/relationships/hyperlink" Id="rId375" Target="https://catalog.princeton.edu/catalog/2081365" TargetMode="External" /><Relationship Type="http://schemas.openxmlformats.org/officeDocument/2006/relationships/hyperlink" Id="rId218" Target="https://doi.org/10.1002/widm.1424" TargetMode="External" /><Relationship Type="http://schemas.openxmlformats.org/officeDocument/2006/relationships/hyperlink" Id="rId348" Target="https://doi.org/10.1002/widm.1493" TargetMode="External" /><Relationship Type="http://schemas.openxmlformats.org/officeDocument/2006/relationships/hyperlink" Id="rId414" Target="https://doi.org/10.1007/978-3-030-28954-6" TargetMode="External" /><Relationship Type="http://schemas.openxmlformats.org/officeDocument/2006/relationships/hyperlink" Id="rId361" Target="https://doi.org/10.1007/978-3-030-65965-3_28" TargetMode="External" /><Relationship Type="http://schemas.openxmlformats.org/officeDocument/2006/relationships/hyperlink" Id="rId299" Target="https://doi.org/10.1007/978-3-031-04083-2_2" TargetMode="External" /><Relationship Type="http://schemas.openxmlformats.org/officeDocument/2006/relationships/hyperlink" Id="rId422" Target="https://doi.org/10.1007/978-3-031-63787-2_23" TargetMode="External" /><Relationship Type="http://schemas.openxmlformats.org/officeDocument/2006/relationships/hyperlink" Id="rId350" Target="https://doi.org/10.1007/978-3-031-75387-9_12" TargetMode="External" /><Relationship Type="http://schemas.openxmlformats.org/officeDocument/2006/relationships/hyperlink" Id="rId208" Target="https://doi.org/10.1007/978-3-032-06744-9_14" TargetMode="External" /><Relationship Type="http://schemas.openxmlformats.org/officeDocument/2006/relationships/hyperlink" Id="rId445" Target="https://doi.org/10.1007/978-3-319-57959-7" TargetMode="External" /><Relationship Type="http://schemas.openxmlformats.org/officeDocument/2006/relationships/hyperlink" Id="rId418" Target="https://doi.org/10.1007/s10618-022-00867-8" TargetMode="External" /><Relationship Type="http://schemas.openxmlformats.org/officeDocument/2006/relationships/hyperlink" Id="rId371" Target="https://doi.org/10.1007/s10676-024-09773-7" TargetMode="External" /><Relationship Type="http://schemas.openxmlformats.org/officeDocument/2006/relationships/hyperlink" Id="rId273" Target="https://doi.org/10.1007/s11023-018-9482-5" TargetMode="External" /><Relationship Type="http://schemas.openxmlformats.org/officeDocument/2006/relationships/hyperlink" Id="rId293" Target="https://doi.org/10.1007/s12559-023-10179-8" TargetMode="External" /><Relationship Type="http://schemas.openxmlformats.org/officeDocument/2006/relationships/hyperlink" Id="rId426" Target="https://doi.org/10.1007/s13218-020-00637-y" TargetMode="External" /><Relationship Type="http://schemas.openxmlformats.org/officeDocument/2006/relationships/hyperlink" Id="rId297" Target="https://doi.org/10.1007/s13218-023-00806-9" TargetMode="External" /><Relationship Type="http://schemas.openxmlformats.org/officeDocument/2006/relationships/hyperlink" Id="rId301" Target="https://doi.org/10.1016/j.array.2025.100399" TargetMode="External" /><Relationship Type="http://schemas.openxmlformats.org/officeDocument/2006/relationships/hyperlink" Id="rId352" Target="https://doi.org/10.1016/j.artint.2018.07.007" TargetMode="External" /><Relationship Type="http://schemas.openxmlformats.org/officeDocument/2006/relationships/hyperlink" Id="rId331" Target="https://doi.org/10.1016/j.artint.2021.103473" TargetMode="External" /><Relationship Type="http://schemas.openxmlformats.org/officeDocument/2006/relationships/hyperlink" Id="rId222" Target="https://doi.org/10.1016/j.inffus.2019.12.012" TargetMode="External" /><Relationship Type="http://schemas.openxmlformats.org/officeDocument/2006/relationships/hyperlink" Id="rId206" Target="https://doi.org/10.1016/j.inffus.2023.101805" TargetMode="External" /><Relationship Type="http://schemas.openxmlformats.org/officeDocument/2006/relationships/hyperlink" Id="rId342" Target="https://doi.org/10.1016/j.inffus.2024.102301" TargetMode="External" /><Relationship Type="http://schemas.openxmlformats.org/officeDocument/2006/relationships/hyperlink" Id="rId324" Target="https://doi.org/10.1016/j.jcm.2016.02.012" TargetMode="External" /><Relationship Type="http://schemas.openxmlformats.org/officeDocument/2006/relationships/hyperlink" Id="rId412" Target="https://doi.org/10.1016/j.knosys.2023.110273" TargetMode="External" /><Relationship Type="http://schemas.openxmlformats.org/officeDocument/2006/relationships/hyperlink" Id="rId386" Target="https://doi.org/10.1016/j.neucom.2024.128282" TargetMode="External" /><Relationship Type="http://schemas.openxmlformats.org/officeDocument/2006/relationships/hyperlink" Id="rId238" Target="https://doi.org/10.1023/a:1010933404324" TargetMode="External" /><Relationship Type="http://schemas.openxmlformats.org/officeDocument/2006/relationships/hyperlink" Id="rId383" Target="https://doi.org/10.1038/s41467-022-33417-3" TargetMode="External" /><Relationship Type="http://schemas.openxmlformats.org/officeDocument/2006/relationships/hyperlink" Id="rId203" Target="https://doi.org/10.1038/s41597-023-01974-x" TargetMode="External" /><Relationship Type="http://schemas.openxmlformats.org/officeDocument/2006/relationships/hyperlink" Id="rId408" Target="https://doi.org/10.1038/s42256-019-0048-x" TargetMode="External" /><Relationship Type="http://schemas.openxmlformats.org/officeDocument/2006/relationships/hyperlink" Id="rId369" Target="https://doi.org/10.1073/pnas.1900654116" TargetMode="External" /><Relationship Type="http://schemas.openxmlformats.org/officeDocument/2006/relationships/hyperlink" Id="rId396" Target="https://doi.org/10.1073/pnas.2426766122" TargetMode="External" /><Relationship Type="http://schemas.openxmlformats.org/officeDocument/2006/relationships/hyperlink" Id="rId279" Target="https://doi.org/10.1080/01621459.1937.10503522" TargetMode="External" /><Relationship Type="http://schemas.openxmlformats.org/officeDocument/2006/relationships/hyperlink" Id="rId285" Target="https://doi.org/10.1080/10618600.2014.907095" TargetMode="External" /><Relationship Type="http://schemas.openxmlformats.org/officeDocument/2006/relationships/hyperlink" Id="rId195" Target="https://doi.org/10.1109/INES59045.2023.1030000" TargetMode="External" /><Relationship Type="http://schemas.openxmlformats.org/officeDocument/2006/relationships/hyperlink" Id="rId430" Target="https://doi.org/10.1109/TNNLS.2020.3027314" TargetMode="External" /><Relationship Type="http://schemas.openxmlformats.org/officeDocument/2006/relationships/hyperlink" Id="rId404" Target="https://doi.org/10.1109/TPAMI.2023.3331846" TargetMode="External" /><Relationship Type="http://schemas.openxmlformats.org/officeDocument/2006/relationships/hyperlink" Id="rId199" Target="https://doi.org/10.1109/access.2018.2870052" TargetMode="External" /><Relationship Type="http://schemas.openxmlformats.org/officeDocument/2006/relationships/hyperlink" Id="rId310" Target="https://doi.org/10.1109/access.2025.3546681" TargetMode="External" /><Relationship Type="http://schemas.openxmlformats.org/officeDocument/2006/relationships/hyperlink" Id="rId283" Target="https://doi.org/10.1109/dsaa.2018.00018" TargetMode="External" /><Relationship Type="http://schemas.openxmlformats.org/officeDocument/2006/relationships/hyperlink" Id="rId220" Target="https://doi.org/10.1111/rssb.12377" TargetMode="External" /><Relationship Type="http://schemas.openxmlformats.org/officeDocument/2006/relationships/hyperlink" Id="rId303" Target="https://doi.org/10.1126/science.359.6377.725" TargetMode="External" /><Relationship Type="http://schemas.openxmlformats.org/officeDocument/2006/relationships/hyperlink" Id="rId398" Target="https://doi.org/10.1145/2939672.2939778" TargetMode="External" /><Relationship Type="http://schemas.openxmlformats.org/officeDocument/2006/relationships/hyperlink" Id="rId193" Target="https://doi.org/10.1145/3173574.3174156" TargetMode="External" /><Relationship Type="http://schemas.openxmlformats.org/officeDocument/2006/relationships/hyperlink" Id="rId289" Target="https://doi.org/10.1145/3236009" TargetMode="External" /><Relationship Type="http://schemas.openxmlformats.org/officeDocument/2006/relationships/hyperlink" Id="rId338" Target="https://doi.org/10.1145/3236386.3241340" TargetMode="External" /><Relationship Type="http://schemas.openxmlformats.org/officeDocument/2006/relationships/hyperlink" Id="rId357" Target="https://doi.org/10.1145/3287560.3287574" TargetMode="External" /><Relationship Type="http://schemas.openxmlformats.org/officeDocument/2006/relationships/hyperlink" Id="rId316" Target="https://doi.org/10.1145/3313831.3376219" TargetMode="External" /><Relationship Type="http://schemas.openxmlformats.org/officeDocument/2006/relationships/hyperlink" Id="rId365" Target="https://doi.org/10.1145/3351095.3372850" TargetMode="External" /><Relationship Type="http://schemas.openxmlformats.org/officeDocument/2006/relationships/hyperlink" Id="rId424" Target="https://doi.org/10.1145/3375627.3375830" TargetMode="External" /><Relationship Type="http://schemas.openxmlformats.org/officeDocument/2006/relationships/hyperlink" Id="rId392" Target="https://doi.org/10.1145/3375627.3375850" TargetMode="External" /><Relationship Type="http://schemas.openxmlformats.org/officeDocument/2006/relationships/hyperlink" Id="rId359" Target="https://doi.org/10.1145/3387166" TargetMode="External" /><Relationship Type="http://schemas.openxmlformats.org/officeDocument/2006/relationships/hyperlink" Id="rId312" Target="https://doi.org/10.1145/3527848" TargetMode="External" /><Relationship Type="http://schemas.openxmlformats.org/officeDocument/2006/relationships/hyperlink" Id="rId201" Target="https://doi.org/10.1145/3533381" TargetMode="External" /><Relationship Type="http://schemas.openxmlformats.org/officeDocument/2006/relationships/hyperlink" Id="rId266" Target="https://doi.org/10.1145/3544549.3573832" TargetMode="External" /><Relationship Type="http://schemas.openxmlformats.org/officeDocument/2006/relationships/hyperlink" Id="rId262" Target="https://doi.org/10.1145/3561048" TargetMode="External" /><Relationship Type="http://schemas.openxmlformats.org/officeDocument/2006/relationships/hyperlink" Id="rId307" Target="https://doi.org/10.1145/3571730" TargetMode="External" /><Relationship Type="http://schemas.openxmlformats.org/officeDocument/2006/relationships/hyperlink" Id="rId270" Target="https://doi.org/10.1145/3573900.3591114" TargetMode="External" /><Relationship Type="http://schemas.openxmlformats.org/officeDocument/2006/relationships/hyperlink" Id="rId428" Target="https://doi.org/10.1145/3580305.3599337" TargetMode="External" /><Relationship Type="http://schemas.openxmlformats.org/officeDocument/2006/relationships/hyperlink" Id="rId373" Target="https://doi.org/10.1145/3583558" TargetMode="External" /><Relationship Type="http://schemas.openxmlformats.org/officeDocument/2006/relationships/hyperlink" Id="rId327" Target="https://doi.org/10.1145/3592307.3592342" TargetMode="External" /><Relationship Type="http://schemas.openxmlformats.org/officeDocument/2006/relationships/hyperlink" Id="rId441" Target="https://doi.org/10.1145/3599974" TargetMode="External" /><Relationship Type="http://schemas.openxmlformats.org/officeDocument/2006/relationships/hyperlink" Id="rId287" Target="https://doi.org/10.1145/3605098.3636109" TargetMode="External" /><Relationship Type="http://schemas.openxmlformats.org/officeDocument/2006/relationships/hyperlink" Id="rId355" Target="https://doi.org/10.1145/3607947.3608059" TargetMode="External" /><Relationship Type="http://schemas.openxmlformats.org/officeDocument/2006/relationships/hyperlink" Id="rId363" Target="https://doi.org/10.1145/3610064" TargetMode="External" /><Relationship Type="http://schemas.openxmlformats.org/officeDocument/2006/relationships/hyperlink" Id="rId380" Target="https://doi.org/10.1145/3613904.3642352" TargetMode="External" /><Relationship Type="http://schemas.openxmlformats.org/officeDocument/2006/relationships/hyperlink" Id="rId319" Target="https://doi.org/10.1145/3613905.3638184" TargetMode="External" /><Relationship Type="http://schemas.openxmlformats.org/officeDocument/2006/relationships/hyperlink" Id="rId281" Target="https://doi.org/10.1145/3626203.3670522" TargetMode="External" /><Relationship Type="http://schemas.openxmlformats.org/officeDocument/2006/relationships/hyperlink" Id="rId234" Target="https://doi.org/10.1145/3631700.3664911" TargetMode="External" /><Relationship Type="http://schemas.openxmlformats.org/officeDocument/2006/relationships/hyperlink" Id="rId305" Target="https://doi.org/10.1145/3631908.3631925" TargetMode="External" /><Relationship Type="http://schemas.openxmlformats.org/officeDocument/2006/relationships/hyperlink" Id="rId252" Target="https://doi.org/10.1145/3638380.3638426" TargetMode="External" /><Relationship Type="http://schemas.openxmlformats.org/officeDocument/2006/relationships/hyperlink" Id="rId437" Target="https://doi.org/10.1145/3643491.3660292" TargetMode="External" /><Relationship Type="http://schemas.openxmlformats.org/officeDocument/2006/relationships/hyperlink" Id="rId232" Target="https://doi.org/10.1145/3643834.3660722" TargetMode="External" /><Relationship Type="http://schemas.openxmlformats.org/officeDocument/2006/relationships/hyperlink" Id="rId346" Target="https://doi.org/10.1145/3647444.3647912" TargetMode="External" /><Relationship Type="http://schemas.openxmlformats.org/officeDocument/2006/relationships/hyperlink" Id="rId224" Target="https://doi.org/10.1145/3649144" TargetMode="External" /><Relationship Type="http://schemas.openxmlformats.org/officeDocument/2006/relationships/hyperlink" Id="rId314" Target="https://doi.org/10.1145/3651593" TargetMode="External" /><Relationship Type="http://schemas.openxmlformats.org/officeDocument/2006/relationships/hyperlink" Id="rId230" Target="https://doi.org/10.1145/3670685" TargetMode="External" /><Relationship Type="http://schemas.openxmlformats.org/officeDocument/2006/relationships/hyperlink" Id="rId240" Target="https://doi.org/10.1145/3672359.3672363" TargetMode="External" /><Relationship Type="http://schemas.openxmlformats.org/officeDocument/2006/relationships/hyperlink" Id="rId416" Target="https://doi.org/10.1145/3677374" TargetMode="External" /><Relationship Type="http://schemas.openxmlformats.org/officeDocument/2006/relationships/hyperlink" Id="rId390" Target="https://doi.org/10.1145/3678884.3682046" TargetMode="External" /><Relationship Type="http://schemas.openxmlformats.org/officeDocument/2006/relationships/hyperlink" Id="rId264" Target="https://doi.org/10.1145/3686169.3686185" TargetMode="External" /><Relationship Type="http://schemas.openxmlformats.org/officeDocument/2006/relationships/hyperlink" Id="rId254" Target="https://doi.org/10.1145/3702038.3702093" TargetMode="External" /><Relationship Type="http://schemas.openxmlformats.org/officeDocument/2006/relationships/hyperlink" Id="rId367" Target="https://doi.org/10.1145/3704522.3704524" TargetMode="External" /><Relationship Type="http://schemas.openxmlformats.org/officeDocument/2006/relationships/hyperlink" Id="rId439" Target="https://doi.org/10.1145/3705724" TargetMode="External" /><Relationship Type="http://schemas.openxmlformats.org/officeDocument/2006/relationships/hyperlink" Id="rId377" Target="https://doi.org/10.1145/3711123" TargetMode="External" /><Relationship Type="http://schemas.openxmlformats.org/officeDocument/2006/relationships/hyperlink" Id="rId244" Target="https://doi.org/10.1145/3737445" TargetMode="External" /><Relationship Type="http://schemas.openxmlformats.org/officeDocument/2006/relationships/hyperlink" Id="rId210" Target="https://doi.org/10.1146/annurev-statistics-040120-030919" TargetMode="External" /><Relationship Type="http://schemas.openxmlformats.org/officeDocument/2006/relationships/hyperlink" Id="rId250" Target="https://doi.org/10.1177/001316446002000104" TargetMode="External" /><Relationship Type="http://schemas.openxmlformats.org/officeDocument/2006/relationships/hyperlink" Id="rId434" Target="https://doi.org/10.1201/9781003442509" TargetMode="External" /><Relationship Type="http://schemas.openxmlformats.org/officeDocument/2006/relationships/hyperlink" Id="rId275" Target="https://doi.org/10.1214/07-aoas148" TargetMode="External" /><Relationship Type="http://schemas.openxmlformats.org/officeDocument/2006/relationships/hyperlink" Id="rId406" Target="https://doi.org/10.1214/21-ss133" TargetMode="External" /><Relationship Type="http://schemas.openxmlformats.org/officeDocument/2006/relationships/hyperlink" Id="rId277" Target="https://doi.org/10.1214/aos/1013203451" TargetMode="External" /><Relationship Type="http://schemas.openxmlformats.org/officeDocument/2006/relationships/hyperlink" Id="rId400" Target="https://doi.org/10.1609/aaai.v32i1.11491" TargetMode="External" /><Relationship Type="http://schemas.openxmlformats.org/officeDocument/2006/relationships/hyperlink" Id="rId432" Target="https://doi.org/10.1609/aaai.v34i04.6064" TargetMode="External" /><Relationship Type="http://schemas.openxmlformats.org/officeDocument/2006/relationships/hyperlink" Id="rId216" Target="https://doi.org/10.1609/aimag.v35i4.2513" TargetMode="External" /><Relationship Type="http://schemas.openxmlformats.org/officeDocument/2006/relationships/hyperlink" Id="rId443" Target="https://doi.org/10.1613/jair.1.13283" TargetMode="External" /><Relationship Type="http://schemas.openxmlformats.org/officeDocument/2006/relationships/hyperlink" Id="rId388" Target="https://doi.org/10.1613/jair.1.14888" TargetMode="External" /><Relationship Type="http://schemas.openxmlformats.org/officeDocument/2006/relationships/hyperlink" Id="rId291" Target="https://doi.org/10.18653/v1/2020.acl-main.491" TargetMode="External" /><Relationship Type="http://schemas.openxmlformats.org/officeDocument/2006/relationships/hyperlink" Id="rId226" Target="https://doi.org/10.18653/v1/2020.blackboxnlp-1.14" TargetMode="External" /><Relationship Type="http://schemas.openxmlformats.org/officeDocument/2006/relationships/hyperlink" Id="rId242" Target="https://doi.org/10.18653/v1/2023.emnlp-main.792" TargetMode="External" /><Relationship Type="http://schemas.openxmlformats.org/officeDocument/2006/relationships/hyperlink" Id="rId447" Target="https://doi.org/10.2139/ssrn.3063289" TargetMode="External" /><Relationship Type="http://schemas.openxmlformats.org/officeDocument/2006/relationships/hyperlink" Id="rId197" Target="https://doi.org/10.2139/ssrn.4710037" TargetMode="External" /><Relationship Type="http://schemas.openxmlformats.org/officeDocument/2006/relationships/hyperlink" Id="rId248" Target="https://doi.org/10.2139/ssrn.5040613" TargetMode="External" /><Relationship Type="http://schemas.openxmlformats.org/officeDocument/2006/relationships/hyperlink" Id="rId268" Target="https://doi.org/10.2139/ssrn.6847479" TargetMode="External" /><Relationship Type="http://schemas.openxmlformats.org/officeDocument/2006/relationships/hyperlink" Id="rId450" Target="https://doi.org/10.2307/3001968" TargetMode="External" /><Relationship Type="http://schemas.openxmlformats.org/officeDocument/2006/relationships/hyperlink" Id="rId333" Target="https://doi.org/10.24963/ijcai.2019/388" TargetMode="External" /><Relationship Type="http://schemas.openxmlformats.org/officeDocument/2006/relationships/hyperlink" Id="rId228" Target="https://doi.org/10.3389/fdata.2021.688969" TargetMode="External" /><Relationship Type="http://schemas.openxmlformats.org/officeDocument/2006/relationships/hyperlink" Id="rId329" Target="https://doi.org/10.3389/fpsyg.2013.00863" TargetMode="External" /><Relationship Type="http://schemas.openxmlformats.org/officeDocument/2006/relationships/hyperlink" Id="rId410" Target="https://doi.org/10.3390/app14198884" TargetMode="External" /><Relationship Type="http://schemas.openxmlformats.org/officeDocument/2006/relationships/hyperlink" Id="rId336" Target="https://doi.org/10.3390/e23010018" TargetMode="External" /><Relationship Type="http://schemas.openxmlformats.org/officeDocument/2006/relationships/hyperlink" Id="rId236" Target="https://doi.org/10.3390/electronics13112198" TargetMode="External" /><Relationship Type="http://schemas.openxmlformats.org/officeDocument/2006/relationships/hyperlink" Id="rId246" Target="https://doi.org/10.3390/electronics8080832" TargetMode="External" /><Relationship Type="http://schemas.openxmlformats.org/officeDocument/2006/relationships/hyperlink" Id="rId212" Target="https://doi.org/10.3390/technologies13030093" TargetMode="External" /><Relationship Type="http://schemas.openxmlformats.org/officeDocument/2006/relationships/hyperlink" Id="rId258" Target="https://doi.org/10.48550/arxiv.1702.08608" TargetMode="External" /><Relationship Type="http://schemas.openxmlformats.org/officeDocument/2006/relationships/hyperlink" Id="rId344" Target="https://doi.org/10.48550/arxiv.1705.07874" TargetMode="External" /><Relationship Type="http://schemas.openxmlformats.org/officeDocument/2006/relationships/hyperlink" Id="rId402" Target="https://doi.org/10.65109/vllw9552" TargetMode="External" /><Relationship Type="http://schemas.openxmlformats.org/officeDocument/2006/relationships/hyperlink" Id="rId452" Target="https://trustai4s-lab.github.io/ffidelity" TargetMode="External" /><Relationship Type="http://schemas.openxmlformats.org/officeDocument/2006/relationships/hyperlink" Id="rId256" Target="https://www.jmlr.org/papers/v7/demsar06a.html" TargetMode="External" /><Relationship Type="http://schemas.openxmlformats.org/officeDocument/2006/relationships/hyperlink" Id="rId420"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cp:keywords/>
  <dcterms:created xsi:type="dcterms:W3CDTF">2026-08-30T23:41:15Z</dcterms:created>
  <dcterms:modified xsi:type="dcterms:W3CDTF">2026-08-30T23:41:15Z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