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0.png" ContentType="image/png"/>
  <Override PartName="/word/media/rId136.png" ContentType="image/png"/>
  <Override PartName="/word/media/rId132.png" ContentType="image/png"/>
  <Override PartName="/word/media/rId128.png" ContentType="image/png"/>
  <Override PartName="/word/media/rId144.png" ContentType="image/png"/>
  <Override PartName="/word/media/rId124.png" ContentType="image/png"/>
  <Override PartName="/word/media/rId148.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99"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Incluso asumiendo una reducción del poder del 50% —hipótesis conservadora que</w:t>
      </w:r>
      <w:r>
        <w:t xml:space="preserve"> </w:t>
      </w:r>
      <w:r>
        <w:t xml:space="preserve">supera la inflación de varianza calculada— el estadístico de Coste sería</w:t>
      </w:r>
      <w:r>
        <w:t xml:space="preserve"> </w:t>
      </w:r>
      <ns1:oMath>
        <ns1:sSup>
          <ns1:e>
            <ns1:r>
              <ns1:t>χ</ns1:t>
            </ns1:r>
          </ns1:e>
          <ns1:sup>
            <ns1:r>
              <ns1:t>2</ns1:t>
            </ns1:r>
          </ns1:sup>
        </ns1:sSup>
        <ns1:r>
          <ns1:rPr>
            <ns1:sty ns1:val="p"/>
          </ns1:rPr>
          <ns1:t>≈</ns1:t>
        </ns1:r>
        <ns1:r>
          <ns1:t>15.2</ns1:t>
        </ns1:r>
      </ns1:oMath>
      <w:r>
        <w:t xml:space="preserve"> </w:t>
      </w:r>
      <w:r>
        <w:t xml:space="preserve">(</w:t>
      </w:r>
      <ns1:oMath>
        <ns1:r>
          <ns1:t>p</ns1:t>
        </ns1:r>
        <ns1:r>
          <ns1:rPr>
            <ns1:sty ns1:val="p"/>
          </ns1:rPr>
          <ns1:t>≈</ns1:t>
        </ns1:r>
        <ns1:r>
          <ns1:t>0.0016</ns1:t>
        </ns1:r>
      </ns1:oMath>
      <w:r>
        <w:t xml:space="preserve">), significativo al nivel</w:t>
      </w:r>
      <w:r>
        <w:t xml:space="preserve"> </w:t>
      </w:r>
      <ns1:oMath>
        <ns1:r>
          <ns1:t>α</ns1:t>
        </ns1:r>
        <ns1:r>
          <ns1:rPr>
            <ns1:sty ns1:val="p"/>
          </ns1:rPr>
          <ns1:t>=</ns1:t>
        </ns1:r>
        <ns1:r>
          <ns1:t>0.05</ns1:t>
        </ns1:r>
      </ns1:oMath>
      <w:r>
        <w:t xml:space="preserv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La consecuencia es que cada prueba</w:t>
      </w:r>
      <w:r>
        <w:t xml:space="preserve"> </w:t>
      </w:r>
      <w:r>
        <w:t xml:space="preserve">estadística del capítulo siguiente opera sobre datos cuya calidad ha sido</w:t>
      </w:r>
      <w:r>
        <w:t xml:space="preserve"> </w:t>
      </w:r>
      <w:r>
        <w:t xml:space="preserve">verificada por las puertas 1 a 4 de FOM-7. El Capítulo 4 presenta esos</w:t>
      </w:r>
      <w:r>
        <w:t xml:space="preserve"> </w:t>
      </w:r>
      <w:r>
        <w:t xml:space="preserve">resultados, organiza la evidencia por hipótesis y proposición, y deriva los</w:t>
      </w:r>
      <w:r>
        <w:t xml:space="preserve"> </w:t>
      </w:r>
      <w:r>
        <w:t xml:space="preserve">criterios prescriptivos de selección de métodos XAI que son el núcleo de la</w:t>
      </w:r>
      <w:r>
        <w:t xml:space="preserve"> </w:t>
      </w:r>
      <w:r>
        <w:t xml:space="preserve">contribución empírica de esta tesis.</w:t>
      </w:r>
    </w:p>
    <w:bookmarkEnd w:id="98"/>
    <w:bookmarkEnd w:id="99"/>
    <w:bookmarkStart w:id="157"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1"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1"/>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1"/>
        </w:numPr>
        <w:spacing w:line="360" w:lineRule="auto"/>
        <w:jc w:val="both"/>
      </w:pPr>
      <w:r>
        <w:rPr>
          <w:b/>
          <w:bCs/>
        </w:rPr>
        <w:t xml:space="preserve">LIME</w:t>
      </w:r>
      <w:r>
        <w:t xml:space="preserve">: 75 de 75 celdas (100%). Cobertura completa.</w:t>
      </w:r>
    </w:p>
    <w:p>
      <w:pPr>
        <w:numPr>
          <w:ilvl w:val="0"/>
          <w:numId w:val="1011"/>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1"/>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0"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0"/>
          <w:p>
            <w:pPr>
              <w:spacing w:line="360" w:lineRule="auto"/>
              <w:jc w:val="both"/>
            </w:pPr>
          </w:p>
        </w:tc>
      </w:tr>
    </w:tbl>
    <w:bookmarkEnd w:id="101"/>
    <w:bookmarkStart w:id="107" w:name="sec-estudio-a"/>
    <w:p>
      <w:pPr>
        <w:pStyle w:val="Ttulo2"/>
        <w:spacing w:line="360" w:lineRule="auto"/>
        <w:jc w:val="both"/>
      </w:pPr>
      <w:r>
        <w:t xml:space="preserve">Estudio A: Análisis omnibus multimétrico (H1 y H2)</w:t>
      </w:r>
    </w:p>
    <w:bookmarkStart w:id="104"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2"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2"/>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3"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3"/>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4"/>
    <w:bookmarkStart w:id="106"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5"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5"/>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2"/>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2"/>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2"/>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2"/>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2"/>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2"/>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6"/>
    <w:bookmarkEnd w:id="107"/>
    <w:bookmarkStart w:id="111"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09"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08"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08"/>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09"/>
    <w:bookmarkStart w:id="110"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0"/>
    <w:bookmarkEnd w:id="111"/>
    <w:bookmarkStart w:id="113"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2"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2"/>
          <w:p>
            <w:pPr>
              <w:spacing w:line="360" w:lineRule="auto"/>
              <w:jc w:val="both"/>
            </w:pPr>
          </w:p>
        </w:tc>
      </w:tr>
    </w:tbl>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3"/>
    <w:bookmarkStart w:id="118"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4"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spacing w:line="360" w:lineRule="auto"/>
        <w:jc w:val="both"/>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14"/>
    <w:bookmarkStart w:id="115"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5"/>
    <w:bookmarkStart w:id="116" w:name="anchors"/>
    <w:p>
      <w:pPr>
        <w:pStyle w:val="Ttulo3"/>
        <w:spacing w:line="360" w:lineRule="auto"/>
        <w:jc w:val="both"/>
      </w:pPr>
      <w:r>
        <w:t xml:space="preserve">Anchors</w:t>
      </w:r>
    </w:p>
    <w:p>
      <w:pPr>
        <w:pStyle w:val="FirstParagraph"/>
        <w:spacing w:line="360" w:lineRule="auto"/>
        <w:jc w:val="both"/>
      </w:pPr>
      <w:r>
        <w:t xml:space="preserve">Anchors tiene una cobertura de solo 56 celdas calificadas (74.7%),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6"/>
    <w:bookmarkStart w:id="117"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17"/>
    <w:bookmarkEnd w:id="118"/>
    <w:bookmarkStart w:id="121" w:name="sec-transversal"/>
    <w:p>
      <w:pPr>
        <w:pStyle w:val="Ttulo2"/>
        <w:spacing w:line="360" w:lineRule="auto"/>
        <w:jc w:val="both"/>
      </w:pPr>
      <w:r>
        <w:t xml:space="preserve">Análisis transversal: efecto del modelo base y del tamaño de muestra</w:t>
      </w:r>
    </w:p>
    <w:bookmarkStart w:id="119"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spacing w:line="360" w:lineRule="auto"/>
        <w:jc w:val="both"/>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restringe su uso como evidencia primaria en auditoría.</w:t>
      </w:r>
    </w:p>
    <w:bookmarkEnd w:id="119"/>
    <w:bookmarkStart w:id="120"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0.811,</w:t>
      </w:r>
      <w:r>
        <w:t xml:space="preserve"> </w:t>
      </w:r>
      <ns1:oMath>
        <ns1:r>
          <ns1:t>N</ns1:t>
        </ns1:r>
        <ns1:r>
          <ns1:rPr>
            <ns1:sty ns1:val="p"/>
          </ns1:rPr>
          <ns1:t>=</ns1:t>
        </ns1:r>
        <ns1:r>
          <ns1:t>100</ns1:t>
        </ns1:r>
      </ns1:oMath>
      <w:r>
        <w:t xml:space="preserve">: 0.804,</w:t>
      </w:r>
      <w:r>
        <w:t xml:space="preserve"> </w:t>
      </w:r>
      <ns1:oMath>
        <ns1:r>
          <ns1:t>N</ns1:t>
        </ns1:r>
        <ns1:r>
          <ns1:rPr>
            <ns1:sty ns1:val="p"/>
          </ns1:rPr>
          <ns1:t>=</ns1:t>
        </ns1:r>
        <ns1:r>
          <ns1:t>200</ns1:t>
        </ns1:r>
      </ns1:oMath>
      <w:r>
        <w:t xml:space="preserve">: 0.814,</w:t>
      </w:r>
      <w:r>
        <w:t xml:space="preserve"> </w:t>
      </w:r>
      <w:r>
        <w:t xml:space="preserve">con diferencias absolutas inferiores a 0.010.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0"/>
    <w:bookmarkEnd w:id="121"/>
    <w:bookmarkStart w:id="123"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2"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experiments/exp1_adult/reproducibility/reproducibility_report.csv</w:t>
                  </w:r>
                </w:p>
              </w:tc>
              <w:tc>
                <w:tcPr/>
                <w:p>
                  <w:pPr>
                    <w:pStyle w:val="Compact"/>
                    <w:jc w:val="both"/>
                    <w:jc w:val="center"/>
                    <w:spacing w:line="360" w:lineRule="auto"/>
                  </w:pPr>
                  <w:r>
                    <w:t xml:space="preserve">Ejecuciones EXP1 por semilla</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2"/>
          <w:p>
            <w:pPr>
              <w:spacing w:line="360" w:lineRule="auto"/>
              <w:jc w:val="both"/>
            </w:pPr>
          </w:p>
        </w:tc>
      </w:tr>
    </w:tbl>
    <w:bookmarkEnd w:id="123"/>
    <w:bookmarkStart w:id="152"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27" w:name="fig-estabilidad-coste"/>
          <w:p>
            <w:pPr>
              <w:pStyle w:val="Compact"/>
              <w:jc w:val="both"/>
              <w:spacing w:line="360" w:lineRule="auto"/>
            </w:pPr>
            <w:r>
              <w:drawing>
                <ns2:inline>
                  <ns2:extent cx="5052060" cy="3154709"/>
                  <ns2:effectExtent b="0" l="0" r="0" t="0"/>
                  <ns2:docPr descr="" title="" id="125" name="Picture"/>
                  <ns3:graphic>
                    <ns3:graphicData uri="http://schemas.openxmlformats.org/drawingml/2006/picture">
                      <ns4:pic>
                        <ns4:nvPicPr>
                          <ns4:cNvPr descr="assets/figures/fig_estabilidad_coste_es.png" id="126" name="Picture"/>
                          <ns4:cNvPicPr>
                            <ns3:picLocks noChangeArrowheads="1" noChangeAspect="1"/>
                          </ns4:cNvPicPr>
                        </ns4:nvPicPr>
                        <ns4:blipFill>
                          <ns3:blip ns5:embed="rId124"/>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27"/>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correlacion-metricas"/>
          <w:p>
            <w:pPr>
              <w:pStyle w:val="Compact"/>
              <w:jc w:val="both"/>
              <w:spacing w:line="360" w:lineRule="auto"/>
            </w:pPr>
            <w:r>
              <w:drawing>
                <ns2:inline>
                  <ns2:extent cx="5052060" cy="3860951"/>
                  <ns2:effectExtent b="0" l="0" r="0" t="0"/>
                  <ns2:docPr descr="" title="" id="129" name="Picture"/>
                  <ns3:graphic>
                    <ns3:graphicData uri="http://schemas.openxmlformats.org/drawingml/2006/picture">
                      <ns4:pic>
                        <ns4:nvPicPr>
                          <ns4:cNvPr descr="assets/figures/fig_correlacion_metricas_es.png" id="130" name="Picture"/>
                          <ns4:cNvPicPr>
                            <ns3:picLocks noChangeArrowheads="1" noChangeAspect="1"/>
                          </ns4:cNvPicPr>
                        </ns4:nvPicPr>
                        <ns4:blipFill>
                          <ns3:blip ns5:embed="rId128"/>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1"/>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cobertura-exp2"/>
          <w:p>
            <w:pPr>
              <w:pStyle w:val="Compact"/>
              <w:jc w:val="both"/>
              <w:spacing w:line="360" w:lineRule="auto"/>
            </w:pPr>
            <w:r>
              <w:drawing>
                <ns2:inline>
                  <ns2:extent cx="5052060" cy="3412866"/>
                  <ns2:effectExtent b="0" l="0" r="0" t="0"/>
                  <ns2:docPr descr="" title="" id="133" name="Picture"/>
                  <ns3:graphic>
                    <ns3:graphicData uri="http://schemas.openxmlformats.org/drawingml/2006/picture">
                      <ns4:pic>
                        <ns4:nvPicPr>
                          <ns4:cNvPr descr="assets/figures/fig_cobertura_exp2_es.png" id="134" name="Picture"/>
                          <ns4:cNvPicPr>
                            <ns3:picLocks noChangeArrowheads="1" noChangeAspect="1"/>
                          </ns4:cNvPicPr>
                        </ns4:nvPicPr>
                        <ns4:blipFill>
                          <ns3:blip ns5:embed="rId132"/>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5"/>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cd-diagram"/>
          <w:p>
            <w:pPr>
              <w:pStyle w:val="Compact"/>
              <w:jc w:val="both"/>
              <w:spacing w:line="360" w:lineRule="auto"/>
            </w:pPr>
            <w:r>
              <w:drawing>
                <ns2:inline>
                  <ns2:extent cx="5646420" cy="1801452"/>
                  <ns2:effectExtent b="0" l="0" r="0" t="0"/>
                  <ns2:docPr descr="" title="" id="137" name="Picture"/>
                  <ns3:graphic>
                    <ns3:graphicData uri="http://schemas.openxmlformats.org/drawingml/2006/picture">
                      <ns4:pic>
                        <ns4:nvPicPr>
                          <ns4:cNvPr descr="assets/figures/fig_cd_diagram_es.png" id="138" name="Picture"/>
                          <ns4:cNvPicPr>
                            <ns3:picLocks noChangeArrowheads="1" noChangeAspect="1"/>
                          </ns4:cNvPicPr>
                        </ns4:nvPicPr>
                        <ns4:blipFill>
                          <ns3:blip ns5:embed="rId136"/>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39"/>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boxplots-metricas"/>
          <w:p>
            <w:pPr>
              <w:pStyle w:val="Compact"/>
              <w:jc w:val="both"/>
              <w:spacing w:line="360" w:lineRule="auto"/>
            </w:pPr>
            <w:r>
              <w:drawing>
                <ns2:inline>
                  <ns2:extent cx="5646420" cy="2662237"/>
                  <ns2:effectExtent b="0" l="0" r="0" t="0"/>
                  <ns2:docPr descr="" title="" id="141" name="Picture"/>
                  <ns3:graphic>
                    <ns3:graphicData uri="http://schemas.openxmlformats.org/drawingml/2006/picture">
                      <ns4:pic>
                        <ns4:nvPicPr>
                          <ns4:cNvPr descr="assets/figures/fig_boxplots_metricas_es.png" id="142" name="Picture"/>
                          <ns4:cNvPicPr>
                            <ns3:picLocks noChangeArrowheads="1" noChangeAspect="1"/>
                          </ns4:cNvPicPr>
                        </ns4:nvPicPr>
                        <ns4:blipFill>
                          <ns3:blip ns5:embed="rId140"/>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la inestabilidad estructural del método en todos los bloques del</w:t>
            </w:r>
            <w:r>
              <w:t xml:space="preserve"> </w:t>
            </w:r>
            <w:r>
              <w:t xml:space="preserve">benchmark.</w:t>
            </w:r>
          </w:p>
          <w:bookmarkEnd w:id="143"/>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diferencias-pareadas"/>
          <w:p>
            <w:pPr>
              <w:pStyle w:val="Compact"/>
              <w:jc w:val="both"/>
              <w:spacing w:line="360" w:lineRule="auto"/>
            </w:pPr>
            <w:r>
              <w:drawing>
                <ns2:inline>
                  <ns2:extent cx="5646420" cy="2357586"/>
                  <ns2:effectExtent b="0" l="0" r="0" t="0"/>
                  <ns2:docPr descr="" title="" id="145" name="Picture"/>
                  <ns3:graphic>
                    <ns3:graphicData uri="http://schemas.openxmlformats.org/drawingml/2006/picture">
                      <ns4:pic>
                        <ns4:nvPicPr>
                          <ns4:cNvPr descr="assets/figures/fig_diferencias_pareadas_es.png" id="146" name="Picture"/>
                          <ns4:cNvPicPr>
                            <ns3:picLocks noChangeArrowheads="1" noChangeAspect="1"/>
                          </ns4:cNvPicPr>
                        </ns4:nvPicPr>
                        <ns4:blipFill>
                          <ns3:blip ns5:embed="rId144"/>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47"/>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fig-radar-metodos"/>
          <w:p>
            <w:pPr>
              <w:pStyle w:val="Compact"/>
              <w:jc w:val="both"/>
              <w:spacing w:line="360" w:lineRule="auto"/>
            </w:pPr>
            <w:r>
              <w:drawing>
                <ns2:inline>
                  <ns2:extent cx="4160520" cy="3582746"/>
                  <ns2:effectExtent b="0" l="0" r="0" t="0"/>
                  <ns2:docPr descr="" title="" id="149" name="Picture"/>
                  <ns3:graphic>
                    <ns3:graphicData uri="http://schemas.openxmlformats.org/drawingml/2006/picture">
                      <ns4:pic>
                        <ns4:nvPicPr>
                          <ns4:cNvPr descr="assets/figures/fig_radar_metodos_es.png" id="150" name="Picture"/>
                          <ns4:cNvPicPr>
                            <ns3:picLocks noChangeArrowheads="1" noChangeAspect="1"/>
                          </ns4:cNvPicPr>
                        </ns4:nvPicPr>
                        <ns4:blipFill>
                          <ns3:blip ns5:embed="rId148"/>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1"/>
        </w:tc>
      </w:tr>
    </w:tbl>
    <w:bookmarkEnd w:id="152"/>
    <w:bookmarkStart w:id="156" w:name="sec-discusion"/>
    <w:p>
      <w:pPr>
        <w:pStyle w:val="Ttulo2"/>
        <w:spacing w:line="360" w:lineRule="auto"/>
        <w:jc w:val="both"/>
      </w:pPr>
      <w:r>
        <w:t xml:space="preserve">Discusión</w:t>
      </w:r>
    </w:p>
    <w:bookmarkStart w:id="153"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3"/>
    <w:bookmarkStart w:id="154"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4"/>
    <w:bookmarkStart w:id="155"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convierte esta observación</w:t>
      </w:r>
      <w:r>
        <w:t xml:space="preserve"> </w:t>
      </w:r>
      <w:r>
        <w:t xml:space="preserve">en una contribución teórica propia: desarrolla la taxonomía de cuatro ejes que</w:t>
      </w:r>
      <w:r>
        <w:t xml:space="preserve"> </w:t>
      </w:r>
      <w:r>
        <w:t xml:space="preserve">organiza el espacio de métricas de evaluación XAI y hace explícitos los</w:t>
      </w:r>
      <w:r>
        <w:t xml:space="preserve"> </w:t>
      </w:r>
      <w:r>
        <w:t xml:space="preserve">cuadrantes que el benchmark cubre y los que quedan como agenda de investigación</w:t>
      </w:r>
      <w:r>
        <w:t xml:space="preserve"> </w:t>
      </w:r>
      <w:r>
        <w:t xml:space="preserve">futura.</w:t>
      </w:r>
    </w:p>
    <w:bookmarkEnd w:id="155"/>
    <w:bookmarkEnd w:id="156"/>
    <w:bookmarkEnd w:id="157"/>
    <w:bookmarkStart w:id="166"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estructural prácticamente nula: similitud coseno media de 0.014 y</w:t>
      </w:r>
      <w:r>
        <w:t xml:space="preserve"> </w:t>
      </w:r>
      <w:r>
        <w:t xml:space="preserve">coeficiente de variación del 86.2% entre explicaciones generadas para la misma</w:t>
      </w:r>
      <w:r>
        <w:t xml:space="preserve"> </w:t>
      </w:r>
      <w:r>
        <w:t xml:space="preserve">instancia con distintas semillas. SHAP, en cambio, mantuvo fidelidad de 0.810</w:t>
      </w:r>
      <w:r>
        <w:t xml:space="preserve"> </w:t>
      </w:r>
      <w:r>
        <w:t xml:space="preserve">y estabilidad de 0.724,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(0.085 características activas) y su fidelidad baja (0.412) responden a una</w:t>
      </w:r>
      <w:r>
        <w:t xml:space="preserve"> </w:t>
      </w:r>
      <w:r>
        <w:t xml:space="preserve">lógica distinta a la de SHAP o LIME: DiCE minimiza la perturbación del</w:t>
      </w:r>
      <w:r>
        <w:t xml:space="preserve"> </w:t>
      </w:r>
      <w:r>
        <w:t xml:space="preserve">contrafactual, no la aproximación local al modelo. Que DiCE tenga perfil óptimo</w:t>
      </w:r>
      <w:r>
        <w:t xml:space="preserve"> </w:t>
      </w:r>
      <w:r>
        <w:t xml:space="preserve">en parsimonia y eficiencia, pero deficiente en fidelidad técnica, indica que los</w:t>
      </w:r>
      <w:r>
        <w:t xml:space="preserve"> </w:t>
      </w:r>
      <w:r>
        <w:t xml:space="preserve">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0.810, LIME: 0.560,</w:t>
      </w:r>
      <w:r>
        <w:t xml:space="preserve"> </w:t>
      </w:r>
      <w:r>
        <w:t xml:space="preserve">Anchors: 0.514, DiCE: 0.412)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58"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58"/>
    <w:bookmarkStart w:id="159"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59"/>
    <w:bookmarkStart w:id="160"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3"/>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3"/>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3"/>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3"/>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3"/>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4"/>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4"/>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4"/>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4"/>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5"/>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5"/>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5"/>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5"/>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5"/>
        </w:numPr>
        <w:spacing w:line="360" w:lineRule="auto"/>
        <w:jc w:val="both"/>
      </w:pPr>
      <w:r>
        <w:rPr>
          <w:i/>
          <w:iCs/>
        </w:rPr>
        <w:t xml:space="preserve">Efficiency</w:t>
      </w:r>
      <w:r>
        <w:t xml:space="preserve">: coste computacional de generar la explicación.</w:t>
      </w:r>
    </w:p>
    <w:p>
      <w:pPr>
        <w:pStyle w:val="Compact"/>
        <w:numPr>
          <w:ilvl w:val="0"/>
          <w:numId w:val="1015"/>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6"/>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6"/>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6"/>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6"/>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0"/>
    <w:bookmarkStart w:id="162"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1"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1"/>
          <w:p>
            <w:pPr>
              <w:spacing w:line="360" w:lineRule="auto"/>
              <w:jc w:val="both"/>
            </w:pPr>
          </w:p>
        </w:tc>
      </w:tr>
    </w:tbl>
    <w:bookmarkEnd w:id="162"/>
    <w:bookmarkStart w:id="164"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3"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3"/>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4"/>
    <w:bookmarkStart w:id="165"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65"/>
    <w:bookmarkEnd w:id="166"/>
    <w:bookmarkStart w:id="181"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69"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67" w:name="tbl-hipotesis"/>
          <w:p>
            <w:pPr>
              <w:jc w:val="both"/>
              <w:spacing w:line="360" w:lineRule="auto"/>
            </w:pPr>
            <w:pPr>
              <w:jc w:val="left"/>
              <w:spacing w:before="200"/>
              <w:pStyle w:val="ImageCaption"/>
            </w:pPr>
            <w:r>
              <w:t xml:space="preserve">Table 7.1: Síntesis de hipótesis y proposición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bl>
          <w:bookmarkEnd w:id="167"/>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para fidelidad;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bl>
          <w:bookmarkEnd w:id="168"/>
          <w:p>
            <w:pPr>
              <w:spacing w:line="360" w:lineRule="auto"/>
              <w:jc w:val="both"/>
            </w:pPr>
          </w:p>
        </w:tc>
      </w:tr>
    </w:tbl>
    <w:bookmarkEnd w:id="169"/>
    <w:bookmarkStart w:id="173" w:name="sec-contribuciones"/>
    <w:p>
      <w:pPr>
        <w:pStyle w:val="Ttulo2"/>
        <w:spacing w:line="360" w:lineRule="auto"/>
        <w:jc w:val="both"/>
      </w:pPr>
      <w:r>
        <w:t xml:space="preserve">Contribuciones científicas</w:t>
      </w:r>
    </w:p>
    <w:bookmarkStart w:id="170"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0"/>
    <w:bookmarkStart w:id="171"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1"/>
    <w:bookmarkStart w:id="172"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verificable (</w:t>
      </w:r>
      <ns1:oMath>
        <ns1:acc>
          <ns1:accPr>
            <ns1:chr ns1:val="‾"/>
          </ns1:accPr>
          <ns1:e>
            <ns1:r>
              <ns1:t>F</ns1:t>
            </ns1:r>
          </ns1:e>
        </ns1:acc>
        <ns1:r>
          <ns1:rPr>
            <ns1:sty ns1:val="p"/>
          </ns1:rPr>
          <ns1:t>≥</ns1:t>
        </ns1:r>
        <ns1:r>
          <ns1:t>0.80</ns1:t>
        </ns1:r>
      </ns1:oMath>
      <w:r>
        <w:t xml:space="preserve">) o consistencia</w:t>
      </w:r>
      <w:r>
        <w:t xml:space="preserve"> </w:t>
      </w:r>
      <w:r>
        <w:t xml:space="preserve">explicativa (</w:t>
      </w:r>
      <ns1:oMath>
        <ns1:acc>
          <ns1:accPr>
            <ns1:chr ns1:val="‾"/>
          </ns1:accPr>
          <ns1:e>
            <ns1:r>
              <ns1:t>S</ns1:t>
            </ns1:r>
          </ns1:e>
        </ns1:acc>
        <ns1:r>
          <ns1:rPr>
            <ns1:sty ns1:val="p"/>
          </ns1:rPr>
          <ns1:t>≥</ns1:t>
        </ns1:r>
        <ns1:r>
          <ns1:t>0.70</ns1:t>
        </ns1:r>
      </ns1: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72"/>
    <w:bookmarkEnd w:id="173"/>
    <w:bookmarkStart w:id="175"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74"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74"/>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75"/>
    <w:bookmarkStart w:id="176"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w:t>
      </w:r>
      <w:r>
        <w:t xml:space="preserve"> </w:t>
      </w:r>
      <w:r>
        <w:t xml:space="preserve">Los resultados son válidos bajo las</w:t>
      </w:r>
      <w:r>
        <w:t xml:space="preserve"> </w:t>
      </w:r>
      <w:r>
        <w:t xml:space="preserve">configuraciones predeterminadas de cada método (número de muestras de LIME,</w:t>
      </w:r>
      <w:r>
        <w:t xml:space="preserve"> </w:t>
      </w:r>
      <w:r>
        <w:t xml:space="preserve">número de vecinos de SHAP, parámetros de búsqueda de Anchors). La sensibilidad</w:t>
      </w:r>
      <w:r>
        <w:t xml:space="preserve"> </w:t>
      </w:r>
      <w:r>
        <w:t xml:space="preserve">de los resultados a variaciones sistemáticas de hiperparámetros no ha sido</w:t>
      </w:r>
      <w:r>
        <w:t xml:space="preserve"> </w:t>
      </w:r>
      <w:r>
        <w:t xml:space="preserve">explorada de forma exhaustiva en este benchmark.</w:t>
      </w:r>
    </w:p>
    <w:bookmarkEnd w:id="176"/>
    <w:bookmarkStart w:id="178"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77"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otros datasets tabulares; otras operacionalizaciones de fidelidad (ROAR, pixel-flipping)</w:t>
                  </w:r>
                </w:p>
              </w:tc>
              <w:tc>
                <w:tcPr/>
                <w:p>
                  <w:pPr>
                    <w:pStyle w:val="Compact"/>
                    <w:jc w:val="both"/>
                    <w:jc w:val="center"/>
                    <w:spacing w:line="360" w:lineRule="auto"/>
                  </w:pPr>
                  <w:r>
                    <w:t xml:space="preserve">EXP3: replicación en al menos dos datasets tabulares adicionales con distribuciones distintas</w:t>
                  </w:r>
                </w:p>
              </w:tc>
            </w:tr>
            <w:tr>
              <w:tc>
                <w:tcPr/>
                <w:p>
                  <w:pPr>
                    <w:pStyle w:val="Compact"/>
                    <w:jc w:val="both"/>
                    <w:jc w:val="center"/>
                    <w:spacing w:line="360" w:lineRule="auto"/>
                  </w:pPr>
                  <w:r>
                    <w:t xml:space="preserve">La inestabilidad de LIME es estructural (CV=86%, media≈0.014)</w:t>
                  </w:r>
                </w:p>
              </w:tc>
              <w:tc>
                <w:tcPr/>
                <w:p>
                  <w:pPr>
                    <w:pStyle w:val="Compact"/>
                    <w:jc w:val="both"/>
                    <w:jc w:val="center"/>
                    <w:spacing w:line="360" w:lineRule="auto"/>
                  </w:pPr>
                  <w:r>
                    <w:t xml:space="preserve">UCI Adult Income;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Otras configuraciones de LIME; otras definiciones de estabilidad (distancia Lipschitz local, varianza de pesos)</w:t>
                  </w:r>
                </w:p>
              </w:tc>
              <w:tc>
                <w:tcPr/>
                <w:p>
                  <w:pPr>
                    <w:pStyle w:val="Compact"/>
                    <w:jc w:val="both"/>
                    <w:jc w:val="center"/>
                    <w:spacing w:line="360" w:lineRule="auto"/>
                  </w:pPr>
                  <w:r>
                    <w:t xml:space="preserve">Análisis de sensibilidad de hiperparámetros con variación sistemática de</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 estrategia de perturbación</w:t>
                  </w:r>
                </w:p>
              </w:tc>
            </w:tr>
            <w:tr>
              <w:tc>
                <w:tcPr/>
                <w:p>
                  <w:pPr>
                    <w:pStyle w:val="Compact"/>
                    <w:jc w:val="both"/>
                    <w:jc w:val="center"/>
                    <w:spacing w:line="360" w:lineRule="auto"/>
                  </w:pPr>
                  <w:r>
                    <w:t xml:space="preserve">FOM-7 produce resultados reproducibles (CV&lt;3% en fidelidad primaria)</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77"/>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End w:id="178"/>
    <w:bookmarkStart w:id="179"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Incorporación de evaluación human-centered.</w:t>
      </w:r>
      <w:r>
        <w:t xml:space="preserve"> </w:t>
      </w:r>
      <w:r>
        <w:t xml:space="preserve">La brecha identificada en</w:t>
      </w:r>
      <w:r>
        <w:t xml:space="preserve"> </w:t>
      </w:r>
      <w:r>
        <w:t xml:space="preserve">el eje de fuente de evidencia de la taxonomía apunta directamente a la</w:t>
      </w:r>
      <w:r>
        <w:t xml:space="preserve"> </w:t>
      </w:r>
      <w:r>
        <w:t xml:space="preserve">necesidad de integrar estudios de usuario en el protocolo. Un estudio con</w:t>
      </w:r>
      <w:r>
        <w:t xml:space="preserve"> </w:t>
      </w:r>
      <w:r>
        <w:t xml:space="preserve">usuarios expertos (médicos, analistas de crédito) que evalúen la comprensión</w:t>
      </w:r>
      <w:r>
        <w:t xml:space="preserve"> </w:t>
      </w:r>
      <w:r>
        <w:t xml:space="preserve">de las explicaciones de SHAP y LIME complementaría los hallazgos funcionales</w:t>
      </w:r>
      <w:r>
        <w:t xml:space="preserve"> </w:t>
      </w:r>
      <w:r>
        <w:t xml:space="preserve">con evidencia de utilidad práctica, completando el espacio de evaluación</w:t>
      </w:r>
      <w:r>
        <w:t xml:space="preserve"> </w:t>
      </w:r>
      <w:r>
        <w:t xml:space="preserve">multi-eje.</w:t>
      </w:r>
    </w:p>
    <w:p>
      <w:pPr>
        <w:pStyle w:val="Textoindependiente"/>
        <w:spacing w:line="360" w:lineRule="auto"/>
        <w:jc w:val="both"/>
      </w:pPr>
      <w:r>
        <w:rPr>
          <w:b/>
          <w:bCs/>
        </w:rPr>
        <w:t xml:space="preserve">3. Análisis de la sensibilidad a la configuración de hiperparámetros.</w:t>
      </w:r>
      <w:r>
        <w:t xml:space="preserve"> </w:t>
      </w:r>
      <w:r>
        <w:t xml:space="preserve">El</w:t>
      </w:r>
      <w:r>
        <w:t xml:space="preserve"> </w:t>
      </w:r>
      <w:r>
        <w:t xml:space="preserve">benchmark primario opera con configuraciones de referencia. Un diseño factorial</w:t>
      </w:r>
      <w:r>
        <w:t xml:space="preserve"> </w:t>
      </w:r>
      <w:r>
        <w:t xml:space="preserve">extendido que varíe sistemáticamente los hiperparámetros clave —número de</w:t>
      </w:r>
      <w:r>
        <w:t xml:space="preserve"> </w:t>
      </w:r>
      <w:r>
        <w:t xml:space="preserve">muestras de LIME, estrategia de referencia de SHAP, parámetros de umbral de</w:t>
      </w:r>
      <w:r>
        <w:t xml:space="preserve"> </w:t>
      </w:r>
      <w:r>
        <w:t xml:space="preserve">Anchors— permitiría determinar en qué medida los perfiles de calidad obtenidos</w:t>
      </w:r>
      <w:r>
        <w:t xml:space="preserve"> </w:t>
      </w:r>
      <w:r>
        <w:t xml:space="preserve">son robustos a la sintonización de cada método.</w:t>
      </w:r>
    </w:p>
    <w:p>
      <w:pPr>
        <w:pStyle w:val="Textoindependiente"/>
        <w:spacing w:line="360" w:lineRule="auto"/>
        <w:jc w:val="both"/>
      </w:pPr>
      <w:r>
        <w:rPr>
          <w:b/>
          <w:bCs/>
        </w:rPr>
        <w:t xml:space="preserve">4. Replicación en dominios de alto riesgo.</w:t>
      </w:r>
      <w:r>
        <w:t xml:space="preserve"> </w:t>
      </w:r>
      <w:r>
        <w:t xml:space="preserve">Los criterios prescriptivos</w:t>
      </w:r>
      <w:r>
        <w:t xml:space="preserve"> </w:t>
      </w:r>
      <w:r>
        <w:t xml:space="preserve">derivados de este benchmark son válidos bajo el contexto experimental de UCI</w:t>
      </w:r>
      <w:r>
        <w:t xml:space="preserve"> </w:t>
      </w:r>
      <w:r>
        <w:t xml:space="preserve">Adult Income. Su validación en dominios regulados (crédito, salud, justicia)</w:t>
      </w:r>
      <w:r>
        <w:t xml:space="preserve"> </w:t>
      </w:r>
      <w:r>
        <w:t xml:space="preserve">con restricciones normativas explícitas (EU AI Act, GDPR) constituye la</w:t>
      </w:r>
      <w:r>
        <w:t xml:space="preserve"> </w:t>
      </w:r>
      <w:r>
        <w:t xml:space="preserve">extensión de mayor impacto práctico de esta línea de investigación.</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79"/>
    <w:bookmarkStart w:id="180"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exhibe inestabilidad estructural —no marginal, sino</w:t>
      </w:r>
      <w:r>
        <w:t xml:space="preserve"> </w:t>
      </w:r>
      <w:r>
        <w:t xml:space="preserve">sistemática, con CV=86.2% y similitud coseno media de 0.014— es relevante para</w:t>
      </w:r>
      <w:r>
        <w:t xml:space="preserve"> </w:t>
      </w:r>
      <w:r>
        <w:t xml:space="preserve">cualquier sistema de apoyo a la decisión que emplee LIME en entornos de</w:t>
      </w:r>
      <w:r>
        <w:t xml:space="preserve"> </w:t>
      </w:r>
      <w:r>
        <w:t xml:space="preserve">auditoría, regulación o alto riesgo. El contexto normativo actual (EU AI Act,</w:t>
      </w:r>
      <w:r>
        <w:t xml:space="preserve"> </w:t>
      </w:r>
      <w:r>
        <w:t xml:space="preserve">GDPR Art. 22) demanda explicaciones verificables y consistentes; un método que</w:t>
      </w:r>
      <w:r>
        <w:t xml:space="preserve"> </w:t>
      </w:r>
      <w:r>
        <w:t xml:space="preserve">produce explicaciones casi ortogonales entre dos ejecuciones de la misma</w:t>
      </w:r>
      <w:r>
        <w:t xml:space="preserve"> </w:t>
      </w:r>
      <w:r>
        <w:t xml:space="preserve">instancia no satisface ese requisito. Esta conclusión,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es la afirmación de mayor impacto</w:t>
      </w:r>
      <w:r>
        <w:t xml:space="preserve"> </w:t>
      </w:r>
      <w:r>
        <w:t xml:space="preserve">práctico de la tesis: no es un argumento teórico contra LIME, sino una</w:t>
      </w:r>
      <w:r>
        <w:t xml:space="preserve"> </w:t>
      </w:r>
      <w:r>
        <w:t xml:space="preserve">cuantificación empírica de su riesgo en el tipo de despliegue que la regulación</w:t>
      </w:r>
      <w:r>
        <w:t xml:space="preserve"> </w:t>
      </w:r>
      <w:r>
        <w:t xml:space="preserve">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0"/>
    <w:bookmarkEnd w:id="181"/>
    <w:bookmarkStart w:id="312" w:name="referencias"/>
    <w:p>
      <w:pPr>
        <w:pStyle w:val="Ttulo1"/>
        <w:spacing w:line="360" w:lineRule="auto"/>
        <w:jc w:val="both"/>
      </w:pPr>
      <w:r>
        <w:t xml:space="preserve">Referencias</w:t>
      </w:r>
    </w:p>
    <w:bookmarkStart w:id="311" w:name="refs"/>
    <w:bookmarkStart w:id="183"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2">
        <w:r>
          <w:rPr>
            <w:rStyle w:val="Hipervnculo"/>
          </w:rPr>
          <w:t xml:space="preserve">https://doi.org/10.1145/3173574.3174156</w:t>
        </w:r>
      </w:hyperlink>
      <w:r>
        <w:t xml:space="preserve">.</w:t>
      </w:r>
    </w:p>
    <w:bookmarkEnd w:id="183"/>
    <w:bookmarkStart w:id="185"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84">
        <w:r>
          <w:rPr>
            <w:rStyle w:val="Hipervnculo"/>
          </w:rPr>
          <w:t xml:space="preserve">https://doi.org/10.1109/INES59045.2023.1030000</w:t>
        </w:r>
      </w:hyperlink>
      <w:r>
        <w:t xml:space="preserve">.</w:t>
      </w:r>
    </w:p>
    <w:bookmarkEnd w:id="185"/>
    <w:bookmarkStart w:id="187"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86">
        <w:r>
          <w:rPr>
            <w:rStyle w:val="Hipervnculo"/>
          </w:rPr>
          <w:t xml:space="preserve">https://doi.org/10.1109/access.2018.2870052</w:t>
        </w:r>
      </w:hyperlink>
      <w:r>
        <w:t xml:space="preserve">.</w:t>
      </w:r>
    </w:p>
    <w:bookmarkEnd w:id="187"/>
    <w:bookmarkStart w:id="188"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88"/>
    <w:bookmarkStart w:id="190"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89">
        <w:r>
          <w:rPr>
            <w:rStyle w:val="Hipervnculo"/>
          </w:rPr>
          <w:t xml:space="preserve">https://doi.org/10.1016/j.inffus.2023.101805</w:t>
        </w:r>
      </w:hyperlink>
      <w:r>
        <w:t xml:space="preserve">.</w:t>
      </w:r>
    </w:p>
    <w:bookmarkEnd w:id="190"/>
    <w:bookmarkStart w:id="192"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1">
        <w:r>
          <w:rPr>
            <w:rStyle w:val="Hipervnculo"/>
          </w:rPr>
          <w:t xml:space="preserve">https://doi.org/10.1146/annurev-statistics-040120-030919</w:t>
        </w:r>
      </w:hyperlink>
      <w:r>
        <w:t xml:space="preserve">.</w:t>
      </w:r>
    </w:p>
    <w:bookmarkEnd w:id="192"/>
    <w:bookmarkStart w:id="194"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193">
        <w:r>
          <w:rPr>
            <w:rStyle w:val="Hipervnculo"/>
          </w:rPr>
          <w:t xml:space="preserve">https://doi.org/10.3390/technologies13030093</w:t>
        </w:r>
      </w:hyperlink>
      <w:r>
        <w:t xml:space="preserve">.</w:t>
      </w:r>
    </w:p>
    <w:bookmarkEnd w:id="194"/>
    <w:bookmarkStart w:id="196"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195">
        <w:r>
          <w:rPr>
            <w:rStyle w:val="Hipervnculo"/>
          </w:rPr>
          <w:t xml:space="preserve">https://arxiv.org/abs/1806.08049</w:t>
        </w:r>
      </w:hyperlink>
      <w:r>
        <w:t xml:space="preserve">.</w:t>
      </w:r>
    </w:p>
    <w:bookmarkEnd w:id="196"/>
    <w:bookmarkStart w:id="19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197">
        <w:r>
          <w:rPr>
            <w:rStyle w:val="Hipervnculo"/>
          </w:rPr>
          <w:t xml:space="preserve">https://doi.org/10.1002/widm.1424</w:t>
        </w:r>
      </w:hyperlink>
      <w:r>
        <w:t xml:space="preserve">.</w:t>
      </w:r>
    </w:p>
    <w:bookmarkEnd w:id="198"/>
    <w:bookmarkStart w:id="200"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199">
        <w:r>
          <w:rPr>
            <w:rStyle w:val="Hipervnculo"/>
          </w:rPr>
          <w:t xml:space="preserve">https://doi.org/10.1016/j.inffus.2019.12.012</w:t>
        </w:r>
      </w:hyperlink>
      <w:r>
        <w:t xml:space="preserve">.</w:t>
      </w:r>
    </w:p>
    <w:bookmarkEnd w:id="200"/>
    <w:bookmarkStart w:id="202"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1">
        <w:r>
          <w:rPr>
            <w:rStyle w:val="Hipervnculo"/>
          </w:rPr>
          <w:t xml:space="preserve">https://doi.org/10.3389/fdata.2021.688969</w:t>
        </w:r>
      </w:hyperlink>
      <w:r>
        <w:t xml:space="preserve">.</w:t>
      </w:r>
    </w:p>
    <w:bookmarkEnd w:id="202"/>
    <w:bookmarkStart w:id="204"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03">
        <w:r>
          <w:rPr>
            <w:rStyle w:val="Hipervnculo"/>
          </w:rPr>
          <w:t xml:space="preserve">https://doi.org/10.1145/3631700.3664911</w:t>
        </w:r>
      </w:hyperlink>
      <w:r>
        <w:t xml:space="preserve">.</w:t>
      </w:r>
    </w:p>
    <w:bookmarkEnd w:id="204"/>
    <w:bookmarkStart w:id="206"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05">
        <w:r>
          <w:rPr>
            <w:rStyle w:val="Hipervnculo"/>
          </w:rPr>
          <w:t xml:space="preserve">https://doi.org/10.1023/a:1010933404324</w:t>
        </w:r>
      </w:hyperlink>
      <w:r>
        <w:t xml:space="preserve">.</w:t>
      </w:r>
    </w:p>
    <w:bookmarkEnd w:id="206"/>
    <w:bookmarkStart w:id="208"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07">
        <w:r>
          <w:rPr>
            <w:rStyle w:val="Hipervnculo"/>
          </w:rPr>
          <w:t xml:space="preserve">https://doi.org/10.18653/v1/2023.emnlp-main.792</w:t>
        </w:r>
      </w:hyperlink>
      <w:r>
        <w:t xml:space="preserve">.</w:t>
      </w:r>
    </w:p>
    <w:bookmarkEnd w:id="208"/>
    <w:bookmarkStart w:id="210"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09">
        <w:r>
          <w:rPr>
            <w:rStyle w:val="Hipervnculo"/>
          </w:rPr>
          <w:t xml:space="preserve">https://doi.org/10.1145/3737445</w:t>
        </w:r>
      </w:hyperlink>
      <w:r>
        <w:t xml:space="preserve">.</w:t>
      </w:r>
    </w:p>
    <w:bookmarkEnd w:id="210"/>
    <w:bookmarkStart w:id="212"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1">
        <w:r>
          <w:rPr>
            <w:rStyle w:val="Hipervnculo"/>
          </w:rPr>
          <w:t xml:space="preserve">https://doi.org/10.3390/electronics8080832</w:t>
        </w:r>
      </w:hyperlink>
      <w:r>
        <w:t xml:space="preserve">.</w:t>
      </w:r>
    </w:p>
    <w:bookmarkEnd w:id="212"/>
    <w:bookmarkStart w:id="214"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13">
        <w:r>
          <w:rPr>
            <w:rStyle w:val="Hipervnculo"/>
          </w:rPr>
          <w:t xml:space="preserve">https://www.jmlr.org/papers/v7/demsar06a.html</w:t>
        </w:r>
      </w:hyperlink>
      <w:r>
        <w:t xml:space="preserve">.</w:t>
      </w:r>
    </w:p>
    <w:bookmarkEnd w:id="214"/>
    <w:bookmarkStart w:id="216"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15">
        <w:r>
          <w:rPr>
            <w:rStyle w:val="Hipervnculo"/>
          </w:rPr>
          <w:t xml:space="preserve">https://doi.org/10.48550/arxiv.1702.08608</w:t>
        </w:r>
      </w:hyperlink>
      <w:r>
        <w:t xml:space="preserve">.</w:t>
      </w:r>
    </w:p>
    <w:bookmarkEnd w:id="216"/>
    <w:bookmarkStart w:id="218"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17">
        <w:r>
          <w:rPr>
            <w:rStyle w:val="Hipervnculo"/>
          </w:rPr>
          <w:t xml:space="preserve">https://doi.org/10.1007/s11023-018-9482-5</w:t>
        </w:r>
      </w:hyperlink>
      <w:r>
        <w:t xml:space="preserve">.</w:t>
      </w:r>
    </w:p>
    <w:bookmarkEnd w:id="218"/>
    <w:bookmarkStart w:id="220"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19">
        <w:r>
          <w:rPr>
            <w:rStyle w:val="Hipervnculo"/>
          </w:rPr>
          <w:t xml:space="preserve">https://doi.org/10.1080/01621459.1937.10503522</w:t>
        </w:r>
      </w:hyperlink>
      <w:r>
        <w:t xml:space="preserve">.</w:t>
      </w:r>
    </w:p>
    <w:bookmarkEnd w:id="220"/>
    <w:bookmarkStart w:id="222"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21">
        <w:r>
          <w:rPr>
            <w:rStyle w:val="Hipervnculo"/>
          </w:rPr>
          <w:t xml:space="preserve">https://doi.org/10.1109/dsaa.2018.00018</w:t>
        </w:r>
      </w:hyperlink>
      <w:r>
        <w:t xml:space="preserve">.</w:t>
      </w:r>
    </w:p>
    <w:bookmarkEnd w:id="222"/>
    <w:bookmarkStart w:id="224"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23">
        <w:r>
          <w:rPr>
            <w:rStyle w:val="Hipervnculo"/>
          </w:rPr>
          <w:t xml:space="preserve">https://doi.org/10.1145/3236009</w:t>
        </w:r>
      </w:hyperlink>
      <w:r>
        <w:t xml:space="preserve">.</w:t>
      </w:r>
    </w:p>
    <w:bookmarkEnd w:id="224"/>
    <w:bookmarkStart w:id="226"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25">
        <w:r>
          <w:rPr>
            <w:rStyle w:val="Hipervnculo"/>
          </w:rPr>
          <w:t xml:space="preserve">https://doi.org/10.18653/v1/2020.acl-main.491</w:t>
        </w:r>
      </w:hyperlink>
      <w:r>
        <w:t xml:space="preserve">.</w:t>
      </w:r>
    </w:p>
    <w:bookmarkEnd w:id="226"/>
    <w:bookmarkStart w:id="228"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27">
        <w:r>
          <w:rPr>
            <w:rStyle w:val="Hipervnculo"/>
          </w:rPr>
          <w:t xml:space="preserve">https://doi.org/10.1007/s12559-023-10179-8</w:t>
        </w:r>
      </w:hyperlink>
      <w:r>
        <w:t xml:space="preserve">.</w:t>
      </w:r>
    </w:p>
    <w:bookmarkEnd w:id="228"/>
    <w:bookmarkStart w:id="229"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29"/>
    <w:bookmarkStart w:id="231"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0">
        <w:r>
          <w:rPr>
            <w:rStyle w:val="Hipervnculo"/>
          </w:rPr>
          <w:t xml:space="preserve">https://doi.org/10.1007/s13218-023-00806-9</w:t>
        </w:r>
      </w:hyperlink>
      <w:r>
        <w:t xml:space="preserve">.</w:t>
      </w:r>
    </w:p>
    <w:bookmarkEnd w:id="231"/>
    <w:bookmarkStart w:id="23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32">
        <w:r>
          <w:rPr>
            <w:rStyle w:val="Hipervnculo"/>
          </w:rPr>
          <w:t xml:space="preserve">https://doi.org/10.1126/science.359.6377.725</w:t>
        </w:r>
      </w:hyperlink>
      <w:r>
        <w:t xml:space="preserve">.</w:t>
      </w:r>
    </w:p>
    <w:bookmarkEnd w:id="233"/>
    <w:bookmarkStart w:id="235"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34">
        <w:r>
          <w:rPr>
            <w:rStyle w:val="Hipervnculo"/>
          </w:rPr>
          <w:t xml:space="preserve">https://doi.org/10.1145/3527848</w:t>
        </w:r>
      </w:hyperlink>
      <w:r>
        <w:t xml:space="preserve">.</w:t>
      </w:r>
    </w:p>
    <w:bookmarkEnd w:id="235"/>
    <w:bookmarkStart w:id="237"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36">
        <w:r>
          <w:rPr>
            <w:rStyle w:val="Hipervnculo"/>
          </w:rPr>
          <w:t xml:space="preserve">https://doi.org/10.1145/3313831.3376219</w:t>
        </w:r>
      </w:hyperlink>
      <w:r>
        <w:t xml:space="preserve">.</w:t>
      </w:r>
    </w:p>
    <w:bookmarkEnd w:id="237"/>
    <w:bookmarkStart w:id="239"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38">
        <w:r>
          <w:rPr>
            <w:rStyle w:val="Hipervnculo"/>
          </w:rPr>
          <w:t xml:space="preserve">https://archive.ics.uci.edu/dataset/2/adult</w:t>
        </w:r>
      </w:hyperlink>
      <w:r>
        <w:t xml:space="preserve">.</w:t>
      </w:r>
    </w:p>
    <w:bookmarkEnd w:id="239"/>
    <w:bookmarkStart w:id="241"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40">
        <w:r>
          <w:rPr>
            <w:rStyle w:val="Hipervnculo"/>
          </w:rPr>
          <w:t xml:space="preserve">https://doi.org/10.3389/fpsyg.2013.00863</w:t>
        </w:r>
      </w:hyperlink>
      <w:r>
        <w:t xml:space="preserve">.</w:t>
      </w:r>
    </w:p>
    <w:bookmarkEnd w:id="241"/>
    <w:bookmarkStart w:id="243"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42">
        <w:r>
          <w:rPr>
            <w:rStyle w:val="Hipervnculo"/>
          </w:rPr>
          <w:t xml:space="preserve">https://doi.org/10.1016/j.artint.2021.103473</w:t>
        </w:r>
      </w:hyperlink>
      <w:r>
        <w:t xml:space="preserve">.</w:t>
      </w:r>
    </w:p>
    <w:bookmarkEnd w:id="243"/>
    <w:bookmarkStart w:id="245"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44">
        <w:r>
          <w:rPr>
            <w:rStyle w:val="Hipervnculo"/>
          </w:rPr>
          <w:t xml:space="preserve">https://doi.org/10.24963/ijcai.2019/388</w:t>
        </w:r>
      </w:hyperlink>
      <w:r>
        <w:t xml:space="preserve">.</w:t>
      </w:r>
    </w:p>
    <w:bookmarkEnd w:id="245"/>
    <w:bookmarkStart w:id="24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46">
        <w:r>
          <w:rPr>
            <w:rStyle w:val="Hipervnculo"/>
          </w:rPr>
          <w:t xml:space="preserve">https://doi.org/10.3390/e23010018</w:t>
        </w:r>
      </w:hyperlink>
      <w:r>
        <w:t xml:space="preserve">.</w:t>
      </w:r>
    </w:p>
    <w:bookmarkEnd w:id="247"/>
    <w:bookmarkStart w:id="24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48">
        <w:r>
          <w:rPr>
            <w:rStyle w:val="Hipervnculo"/>
          </w:rPr>
          <w:t xml:space="preserve">https://doi.org/10.1145/3236386.3241340</w:t>
        </w:r>
      </w:hyperlink>
      <w:r>
        <w:t xml:space="preserve">.</w:t>
      </w:r>
    </w:p>
    <w:bookmarkEnd w:id="249"/>
    <w:bookmarkStart w:id="25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50">
        <w:r>
          <w:rPr>
            <w:rStyle w:val="Hipervnculo"/>
          </w:rPr>
          <w:t xml:space="preserve">https://doi.org/10.48550/arxiv.1705.07874</w:t>
        </w:r>
      </w:hyperlink>
      <w:r>
        <w:t xml:space="preserve">.</w:t>
      </w:r>
    </w:p>
    <w:bookmarkEnd w:id="251"/>
    <w:bookmarkStart w:id="25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52">
        <w:r>
          <w:rPr>
            <w:rStyle w:val="Hipervnculo"/>
          </w:rPr>
          <w:t xml:space="preserve">https://doi.org/10.1145/3647444.3647912</w:t>
        </w:r>
      </w:hyperlink>
      <w:r>
        <w:t xml:space="preserve">.</w:t>
      </w:r>
    </w:p>
    <w:bookmarkEnd w:id="253"/>
    <w:bookmarkStart w:id="25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54">
        <w:r>
          <w:rPr>
            <w:rStyle w:val="Hipervnculo"/>
          </w:rPr>
          <w:t xml:space="preserve">https://doi.org/10.1002/widm.1493</w:t>
        </w:r>
      </w:hyperlink>
      <w:r>
        <w:t xml:space="preserve">.</w:t>
      </w:r>
    </w:p>
    <w:bookmarkEnd w:id="255"/>
    <w:bookmarkStart w:id="257"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56">
        <w:r>
          <w:rPr>
            <w:rStyle w:val="Hipervnculo"/>
          </w:rPr>
          <w:t xml:space="preserve">https://doi.org/10.1016/j.artint.2018.07.007</w:t>
        </w:r>
      </w:hyperlink>
      <w:r>
        <w:t xml:space="preserve">.</w:t>
      </w:r>
    </w:p>
    <w:bookmarkEnd w:id="257"/>
    <w:bookmarkStart w:id="259"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58">
        <w:r>
          <w:rPr>
            <w:rStyle w:val="Hipervnculo"/>
          </w:rPr>
          <w:t xml:space="preserve">https://doi.org/10.1145/3287560.3287574</w:t>
        </w:r>
      </w:hyperlink>
      <w:r>
        <w:t xml:space="preserve">.</w:t>
      </w:r>
    </w:p>
    <w:bookmarkEnd w:id="259"/>
    <w:bookmarkStart w:id="261"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60">
        <w:r>
          <w:rPr>
            <w:rStyle w:val="Hipervnculo"/>
          </w:rPr>
          <w:t xml:space="preserve">https://doi.org/10.1145/3387166</w:t>
        </w:r>
      </w:hyperlink>
      <w:r>
        <w:t xml:space="preserve">.</w:t>
      </w:r>
    </w:p>
    <w:bookmarkEnd w:id="261"/>
    <w:bookmarkStart w:id="263"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62">
        <w:r>
          <w:rPr>
            <w:rStyle w:val="Hipervnculo"/>
          </w:rPr>
          <w:t xml:space="preserve">https://doi.org/10.1145/3351095.3372850</w:t>
        </w:r>
      </w:hyperlink>
      <w:r>
        <w:t xml:space="preserve">.</w:t>
      </w:r>
    </w:p>
    <w:bookmarkEnd w:id="263"/>
    <w:bookmarkStart w:id="26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64">
        <w:r>
          <w:rPr>
            <w:rStyle w:val="Hipervnculo"/>
          </w:rPr>
          <w:t xml:space="preserve">https://doi.org/10.1073/pnas.1900654116</w:t>
        </w:r>
      </w:hyperlink>
      <w:r>
        <w:t xml:space="preserve">.</w:t>
      </w:r>
    </w:p>
    <w:bookmarkEnd w:id="265"/>
    <w:bookmarkStart w:id="267"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66">
        <w:r>
          <w:rPr>
            <w:rStyle w:val="Hipervnculo"/>
          </w:rPr>
          <w:t xml:space="preserve">https://doi.org/10.1145/3583558</w:t>
        </w:r>
      </w:hyperlink>
      <w:r>
        <w:t xml:space="preserve">.</w:t>
      </w:r>
    </w:p>
    <w:bookmarkEnd w:id="267"/>
    <w:bookmarkStart w:id="269"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68">
        <w:r>
          <w:rPr>
            <w:rStyle w:val="Hipervnculo"/>
          </w:rPr>
          <w:t xml:space="preserve">https://catalog.princeton.edu/catalog/2081365</w:t>
        </w:r>
      </w:hyperlink>
      <w:r>
        <w:t xml:space="preserve">.</w:t>
      </w:r>
    </w:p>
    <w:bookmarkEnd w:id="269"/>
    <w:bookmarkStart w:id="270"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70"/>
    <w:bookmarkStart w:id="272"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71">
        <w:r>
          <w:rPr>
            <w:rStyle w:val="Hipervnculo"/>
          </w:rPr>
          <w:t xml:space="preserve">https://doi.org/10.1038/s41467-022-33417-3</w:t>
        </w:r>
      </w:hyperlink>
      <w:r>
        <w:t xml:space="preserve">.</w:t>
      </w:r>
    </w:p>
    <w:bookmarkEnd w:id="272"/>
    <w:bookmarkStart w:id="274"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73">
        <w:r>
          <w:rPr>
            <w:rStyle w:val="Hipervnculo"/>
          </w:rPr>
          <w:t xml:space="preserve">https://doi.org/10.1016/j.neucom.2024.128282</w:t>
        </w:r>
      </w:hyperlink>
      <w:r>
        <w:t xml:space="preserve">.</w:t>
      </w:r>
    </w:p>
    <w:bookmarkEnd w:id="274"/>
    <w:bookmarkStart w:id="276"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75">
        <w:r>
          <w:rPr>
            <w:rStyle w:val="Hipervnculo"/>
          </w:rPr>
          <w:t xml:space="preserve">https://doi.org/10.1145/3375627.3375850</w:t>
        </w:r>
      </w:hyperlink>
      <w:r>
        <w:t xml:space="preserve">.</w:t>
      </w:r>
    </w:p>
    <w:bookmarkEnd w:id="276"/>
    <w:bookmarkStart w:id="27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77">
        <w:r>
          <w:rPr>
            <w:rStyle w:val="Hipervnculo"/>
          </w:rPr>
          <w:t xml:space="preserve">https://doi.org/10.1145/2939672.2939778</w:t>
        </w:r>
      </w:hyperlink>
      <w:r>
        <w:t xml:space="preserve">.</w:t>
      </w:r>
    </w:p>
    <w:bookmarkEnd w:id="278"/>
    <w:bookmarkStart w:id="28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79">
        <w:r>
          <w:rPr>
            <w:rStyle w:val="Hipervnculo"/>
          </w:rPr>
          <w:t xml:space="preserve">https://doi.org/10.1609/aaai.v32i1.11491</w:t>
        </w:r>
      </w:hyperlink>
      <w:r>
        <w:t xml:space="preserve">.</w:t>
      </w:r>
    </w:p>
    <w:bookmarkEnd w:id="280"/>
    <w:bookmarkStart w:id="28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81">
        <w:r>
          <w:rPr>
            <w:rStyle w:val="Hipervnculo"/>
          </w:rPr>
          <w:t xml:space="preserve">https://doi.org/10.1109/TPAMI.2023.3331846</w:t>
        </w:r>
      </w:hyperlink>
      <w:r>
        <w:t xml:space="preserve">.</w:t>
      </w:r>
    </w:p>
    <w:bookmarkEnd w:id="282"/>
    <w:bookmarkStart w:id="28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83">
        <w:r>
          <w:rPr>
            <w:rStyle w:val="Hipervnculo"/>
          </w:rPr>
          <w:t xml:space="preserve">https://doi.org/10.1214/21-ss133</w:t>
        </w:r>
      </w:hyperlink>
      <w:r>
        <w:t xml:space="preserve">.</w:t>
      </w:r>
    </w:p>
    <w:bookmarkEnd w:id="284"/>
    <w:bookmarkStart w:id="286"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85">
        <w:r>
          <w:rPr>
            <w:rStyle w:val="Hipervnculo"/>
          </w:rPr>
          <w:t xml:space="preserve">https://doi.org/10.3390/app14198884</w:t>
        </w:r>
      </w:hyperlink>
      <w:r>
        <w:t xml:space="preserve">.</w:t>
      </w:r>
    </w:p>
    <w:bookmarkEnd w:id="286"/>
    <w:bookmarkStart w:id="288"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87">
        <w:r>
          <w:rPr>
            <w:rStyle w:val="Hipervnculo"/>
          </w:rPr>
          <w:t xml:space="preserve">https://doi.org/10.1007/978-3-030-28954-6</w:t>
        </w:r>
      </w:hyperlink>
      <w:r>
        <w:t xml:space="preserve">.</w:t>
      </w:r>
    </w:p>
    <w:bookmarkEnd w:id="288"/>
    <w:bookmarkStart w:id="290"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289">
        <w:r>
          <w:rPr>
            <w:rStyle w:val="Hipervnculo"/>
          </w:rPr>
          <w:t xml:space="preserve">https://doi.org/10.1007/s10618-022-00867-8</w:t>
        </w:r>
      </w:hyperlink>
      <w:r>
        <w:t xml:space="preserve">.</w:t>
      </w:r>
    </w:p>
    <w:bookmarkEnd w:id="290"/>
    <w:bookmarkStart w:id="292"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291">
        <w:r>
          <w:rPr>
            <w:rStyle w:val="Hipervnculo"/>
          </w:rPr>
          <w:t xml:space="preserve">https://doi.org/10.1145/3375627.3375830</w:t>
        </w:r>
      </w:hyperlink>
      <w:r>
        <w:t xml:space="preserve">.</w:t>
      </w:r>
    </w:p>
    <w:bookmarkEnd w:id="292"/>
    <w:bookmarkStart w:id="294"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293">
        <w:r>
          <w:rPr>
            <w:rStyle w:val="Hipervnculo"/>
          </w:rPr>
          <w:t xml:space="preserve">https://doi.org/10.1007/s13218-020-00637-y</w:t>
        </w:r>
      </w:hyperlink>
      <w:r>
        <w:t xml:space="preserve">.</w:t>
      </w:r>
    </w:p>
    <w:bookmarkEnd w:id="294"/>
    <w:bookmarkStart w:id="296"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295">
        <w:r>
          <w:rPr>
            <w:rStyle w:val="Hipervnculo"/>
          </w:rPr>
          <w:t xml:space="preserve">https://doi.org/10.1109/TNNLS.2020.3027314</w:t>
        </w:r>
      </w:hyperlink>
      <w:r>
        <w:t xml:space="preserve">.</w:t>
      </w:r>
    </w:p>
    <w:bookmarkEnd w:id="296"/>
    <w:bookmarkStart w:id="298"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297">
        <w:r>
          <w:rPr>
            <w:rStyle w:val="Hipervnculo"/>
          </w:rPr>
          <w:t xml:space="preserve">https://doi.org/10.1609/aaai.v34i04.6064</w:t>
        </w:r>
      </w:hyperlink>
      <w:r>
        <w:t xml:space="preserve">.</w:t>
      </w:r>
    </w:p>
    <w:bookmarkEnd w:id="298"/>
    <w:bookmarkStart w:id="300"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299">
        <w:r>
          <w:rPr>
            <w:rStyle w:val="Hipervnculo"/>
          </w:rPr>
          <w:t xml:space="preserve">https://doi.org/10.1201/9781003442509</w:t>
        </w:r>
      </w:hyperlink>
      <w:r>
        <w:t xml:space="preserve">.</w:t>
      </w:r>
    </w:p>
    <w:bookmarkEnd w:id="300"/>
    <w:bookmarkStart w:id="302"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01">
        <w:r>
          <w:rPr>
            <w:rStyle w:val="Hipervnculo"/>
          </w:rPr>
          <w:t xml:space="preserve">https://doi.org/10.1613/jair.1.13283</w:t>
        </w:r>
      </w:hyperlink>
      <w:r>
        <w:t xml:space="preserve">.</w:t>
      </w:r>
    </w:p>
    <w:bookmarkEnd w:id="302"/>
    <w:bookmarkStart w:id="304"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03">
        <w:r>
          <w:rPr>
            <w:rStyle w:val="Hipervnculo"/>
          </w:rPr>
          <w:t xml:space="preserve">https://doi.org/10.1007/978-3-319-57959-7</w:t>
        </w:r>
      </w:hyperlink>
      <w:r>
        <w:t xml:space="preserve">.</w:t>
      </w:r>
    </w:p>
    <w:bookmarkEnd w:id="304"/>
    <w:bookmarkStart w:id="306"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05">
        <w:r>
          <w:rPr>
            <w:rStyle w:val="Hipervnculo"/>
          </w:rPr>
          <w:t xml:space="preserve">https://doi.org/10.2139/ssrn.3063289</w:t>
        </w:r>
      </w:hyperlink>
      <w:r>
        <w:t xml:space="preserve">.</w:t>
      </w:r>
    </w:p>
    <w:bookmarkEnd w:id="306"/>
    <w:bookmarkStart w:id="308"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07">
        <w:r>
          <w:rPr>
            <w:rStyle w:val="Hipervnculo"/>
          </w:rPr>
          <w:t xml:space="preserve">https://doi.org/10.2307/3001968</w:t>
        </w:r>
      </w:hyperlink>
      <w:r>
        <w:t xml:space="preserve">.</w:t>
      </w:r>
    </w:p>
    <w:bookmarkEnd w:id="308"/>
    <w:bookmarkStart w:id="31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09">
        <w:r>
          <w:rPr>
            <w:rStyle w:val="Hipervnculo"/>
          </w:rPr>
          <w:t xml:space="preserve">https://trustai4s-lab.github.io/ffidelity</w:t>
        </w:r>
      </w:hyperlink>
      <w:r>
        <w:t xml:space="preserve">.</w:t>
      </w:r>
    </w:p>
    <w:bookmarkEnd w:id="310"/>
    <w:bookmarkEnd w:id="311"/>
    <w:bookmarkEnd w:id="312"/>
    <w:bookmarkStart w:id="335" w:name="apéndices"/>
    <w:p>
      <w:pPr>
        <w:pStyle w:val="Ttulo1"/>
        <w:spacing w:line="360" w:lineRule="auto"/>
        <w:jc w:val="both"/>
      </w:pPr>
      <w:r>
        <w:t xml:space="preserve">Apéndices</w:t>
      </w:r>
    </w:p>
    <w:bookmarkStart w:id="31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13"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1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14"/>
    <w:bookmarkStart w:id="31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15"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1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16"/>
    <w:bookmarkStart w:id="322"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17"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1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21"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18"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1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confirma que la inestabilidad</w:t>
      </w:r>
      <w:r>
        <w:t xml:space="preserve"> </w:t>
      </w:r>
      <w:r>
        <w:t xml:space="preserve">estructural 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19"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1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20"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 </w:t>
            </w:r>
            <w:r>
              <w:t xml:space="preserve">(RF, semilla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2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inestabilidad de LIME estructural)</w:t>
      </w:r>
      <w:r>
        <w:t xml:space="preserve"> </w:t>
      </w:r>
      <w:r>
        <w:t xml:space="preserve">son robustos a variaciones razonables de los hiperparámetros dentro de los</w:t>
      </w:r>
      <w:r>
        <w:t xml:space="preserve"> </w:t>
      </w:r>
      <w:r>
        <w:t xml:space="preserve">rangos explorados.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21"/>
    <w:bookmarkEnd w:id="322"/>
    <w:bookmarkStart w:id="330"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23" w:name="tbl-appendix-stat-outputs"/>
          <w:p>
            <w:pPr>
              <w:jc w:val="both"/>
              <w:spacing w:line="360" w:lineRule="auto"/>
            </w:pPr>
            <w:pPr>
              <w:jc w:val="left"/>
              <w:spacing w:before="200"/>
              <w:pStyle w:val="ImageCaption"/>
            </w:pPr>
            <w:r>
              <w:t xml:space="preserve">Table 7.11: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23"/>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25"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24" w:name="tbl-appendix-friedman-full"/>
          <w:p>
            <w:pPr>
              <w:jc w:val="both"/>
              <w:spacing w:line="360" w:lineRule="auto"/>
            </w:pPr>
            <w:pPr>
              <w:jc w:val="left"/>
              <w:spacing w:before="200"/>
              <w:pStyle w:val="ImageCaption"/>
            </w:pPr>
            <w:r>
              <w:t xml:space="preserve">Table 7.12: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24"/>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25"/>
    <w:bookmarkStart w:id="327"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26" w:name="tbl-appendix-nemenyi-full"/>
          <w:p>
            <w:pPr>
              <w:jc w:val="both"/>
              <w:spacing w:line="360" w:lineRule="auto"/>
            </w:pPr>
            <w:pPr>
              <w:jc w:val="left"/>
              <w:spacing w:before="200"/>
              <w:pStyle w:val="ImageCaption"/>
            </w:pPr>
            <w:r>
              <w:t xml:space="preserve">Table 7.13: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26"/>
          <w:p>
            <w:pPr>
              <w:spacing w:line="360" w:lineRule="auto"/>
              <w:jc w:val="both"/>
            </w:pPr>
          </w:p>
        </w:tc>
      </w:tr>
    </w:tbl>
    <w:bookmarkEnd w:id="327"/>
    <w:bookmarkStart w:id="329"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28" w:name="tbl-appendix-wilcoxon-full"/>
          <w:p>
            <w:pPr>
              <w:jc w:val="both"/>
              <w:spacing w:line="360" w:lineRule="auto"/>
            </w:pPr>
            <w:pPr>
              <w:jc w:val="left"/>
              <w:spacing w:before="200"/>
              <w:pStyle w:val="ImageCaption"/>
            </w:pPr>
            <w:r>
              <w:t xml:space="preserve">Table 7.14: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28"/>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reproducibilidad de EXP1 se documenta en</w:t>
      </w:r>
      <w:r>
        <w:t xml:space="preserve"> </w:t>
      </w:r>
      <w:r>
        <w:rPr>
          <w:rStyle w:val="VerbatimChar"/>
        </w:rPr>
        <w:t xml:space="preserve">experiments/exp1_adult/reproducibility/reproducibility_report.csv</w:t>
      </w:r>
      <w:r>
        <w:t xml:space="preserve">, que sostiene</w:t>
      </w:r>
      <w:r>
        <w:t xml:space="preserve"> </w:t>
      </w:r>
      <w:r>
        <w:t xml:space="preserve">la proposición P1.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29"/>
    <w:bookmarkEnd w:id="330"/>
    <w:bookmarkStart w:id="332"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33fd952a01a752f6988f46ba79b18694838c3f8f</w:t>
      </w:r>
      <w:r>
        <w:t xml:space="preserve">. El repositorio se archiva con DOI</w:t>
      </w:r>
      <w:r>
        <w:t xml:space="preserve"> </w:t>
      </w:r>
      <w:r>
        <w:t xml:space="preserve">Zenodo</w:t>
      </w:r>
      <w:r>
        <w:t xml:space="preserve"> </w:t>
      </w:r>
      <w:r>
        <w:rPr>
          <w:rStyle w:val="VerbatimChar"/>
        </w:rPr>
        <w:t xml:space="preserve">10.5281/zenodo.19297724</w:t>
      </w:r>
      <w:r>
        <w:t xml:space="preserve">.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31" w:name="tbl-appendix-environment"/>
          <w:p>
            <w:pPr>
              <w:jc w:val="both"/>
              <w:spacing w:line="360" w:lineRule="auto"/>
            </w:pPr>
            <w:pPr>
              <w:jc w:val="left"/>
              <w:spacing w:before="200"/>
              <w:pStyle w:val="ImageCaption"/>
            </w:pPr>
            <w:r>
              <w:t xml:space="preserve">Table 7.15: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31"/>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7"/>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7"/>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7"/>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7"/>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7"/>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32"/>
    <w:bookmarkStart w:id="334" w:name="apéndice-f-evaluación-semántica-con-llms"/>
    <w:p>
      <w:pPr>
        <w:pStyle w:val="Ttulo2"/>
        <w:spacing w:line="360" w:lineRule="auto"/>
        <w:jc w:val="both"/>
      </w:pPr>
      <w:r>
        <w:t xml:space="preserve">Apéndice F: Evaluación semántica con LLMs</w:t>
      </w:r>
    </w:p>
    <w:p>
      <w:pPr>
        <w:pStyle w:val="FirstParagraph"/>
        <w:spacing w:line="360" w:lineRule="auto"/>
        <w:jc w:val="both"/>
      </w:pPr>
      <w:r>
        <w:t xml:space="preserve">El repositorio contiene una línea exploratoria de evaluación semántica con LLMs:</w:t>
      </w:r>
      <w:r>
        <w:t xml:space="preserve"> </w:t>
      </w:r>
      <w:r>
        <w:t xml:space="preserve">plantillas en</w:t>
      </w:r>
      <w:r>
        <w:t xml:space="preserve"> </w:t>
      </w:r>
      <w:r>
        <w:rPr>
          <w:rStyle w:val="VerbatimChar"/>
        </w:rPr>
        <w:t xml:space="preserve">src/prompts/templates/</w:t>
      </w:r>
      <w:r>
        <w:t xml:space="preserve">, cliente en</w:t>
      </w:r>
      <w:r>
        <w:t xml:space="preserve"> </w:t>
      </w:r>
      <w:r>
        <w:rPr>
          <w:rStyle w:val="VerbatimChar"/>
        </w:rPr>
        <w:t xml:space="preserve">src/llm/client.py</w:t>
      </w:r>
      <w:r>
        <w:t xml:space="preserve"> </w:t>
      </w:r>
      <w:r>
        <w:t xml:space="preserve">y salidas</w:t>
      </w:r>
      <w:r>
        <w:t xml:space="preserve"> </w:t>
      </w:r>
      <w:r>
        <w:t xml:space="preserve">en</w:t>
      </w:r>
      <w:r>
        <w:t xml:space="preserve"> </w:t>
      </w:r>
      <w:r>
        <w:rPr>
          <w:rStyle w:val="VerbatimChar"/>
        </w:rPr>
        <w:t xml:space="preserve">outputs/analysis/exp4_llm_evaluation/</w:t>
      </w:r>
      <w:r>
        <w:t xml:space="preserve">. Esta línea no forma parte de las</w:t>
      </w:r>
      <w:r>
        <w:t xml:space="preserve"> </w:t>
      </w:r>
      <w:r>
        <w:t xml:space="preserve">hipótesis confirmativas H1-H3 ni de la proposición P1. Por tanto, se conserva</w:t>
      </w:r>
      <w:r>
        <w:t xml:space="preserve"> </w:t>
      </w:r>
      <w:r>
        <w:t xml:space="preserve">como material exploratorio y trabajo futuro, no como evidencia principal de la</w:t>
      </w:r>
      <w:r>
        <w:t xml:space="preserve"> </w:t>
      </w:r>
      <w:r>
        <w:t xml:space="preserve">tesis.</w:t>
      </w:r>
    </w:p>
    <w:tbl>
      <w:tblPr>
        <w:tblStyle w:val="Table"/>
        <w:tblW w:type="pct" w:w="5000"/>
        <w:tblLayout w:type="fixed"/>
        <w:tblLook w:firstRow="0" w:lastRow="0" w:firstColumn="0" w:lastColumn="0" w:noHBand="0" w:noVBand="0" w:val="0000"/>
      </w:tblPr>
      <w:tblGrid>
        <w:gridCol w:w="7920"/>
      </w:tblGrid>
      <w:tr>
        <w:tc>
          <w:tcPr/>
          <w:bookmarkStart w:id="333" w:name="tbl-appendix-llm"/>
          <w:p>
            <w:pPr>
              <w:jc w:val="both"/>
              <w:spacing w:line="360" w:lineRule="auto"/>
            </w:pPr>
            <w:pPr>
              <w:jc w:val="left"/>
              <w:spacing w:before="200"/>
              <w:pStyle w:val="ImageCaption"/>
            </w:pPr>
            <w:r>
              <w:t xml:space="preserve">Table 7.16: Artefactos de evaluación LLM y estado dentro de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Estado en la tesis</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evaluación de explicaciones</w:t>
                  </w:r>
                </w:p>
              </w:tc>
              <w:tc>
                <w:tcPr/>
                <w:p>
                  <w:pPr>
                    <w:pStyle w:val="Compact"/>
                    <w:jc w:val="both"/>
                    <w:jc w:val="center"/>
                    <w:spacing w:line="360" w:lineRule="auto"/>
                  </w:pPr>
                  <w:r>
                    <w:t xml:space="preserve">Exploratorio</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juez LLM</w:t>
                  </w:r>
                </w:p>
              </w:tc>
              <w:tc>
                <w:tcPr/>
                <w:p>
                  <w:pPr>
                    <w:pStyle w:val="Compact"/>
                    <w:jc w:val="both"/>
                    <w:jc w:val="center"/>
                    <w:spacing w:line="360" w:lineRule="auto"/>
                  </w:pPr>
                  <w:r>
                    <w:t xml:space="preserve">Exploratorio</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entre jueces</w:t>
                  </w:r>
                </w:p>
              </w:tc>
              <w:tc>
                <w:tcPr/>
                <w:p>
                  <w:pPr>
                    <w:pStyle w:val="Compact"/>
                    <w:jc w:val="both"/>
                    <w:jc w:val="center"/>
                    <w:spacing w:line="360" w:lineRule="auto"/>
                  </w:pPr>
                  <w:r>
                    <w:t xml:space="preserve">No confirmativo</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w:r>
                    <w:t xml:space="preserve">Acuerdo entre jueces</w:t>
                  </w:r>
                </w:p>
              </w:tc>
              <w:tc>
                <w:tcPr/>
                <w:p>
                  <w:pPr>
                    <w:pStyle w:val="Compact"/>
                    <w:jc w:val="both"/>
                    <w:jc w:val="center"/>
                    <w:spacing w:line="360" w:lineRule="auto"/>
                  </w:pPr>
                  <w:r>
                    <w:t xml:space="preserve">No confirmativo</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Confiabilidad tipo ICC</w:t>
                  </w:r>
                </w:p>
              </w:tc>
              <w:tc>
                <w:tcPr/>
                <w:p>
                  <w:pPr>
                    <w:pStyle w:val="Compact"/>
                    <w:jc w:val="both"/>
                    <w:jc w:val="center"/>
                    <w:spacing w:line="360" w:lineRule="auto"/>
                  </w:pPr>
                  <w:r>
                    <w:t xml:space="preserve">No confirmativo</w:t>
                  </w:r>
                </w:p>
              </w:tc>
            </w:tr>
          </w:tbl>
          <w:bookmarkEnd w:id="333"/>
          <w:p>
            <w:pPr>
              <w:spacing w:line="360" w:lineRule="auto"/>
              <w:jc w:val="both"/>
            </w:pPr>
          </w:p>
        </w:tc>
      </w:tr>
    </w:tbl>
    <w:p>
      <w:pPr>
        <w:pStyle w:val="Textoindependiente"/>
        <w:spacing w:line="360" w:lineRule="auto"/>
        <w:jc w:val="both"/>
      </w:pPr>
      <w:r>
        <w:t xml:space="preserve">Esta delimitación evita mezclar dos contribuciones con estándares de validación</w:t>
      </w:r>
      <w:r>
        <w:t xml:space="preserve"> </w:t>
      </w:r>
      <w:r>
        <w:t xml:space="preserve">distintos. Una integración plena de evaluación LLM requeriría un protocolo</w:t>
      </w:r>
      <w:r>
        <w:t xml:space="preserve"> </w:t>
      </w:r>
      <w:r>
        <w:t xml:space="preserve">propio de selección de modelos, prompts, acuerdo humano-LLM, análisis de</w:t>
      </w:r>
      <w:r>
        <w:t xml:space="preserve"> </w:t>
      </w:r>
      <w:r>
        <w:t xml:space="preserve">fiabilidad y amenazas de validez.</w:t>
      </w:r>
    </w:p>
    <w:bookmarkEnd w:id="334"/>
    <w:bookmarkEnd w:id="335"/>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132" Target="media/rId132.png" /><Relationship Type="http://schemas.openxmlformats.org/officeDocument/2006/relationships/image" Id="rId128" Target="media/rId128.png" /><Relationship Type="http://schemas.openxmlformats.org/officeDocument/2006/relationships/image" Id="rId144" Target="media/rId144.png" /><Relationship Type="http://schemas.openxmlformats.org/officeDocument/2006/relationships/image" Id="rId124" Target="media/rId124.png" /><Relationship Type="http://schemas.openxmlformats.org/officeDocument/2006/relationships/image" Id="rId148" Target="media/rId148.png" /><Relationship Type="http://schemas.openxmlformats.org/officeDocument/2006/relationships/hyperlink" Id="rId238" Target="https://archive.ics.uci.edu/dataset/2/adult" TargetMode="External" /><Relationship Type="http://schemas.openxmlformats.org/officeDocument/2006/relationships/hyperlink" Id="rId195" Target="https://arxiv.org/abs/1806.08049" TargetMode="External" /><Relationship Type="http://schemas.openxmlformats.org/officeDocument/2006/relationships/hyperlink" Id="rId268" Target="https://catalog.princeton.edu/catalog/2081365" TargetMode="External" /><Relationship Type="http://schemas.openxmlformats.org/officeDocument/2006/relationships/hyperlink" Id="rId197" Target="https://doi.org/10.1002/widm.1424" TargetMode="External" /><Relationship Type="http://schemas.openxmlformats.org/officeDocument/2006/relationships/hyperlink" Id="rId254" Target="https://doi.org/10.1002/widm.1493" TargetMode="External" /><Relationship Type="http://schemas.openxmlformats.org/officeDocument/2006/relationships/hyperlink" Id="rId287" Target="https://doi.org/10.1007/978-3-030-28954-6" TargetMode="External" /><Relationship Type="http://schemas.openxmlformats.org/officeDocument/2006/relationships/hyperlink" Id="rId303" Target="https://doi.org/10.1007/978-3-319-57959-7" TargetMode="External" /><Relationship Type="http://schemas.openxmlformats.org/officeDocument/2006/relationships/hyperlink" Id="rId289" Target="https://doi.org/10.1007/s10618-022-00867-8" TargetMode="External" /><Relationship Type="http://schemas.openxmlformats.org/officeDocument/2006/relationships/hyperlink" Id="rId217" Target="https://doi.org/10.1007/s11023-018-9482-5" TargetMode="External" /><Relationship Type="http://schemas.openxmlformats.org/officeDocument/2006/relationships/hyperlink" Id="rId227" Target="https://doi.org/10.1007/s12559-023-10179-8" TargetMode="External" /><Relationship Type="http://schemas.openxmlformats.org/officeDocument/2006/relationships/hyperlink" Id="rId293" Target="https://doi.org/10.1007/s13218-020-00637-y" TargetMode="External" /><Relationship Type="http://schemas.openxmlformats.org/officeDocument/2006/relationships/hyperlink" Id="rId230" Target="https://doi.org/10.1007/s13218-023-00806-9" TargetMode="External" /><Relationship Type="http://schemas.openxmlformats.org/officeDocument/2006/relationships/hyperlink" Id="rId256" Target="https://doi.org/10.1016/j.artint.2018.07.007" TargetMode="External" /><Relationship Type="http://schemas.openxmlformats.org/officeDocument/2006/relationships/hyperlink" Id="rId242" Target="https://doi.org/10.1016/j.artint.2021.103473" TargetMode="External" /><Relationship Type="http://schemas.openxmlformats.org/officeDocument/2006/relationships/hyperlink" Id="rId199" Target="https://doi.org/10.1016/j.inffus.2019.12.012" TargetMode="External" /><Relationship Type="http://schemas.openxmlformats.org/officeDocument/2006/relationships/hyperlink" Id="rId189" Target="https://doi.org/10.1016/j.inffus.2023.101805" TargetMode="External" /><Relationship Type="http://schemas.openxmlformats.org/officeDocument/2006/relationships/hyperlink" Id="rId273" Target="https://doi.org/10.1016/j.neucom.2024.128282" TargetMode="External" /><Relationship Type="http://schemas.openxmlformats.org/officeDocument/2006/relationships/hyperlink" Id="rId205" Target="https://doi.org/10.1023/a:1010933404324" TargetMode="External" /><Relationship Type="http://schemas.openxmlformats.org/officeDocument/2006/relationships/hyperlink" Id="rId271" Target="https://doi.org/10.1038/s41467-022-33417-3" TargetMode="External" /><Relationship Type="http://schemas.openxmlformats.org/officeDocument/2006/relationships/hyperlink" Id="rId264" Target="https://doi.org/10.1073/pnas.1900654116" TargetMode="External" /><Relationship Type="http://schemas.openxmlformats.org/officeDocument/2006/relationships/hyperlink" Id="rId219" Target="https://doi.org/10.1080/01621459.1937.10503522" TargetMode="External" /><Relationship Type="http://schemas.openxmlformats.org/officeDocument/2006/relationships/hyperlink" Id="rId184" Target="https://doi.org/10.1109/INES59045.2023.1030000" TargetMode="External" /><Relationship Type="http://schemas.openxmlformats.org/officeDocument/2006/relationships/hyperlink" Id="rId295" Target="https://doi.org/10.1109/TNNLS.2020.3027314" TargetMode="External" /><Relationship Type="http://schemas.openxmlformats.org/officeDocument/2006/relationships/hyperlink" Id="rId281" Target="https://doi.org/10.1109/TPAMI.2023.3331846" TargetMode="External" /><Relationship Type="http://schemas.openxmlformats.org/officeDocument/2006/relationships/hyperlink" Id="rId186" Target="https://doi.org/10.1109/access.2018.2870052" TargetMode="External" /><Relationship Type="http://schemas.openxmlformats.org/officeDocument/2006/relationships/hyperlink" Id="rId221" Target="https://doi.org/10.1109/dsaa.2018.00018" TargetMode="External" /><Relationship Type="http://schemas.openxmlformats.org/officeDocument/2006/relationships/hyperlink" Id="rId232" Target="https://doi.org/10.1126/science.359.6377.725" TargetMode="External" /><Relationship Type="http://schemas.openxmlformats.org/officeDocument/2006/relationships/hyperlink" Id="rId277" Target="https://doi.org/10.1145/2939672.2939778" TargetMode="External" /><Relationship Type="http://schemas.openxmlformats.org/officeDocument/2006/relationships/hyperlink" Id="rId182" Target="https://doi.org/10.1145/3173574.3174156" TargetMode="External" /><Relationship Type="http://schemas.openxmlformats.org/officeDocument/2006/relationships/hyperlink" Id="rId223" Target="https://doi.org/10.1145/3236009" TargetMode="External" /><Relationship Type="http://schemas.openxmlformats.org/officeDocument/2006/relationships/hyperlink" Id="rId248" Target="https://doi.org/10.1145/3236386.3241340" TargetMode="External" /><Relationship Type="http://schemas.openxmlformats.org/officeDocument/2006/relationships/hyperlink" Id="rId258" Target="https://doi.org/10.1145/3287560.3287574" TargetMode="External" /><Relationship Type="http://schemas.openxmlformats.org/officeDocument/2006/relationships/hyperlink" Id="rId236" Target="https://doi.org/10.1145/3313831.3376219" TargetMode="External" /><Relationship Type="http://schemas.openxmlformats.org/officeDocument/2006/relationships/hyperlink" Id="rId262" Target="https://doi.org/10.1145/3351095.3372850" TargetMode="External" /><Relationship Type="http://schemas.openxmlformats.org/officeDocument/2006/relationships/hyperlink" Id="rId291" Target="https://doi.org/10.1145/3375627.3375830" TargetMode="External" /><Relationship Type="http://schemas.openxmlformats.org/officeDocument/2006/relationships/hyperlink" Id="rId275" Target="https://doi.org/10.1145/3375627.3375850" TargetMode="External" /><Relationship Type="http://schemas.openxmlformats.org/officeDocument/2006/relationships/hyperlink" Id="rId260" Target="https://doi.org/10.1145/3387166" TargetMode="External" /><Relationship Type="http://schemas.openxmlformats.org/officeDocument/2006/relationships/hyperlink" Id="rId234" Target="https://doi.org/10.1145/3527848" TargetMode="External" /><Relationship Type="http://schemas.openxmlformats.org/officeDocument/2006/relationships/hyperlink" Id="rId266" Target="https://doi.org/10.1145/3583558" TargetMode="External" /><Relationship Type="http://schemas.openxmlformats.org/officeDocument/2006/relationships/hyperlink" Id="rId203" Target="https://doi.org/10.1145/3631700.3664911" TargetMode="External" /><Relationship Type="http://schemas.openxmlformats.org/officeDocument/2006/relationships/hyperlink" Id="rId252" Target="https://doi.org/10.1145/3647444.3647912" TargetMode="External" /><Relationship Type="http://schemas.openxmlformats.org/officeDocument/2006/relationships/hyperlink" Id="rId209" Target="https://doi.org/10.1145/3737445" TargetMode="External" /><Relationship Type="http://schemas.openxmlformats.org/officeDocument/2006/relationships/hyperlink" Id="rId191" Target="https://doi.org/10.1146/annurev-statistics-040120-030919" TargetMode="External" /><Relationship Type="http://schemas.openxmlformats.org/officeDocument/2006/relationships/hyperlink" Id="rId299" Target="https://doi.org/10.1201/9781003442509" TargetMode="External" /><Relationship Type="http://schemas.openxmlformats.org/officeDocument/2006/relationships/hyperlink" Id="rId283" Target="https://doi.org/10.1214/21-ss133" TargetMode="External" /><Relationship Type="http://schemas.openxmlformats.org/officeDocument/2006/relationships/hyperlink" Id="rId279" Target="https://doi.org/10.1609/aaai.v32i1.11491" TargetMode="External" /><Relationship Type="http://schemas.openxmlformats.org/officeDocument/2006/relationships/hyperlink" Id="rId297" Target="https://doi.org/10.1609/aaai.v34i04.6064" TargetMode="External" /><Relationship Type="http://schemas.openxmlformats.org/officeDocument/2006/relationships/hyperlink" Id="rId301" Target="https://doi.org/10.1613/jair.1.13283" TargetMode="External" /><Relationship Type="http://schemas.openxmlformats.org/officeDocument/2006/relationships/hyperlink" Id="rId225" Target="https://doi.org/10.18653/v1/2020.acl-main.491" TargetMode="External" /><Relationship Type="http://schemas.openxmlformats.org/officeDocument/2006/relationships/hyperlink" Id="rId207" Target="https://doi.org/10.18653/v1/2023.emnlp-main.792" TargetMode="External" /><Relationship Type="http://schemas.openxmlformats.org/officeDocument/2006/relationships/hyperlink" Id="rId305" Target="https://doi.org/10.2139/ssrn.3063289" TargetMode="External" /><Relationship Type="http://schemas.openxmlformats.org/officeDocument/2006/relationships/hyperlink" Id="rId307" Target="https://doi.org/10.2307/3001968" TargetMode="External" /><Relationship Type="http://schemas.openxmlformats.org/officeDocument/2006/relationships/hyperlink" Id="rId244" Target="https://doi.org/10.24963/ijcai.2019/388" TargetMode="External" /><Relationship Type="http://schemas.openxmlformats.org/officeDocument/2006/relationships/hyperlink" Id="rId201" Target="https://doi.org/10.3389/fdata.2021.688969" TargetMode="External" /><Relationship Type="http://schemas.openxmlformats.org/officeDocument/2006/relationships/hyperlink" Id="rId240" Target="https://doi.org/10.3389/fpsyg.2013.00863" TargetMode="External" /><Relationship Type="http://schemas.openxmlformats.org/officeDocument/2006/relationships/hyperlink" Id="rId285" Target="https://doi.org/10.3390/app14198884" TargetMode="External" /><Relationship Type="http://schemas.openxmlformats.org/officeDocument/2006/relationships/hyperlink" Id="rId246" Target="https://doi.org/10.3390/e23010018" TargetMode="External" /><Relationship Type="http://schemas.openxmlformats.org/officeDocument/2006/relationships/hyperlink" Id="rId211" Target="https://doi.org/10.3390/electronics8080832" TargetMode="External" /><Relationship Type="http://schemas.openxmlformats.org/officeDocument/2006/relationships/hyperlink" Id="rId193" Target="https://doi.org/10.3390/technologies13030093" TargetMode="External" /><Relationship Type="http://schemas.openxmlformats.org/officeDocument/2006/relationships/hyperlink" Id="rId215" Target="https://doi.org/10.48550/arxiv.1702.08608" TargetMode="External" /><Relationship Type="http://schemas.openxmlformats.org/officeDocument/2006/relationships/hyperlink" Id="rId250" Target="https://doi.org/10.48550/arxiv.1705.07874" TargetMode="External" /><Relationship Type="http://schemas.openxmlformats.org/officeDocument/2006/relationships/hyperlink" Id="rId309" Target="https://trustai4s-lab.github.io/ffidelity" TargetMode="External" /><Relationship Type="http://schemas.openxmlformats.org/officeDocument/2006/relationships/hyperlink" Id="rId213"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38" Target="https://archive.ics.uci.edu/dataset/2/adult" TargetMode="External" /><Relationship Type="http://schemas.openxmlformats.org/officeDocument/2006/relationships/hyperlink" Id="rId195" Target="https://arxiv.org/abs/1806.08049" TargetMode="External" /><Relationship Type="http://schemas.openxmlformats.org/officeDocument/2006/relationships/hyperlink" Id="rId268" Target="https://catalog.princeton.edu/catalog/2081365" TargetMode="External" /><Relationship Type="http://schemas.openxmlformats.org/officeDocument/2006/relationships/hyperlink" Id="rId197" Target="https://doi.org/10.1002/widm.1424" TargetMode="External" /><Relationship Type="http://schemas.openxmlformats.org/officeDocument/2006/relationships/hyperlink" Id="rId254" Target="https://doi.org/10.1002/widm.1493" TargetMode="External" /><Relationship Type="http://schemas.openxmlformats.org/officeDocument/2006/relationships/hyperlink" Id="rId287" Target="https://doi.org/10.1007/978-3-030-28954-6" TargetMode="External" /><Relationship Type="http://schemas.openxmlformats.org/officeDocument/2006/relationships/hyperlink" Id="rId303" Target="https://doi.org/10.1007/978-3-319-57959-7" TargetMode="External" /><Relationship Type="http://schemas.openxmlformats.org/officeDocument/2006/relationships/hyperlink" Id="rId289" Target="https://doi.org/10.1007/s10618-022-00867-8" TargetMode="External" /><Relationship Type="http://schemas.openxmlformats.org/officeDocument/2006/relationships/hyperlink" Id="rId217" Target="https://doi.org/10.1007/s11023-018-9482-5" TargetMode="External" /><Relationship Type="http://schemas.openxmlformats.org/officeDocument/2006/relationships/hyperlink" Id="rId227" Target="https://doi.org/10.1007/s12559-023-10179-8" TargetMode="External" /><Relationship Type="http://schemas.openxmlformats.org/officeDocument/2006/relationships/hyperlink" Id="rId293" Target="https://doi.org/10.1007/s13218-020-00637-y" TargetMode="External" /><Relationship Type="http://schemas.openxmlformats.org/officeDocument/2006/relationships/hyperlink" Id="rId230" Target="https://doi.org/10.1007/s13218-023-00806-9" TargetMode="External" /><Relationship Type="http://schemas.openxmlformats.org/officeDocument/2006/relationships/hyperlink" Id="rId256" Target="https://doi.org/10.1016/j.artint.2018.07.007" TargetMode="External" /><Relationship Type="http://schemas.openxmlformats.org/officeDocument/2006/relationships/hyperlink" Id="rId242" Target="https://doi.org/10.1016/j.artint.2021.103473" TargetMode="External" /><Relationship Type="http://schemas.openxmlformats.org/officeDocument/2006/relationships/hyperlink" Id="rId199" Target="https://doi.org/10.1016/j.inffus.2019.12.012" TargetMode="External" /><Relationship Type="http://schemas.openxmlformats.org/officeDocument/2006/relationships/hyperlink" Id="rId189" Target="https://doi.org/10.1016/j.inffus.2023.101805" TargetMode="External" /><Relationship Type="http://schemas.openxmlformats.org/officeDocument/2006/relationships/hyperlink" Id="rId273" Target="https://doi.org/10.1016/j.neucom.2024.128282" TargetMode="External" /><Relationship Type="http://schemas.openxmlformats.org/officeDocument/2006/relationships/hyperlink" Id="rId205" Target="https://doi.org/10.1023/a:1010933404324" TargetMode="External" /><Relationship Type="http://schemas.openxmlformats.org/officeDocument/2006/relationships/hyperlink" Id="rId271" Target="https://doi.org/10.1038/s41467-022-33417-3" TargetMode="External" /><Relationship Type="http://schemas.openxmlformats.org/officeDocument/2006/relationships/hyperlink" Id="rId264" Target="https://doi.org/10.1073/pnas.1900654116" TargetMode="External" /><Relationship Type="http://schemas.openxmlformats.org/officeDocument/2006/relationships/hyperlink" Id="rId219" Target="https://doi.org/10.1080/01621459.1937.10503522" TargetMode="External" /><Relationship Type="http://schemas.openxmlformats.org/officeDocument/2006/relationships/hyperlink" Id="rId184" Target="https://doi.org/10.1109/INES59045.2023.1030000" TargetMode="External" /><Relationship Type="http://schemas.openxmlformats.org/officeDocument/2006/relationships/hyperlink" Id="rId295" Target="https://doi.org/10.1109/TNNLS.2020.3027314" TargetMode="External" /><Relationship Type="http://schemas.openxmlformats.org/officeDocument/2006/relationships/hyperlink" Id="rId281" Target="https://doi.org/10.1109/TPAMI.2023.3331846" TargetMode="External" /><Relationship Type="http://schemas.openxmlformats.org/officeDocument/2006/relationships/hyperlink" Id="rId186" Target="https://doi.org/10.1109/access.2018.2870052" TargetMode="External" /><Relationship Type="http://schemas.openxmlformats.org/officeDocument/2006/relationships/hyperlink" Id="rId221" Target="https://doi.org/10.1109/dsaa.2018.00018" TargetMode="External" /><Relationship Type="http://schemas.openxmlformats.org/officeDocument/2006/relationships/hyperlink" Id="rId232" Target="https://doi.org/10.1126/science.359.6377.725" TargetMode="External" /><Relationship Type="http://schemas.openxmlformats.org/officeDocument/2006/relationships/hyperlink" Id="rId277" Target="https://doi.org/10.1145/2939672.2939778" TargetMode="External" /><Relationship Type="http://schemas.openxmlformats.org/officeDocument/2006/relationships/hyperlink" Id="rId182" Target="https://doi.org/10.1145/3173574.3174156" TargetMode="External" /><Relationship Type="http://schemas.openxmlformats.org/officeDocument/2006/relationships/hyperlink" Id="rId223" Target="https://doi.org/10.1145/3236009" TargetMode="External" /><Relationship Type="http://schemas.openxmlformats.org/officeDocument/2006/relationships/hyperlink" Id="rId248" Target="https://doi.org/10.1145/3236386.3241340" TargetMode="External" /><Relationship Type="http://schemas.openxmlformats.org/officeDocument/2006/relationships/hyperlink" Id="rId258" Target="https://doi.org/10.1145/3287560.3287574" TargetMode="External" /><Relationship Type="http://schemas.openxmlformats.org/officeDocument/2006/relationships/hyperlink" Id="rId236" Target="https://doi.org/10.1145/3313831.3376219" TargetMode="External" /><Relationship Type="http://schemas.openxmlformats.org/officeDocument/2006/relationships/hyperlink" Id="rId262" Target="https://doi.org/10.1145/3351095.3372850" TargetMode="External" /><Relationship Type="http://schemas.openxmlformats.org/officeDocument/2006/relationships/hyperlink" Id="rId291" Target="https://doi.org/10.1145/3375627.3375830" TargetMode="External" /><Relationship Type="http://schemas.openxmlformats.org/officeDocument/2006/relationships/hyperlink" Id="rId275" Target="https://doi.org/10.1145/3375627.3375850" TargetMode="External" /><Relationship Type="http://schemas.openxmlformats.org/officeDocument/2006/relationships/hyperlink" Id="rId260" Target="https://doi.org/10.1145/3387166" TargetMode="External" /><Relationship Type="http://schemas.openxmlformats.org/officeDocument/2006/relationships/hyperlink" Id="rId234" Target="https://doi.org/10.1145/3527848" TargetMode="External" /><Relationship Type="http://schemas.openxmlformats.org/officeDocument/2006/relationships/hyperlink" Id="rId266" Target="https://doi.org/10.1145/3583558" TargetMode="External" /><Relationship Type="http://schemas.openxmlformats.org/officeDocument/2006/relationships/hyperlink" Id="rId203" Target="https://doi.org/10.1145/3631700.3664911" TargetMode="External" /><Relationship Type="http://schemas.openxmlformats.org/officeDocument/2006/relationships/hyperlink" Id="rId252" Target="https://doi.org/10.1145/3647444.3647912" TargetMode="External" /><Relationship Type="http://schemas.openxmlformats.org/officeDocument/2006/relationships/hyperlink" Id="rId209" Target="https://doi.org/10.1145/3737445" TargetMode="External" /><Relationship Type="http://schemas.openxmlformats.org/officeDocument/2006/relationships/hyperlink" Id="rId191" Target="https://doi.org/10.1146/annurev-statistics-040120-030919" TargetMode="External" /><Relationship Type="http://schemas.openxmlformats.org/officeDocument/2006/relationships/hyperlink" Id="rId299" Target="https://doi.org/10.1201/9781003442509" TargetMode="External" /><Relationship Type="http://schemas.openxmlformats.org/officeDocument/2006/relationships/hyperlink" Id="rId283" Target="https://doi.org/10.1214/21-ss133" TargetMode="External" /><Relationship Type="http://schemas.openxmlformats.org/officeDocument/2006/relationships/hyperlink" Id="rId279" Target="https://doi.org/10.1609/aaai.v32i1.11491" TargetMode="External" /><Relationship Type="http://schemas.openxmlformats.org/officeDocument/2006/relationships/hyperlink" Id="rId297" Target="https://doi.org/10.1609/aaai.v34i04.6064" TargetMode="External" /><Relationship Type="http://schemas.openxmlformats.org/officeDocument/2006/relationships/hyperlink" Id="rId301" Target="https://doi.org/10.1613/jair.1.13283" TargetMode="External" /><Relationship Type="http://schemas.openxmlformats.org/officeDocument/2006/relationships/hyperlink" Id="rId225" Target="https://doi.org/10.18653/v1/2020.acl-main.491" TargetMode="External" /><Relationship Type="http://schemas.openxmlformats.org/officeDocument/2006/relationships/hyperlink" Id="rId207" Target="https://doi.org/10.18653/v1/2023.emnlp-main.792" TargetMode="External" /><Relationship Type="http://schemas.openxmlformats.org/officeDocument/2006/relationships/hyperlink" Id="rId305" Target="https://doi.org/10.2139/ssrn.3063289" TargetMode="External" /><Relationship Type="http://schemas.openxmlformats.org/officeDocument/2006/relationships/hyperlink" Id="rId307" Target="https://doi.org/10.2307/3001968" TargetMode="External" /><Relationship Type="http://schemas.openxmlformats.org/officeDocument/2006/relationships/hyperlink" Id="rId244" Target="https://doi.org/10.24963/ijcai.2019/388" TargetMode="External" /><Relationship Type="http://schemas.openxmlformats.org/officeDocument/2006/relationships/hyperlink" Id="rId201" Target="https://doi.org/10.3389/fdata.2021.688969" TargetMode="External" /><Relationship Type="http://schemas.openxmlformats.org/officeDocument/2006/relationships/hyperlink" Id="rId240" Target="https://doi.org/10.3389/fpsyg.2013.00863" TargetMode="External" /><Relationship Type="http://schemas.openxmlformats.org/officeDocument/2006/relationships/hyperlink" Id="rId285" Target="https://doi.org/10.3390/app14198884" TargetMode="External" /><Relationship Type="http://schemas.openxmlformats.org/officeDocument/2006/relationships/hyperlink" Id="rId246" Target="https://doi.org/10.3390/e23010018" TargetMode="External" /><Relationship Type="http://schemas.openxmlformats.org/officeDocument/2006/relationships/hyperlink" Id="rId211" Target="https://doi.org/10.3390/electronics8080832" TargetMode="External" /><Relationship Type="http://schemas.openxmlformats.org/officeDocument/2006/relationships/hyperlink" Id="rId193" Target="https://doi.org/10.3390/technologies13030093" TargetMode="External" /><Relationship Type="http://schemas.openxmlformats.org/officeDocument/2006/relationships/hyperlink" Id="rId215" Target="https://doi.org/10.48550/arxiv.1702.08608" TargetMode="External" /><Relationship Type="http://schemas.openxmlformats.org/officeDocument/2006/relationships/hyperlink" Id="rId250" Target="https://doi.org/10.48550/arxiv.1705.07874" TargetMode="External" /><Relationship Type="http://schemas.openxmlformats.org/officeDocument/2006/relationships/hyperlink" Id="rId309" Target="https://trustai4s-lab.github.io/ffidelity" TargetMode="External" /><Relationship Type="http://schemas.openxmlformats.org/officeDocument/2006/relationships/hyperlink" Id="rId213"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2026-05-10T00:32:33Z</dcterms:created>
  <dcterms:modified xsi:type="dcterms:W3CDTF">2026-05-10T00:32:33Z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