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6.png" ContentType="image/png"/>
  <Override PartName="/word/media/rId142.png" ContentType="image/png"/>
  <Override PartName="/word/media/rId138.png" ContentType="image/png"/>
  <Override PartName="/word/media/rId134.png" ContentType="image/png"/>
  <Override PartName="/word/media/rId150.png" ContentType="image/png"/>
  <Override PartName="/word/media/rId130.png" ContentType="image/png"/>
  <Override PartName="/word/media/rId154.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Tabla de contenidos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center"/>
      </w:pPr>
      <w:r>
        <w:t xml:space="preserve">Dedicatoria</w:t>
      </w:r>
    </w:p>
    <w:p>
      <w:pPr>
        <w:pStyle w:val="FirstParagraph"/>
        <w:spacing w:line="360" w:lineRule="auto"/>
        <w:jc w:val="right"/>
      </w:pPr>
      <w:r>
        <w:rPr>
          <w:iCs/>
          <w:i/>
        </w:rPr>
        <w:t xml:space="preserve">A mi hijo, Alejandro, su curiosidad es mi inspiración para seguir buscando</w:t>
      </w:r>
      <w:r>
        <w:rPr>
          <w:iCs/>
          <w:i/>
        </w:rPr>
        <w:t xml:space="preserve"> </w:t>
      </w:r>
      <w:r>
        <w:rPr>
          <w:iCs/>
          <w:i/>
        </w:rPr>
        <w:t xml:space="preserve">respuesta a todas las preguntas.</w:t>
      </w:r>
    </w:p>
    <w:p>
      <w:pPr>
        <w:pStyle w:val="Textoindependiente"/>
        <w:spacing w:line="360" w:lineRule="auto"/>
        <w:jc w:val="right"/>
      </w:pPr>
      <w:r>
        <w:rPr>
          <w:iCs/>
          <w:i/>
        </w:rPr>
        <w:t xml:space="preserve">A mi esposa, Liena, tu presencia en mi vida me ha hecho una mejor persona.</w:t>
      </w:r>
    </w:p>
    <w:p>
      <w:pPr>
        <w:pStyle w:val="Textoindependiente"/>
        <w:spacing w:line="360" w:lineRule="auto"/>
        <w:jc w:val="right"/>
      </w:pPr>
      <w:r>
        <w:rPr>
          <w:iCs/>
          <w:i/>
        </w:rPr>
        <w:t xml:space="preserve">A mi madre, Alis, sin tu guía no hubiese podido llegar aquí.</w:t>
      </w:r>
    </w:p>
    <w:p>
      <w:pPr>
        <w:pStyle w:val="Textoindependiente"/>
        <w:spacing w:line="360" w:lineRule="auto"/>
        <w:jc w:val="right"/>
      </w:pPr>
      <w:r>
        <w:rPr>
          <w:iCs/>
          <w:i/>
        </w:rPr>
        <w:t xml:space="preserve">Jonathan Herrera Vásquez</w:t>
      </w:r>
    </w:p>
    <w:p>
      <w:pPr>
        <w:spacing w:line="360" w:lineRule="auto"/>
        <w:jc w:val="right"/>
      </w:pPr>
      <w:r>
        <w:rPr>
          <w:iCs/>
          <w:i/>
        </w:rPr>
        <w:br w:type="page"/>
      </w:r>
    </w:p>
    <w:bookmarkEnd w:id="25"/>
    <w:bookmarkStart w:id="26" w:name="agradecimientos"/>
    <w:p>
      <w:pPr>
        <w:pStyle w:val="Ttulo1"/>
        <w:spacing w:line="360" w:lineRule="auto"/>
        <w:jc w:val="center"/>
      </w:pPr>
      <w:r>
        <w:t xml:space="preserve">Agradecimientos</w:t>
      </w:r>
    </w:p>
    <w:p>
      <w:pPr>
        <w:pStyle w:val="FirstParagraph"/>
        <w:spacing w:line="360" w:lineRule="auto"/>
        <w:jc w:val="right"/>
      </w:pPr>
      <w:r>
        <w:rPr>
          <w:iCs/>
          <w:i/>
        </w:rPr>
        <w:t xml:space="preserve">Agradezco a mi familia por todo su apoyo en el camino a través de los años.</w:t>
      </w:r>
    </w:p>
    <w:p>
      <w:pPr>
        <w:pStyle w:val="Textoindependiente"/>
        <w:spacing w:line="360" w:lineRule="auto"/>
        <w:jc w:val="right"/>
      </w:pPr>
      <w:r>
        <w:rPr>
          <w:iCs/>
          <w:i/>
        </w:rPr>
        <w:t xml:space="preserve">Agradezco al Dr. Miguel Herrero Uceda por su apoyo en el proceso de elaboración</w:t>
      </w:r>
      <w:r>
        <w:rPr>
          <w:iCs/>
          <w:i/>
        </w:rPr>
        <w:t xml:space="preserve"> </w:t>
      </w:r>
      <w:r>
        <w:rPr>
          <w:iCs/>
          <w:i/>
        </w:rPr>
        <w:t xml:space="preserve">de esta tesis.</w:t>
      </w:r>
    </w:p>
    <w:p>
      <w:pPr>
        <w:spacing w:line="360" w:lineRule="auto"/>
        <w:jc w:val="right"/>
      </w:pPr>
      <w:r>
        <w:rPr>
          <w:iCs/>
          <w:i/>
        </w:rP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y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y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13574bcfb14bbd4e095f2c559ff6b33999e5b97"/>
    <w:p>
      <w:pPr>
        <w:pStyle w:val="Ttulo1"/>
        <w:spacing w:line="360" w:lineRule="auto"/>
        <w:jc w:val="both"/>
      </w:pPr>
      <w:r>
        <w:t xml:space="preserve">Capítulo 1. </w:t>
      </w: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1.1 </w:t>
      </w: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y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y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y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1.2 </w:t>
      </w: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y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y Zhang 2023)</w:t>
      </w:r>
      <w:r>
        <w:t xml:space="preserve">, en la auditoría de sesgos en sistemas de clasificación de texto</w:t>
      </w:r>
      <w:r>
        <w:t xml:space="preserve"> </w:t>
      </w:r>
      <w:r>
        <w:t xml:space="preserve">(Muntasir y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y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y Thangarajah 2024; Hosseini y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1.3 </w:t>
      </w:r>
      <w:r>
        <w:t xml:space="preserve">Objetivos e hipótesis</w:t>
      </w:r>
    </w:p>
    <w:bookmarkStart w:id="32" w:name="objetivo-general"/>
    <w:p>
      <w:pPr>
        <w:pStyle w:val="Ttulo3"/>
        <w:spacing w:line="360" w:lineRule="auto"/>
        <w:jc w:val="both"/>
      </w:pPr>
      <w:r>
        <w:t xml:space="preserve">1.3.1 </w:t>
      </w: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2"/>
    <w:bookmarkStart w:id="33" w:name="objetivos-específicos"/>
    <w:p>
      <w:pPr>
        <w:pStyle w:val="Ttulo3"/>
        <w:spacing w:line="360" w:lineRule="auto"/>
        <w:jc w:val="both"/>
      </w:pPr>
      <w:r>
        <w:t xml:space="preserve">1.3.2 </w:t>
      </w: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1.3.3 </w:t>
      </w: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jc w:val="center"/>
        <w:tblLayout w:type="fixed"/>
        <w:tblLook w:firstRow="0" w:lastRow="0" w:firstColumn="0" w:lastColumn="0" w:noHBand="0" w:noVBand="0" w:val="0000"/>
      </w:tblPr>
      <w:tblGrid>
        <w:gridCol w:w="7920"/>
      </w:tblGrid>
      <w:tr>
        <w:tc>
          <w:tcPr/>
          <w:bookmarkStart w:id="34" w:name="tbl-estudios"/>
          <w:p>
            <w:pPr>
              <w:pStyle w:val="ImageCaption"/>
              <w:spacing w:before="200" w:line="360" w:lineRule="auto"/>
              <w:jc w:val="center"/>
            </w:pPr>
            <w:r>
              <w:t xml:space="preserve">Tabla 1.1: Nomenclatura, alcance y trazabilidad de los cuatro estudios.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Pregunta que responde</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5"/>
    <w:bookmarkStart w:id="36" w:name="hipótesis-o-proposiciones-de-trabajo"/>
    <w:p>
      <w:pPr>
        <w:pStyle w:val="Ttulo3"/>
        <w:spacing w:line="360" w:lineRule="auto"/>
        <w:jc w:val="both"/>
      </w:pPr>
      <w:r>
        <w:t xml:space="preserve">1.3.4 </w:t>
      </w: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y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6"/>
    <w:bookmarkEnd w:id="37"/>
    <w:bookmarkStart w:id="45" w:name="metodología-general-de-la-investigación"/>
    <w:p>
      <w:pPr>
        <w:pStyle w:val="Ttulo2"/>
        <w:spacing w:line="360" w:lineRule="auto"/>
        <w:jc w:val="both"/>
      </w:pPr>
      <w:r>
        <w:t xml:space="preserve">1.4 </w:t>
      </w:r>
      <w:r>
        <w:t xml:space="preserve">Metodología general de la investigación</w:t>
      </w:r>
    </w:p>
    <w:bookmarkStart w:id="38" w:name="enfoque"/>
    <w:p>
      <w:pPr>
        <w:pStyle w:val="Ttulo3"/>
        <w:spacing w:line="360" w:lineRule="auto"/>
        <w:jc w:val="both"/>
      </w:pPr>
      <w:r>
        <w:t xml:space="preserve">1.4.1 </w:t>
      </w: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1.4.2 </w:t>
      </w: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1.4.3 </w:t>
      </w: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y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1.4.4 </w:t>
      </w: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1.4.5 </w:t>
      </w: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1.4.6 </w:t>
      </w: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y Verbert 2024; Canha et al. 2025; Zheng et al. 2025)</w:t>
      </w:r>
      <w:r>
        <w:t xml:space="preserve">.</w:t>
      </w:r>
    </w:p>
    <w:bookmarkEnd w:id="43"/>
    <w:bookmarkStart w:id="44" w:name="estrategia-procedimental"/>
    <w:p>
      <w:pPr>
        <w:pStyle w:val="Ttulo3"/>
        <w:spacing w:line="360" w:lineRule="auto"/>
        <w:jc w:val="both"/>
      </w:pPr>
      <w:r>
        <w:t xml:space="preserve">1.4.7 </w:t>
      </w: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df853d312351836bad75f10c25fdcfe7ebc358"/>
    <w:p>
      <w:pPr>
        <w:pStyle w:val="Ttulo1"/>
        <w:spacing w:line="360" w:lineRule="auto"/>
        <w:jc w:val="both"/>
      </w:pPr>
      <w:r>
        <w:t xml:space="preserve">Capítulo 2. </w:t>
      </w:r>
      <w:r>
        <w:t xml:space="preserve">Marco teórico específico / fundamentos conceptuales</w:t>
      </w:r>
    </w:p>
    <w:bookmarkStart w:id="47" w:name="propósito-del-capítulo"/>
    <w:p>
      <w:pPr>
        <w:pStyle w:val="Ttulo2"/>
        <w:spacing w:line="360" w:lineRule="auto"/>
        <w:jc w:val="both"/>
      </w:pPr>
      <w:r>
        <w:t xml:space="preserve">2.1 </w:t>
      </w: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2.2 </w:t>
      </w: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y Martinez 2019)</w:t>
      </w:r>
      <w:r>
        <w:t xml:space="preserve">, arquitecturas prototípicas</w:t>
      </w:r>
      <w:r>
        <w:t xml:space="preserve"> </w:t>
      </w:r>
      <w:r>
        <w:t xml:space="preserve">(Hess y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y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2.3 </w:t>
      </w: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2.4 </w:t>
      </w:r>
      <w:r>
        <w:t xml:space="preserve">Métodos de explicación evaluados en esta tesis</w:t>
      </w:r>
    </w:p>
    <w:bookmarkStart w:id="50" w:name="Xbbcfa782e2d35f160f8750f56befcd9ee8cf14e"/>
    <w:p>
      <w:pPr>
        <w:pStyle w:val="Ttulo3"/>
        <w:spacing w:line="360" w:lineRule="auto"/>
        <w:jc w:val="both"/>
      </w:pPr>
      <w:r>
        <w:t xml:space="preserve">2.4.1 </w:t>
      </w: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2.4.2 </w:t>
      </w: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y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2.4.3 </w:t>
      </w: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2.4.4 </w:t>
      </w: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2.5 </w:t>
      </w: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y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y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jc w:val="center"/>
        <w:tblLayout w:type="fixed"/>
        <w:tblLook w:firstRow="0" w:lastRow="0" w:firstColumn="0" w:lastColumn="0" w:noHBand="0" w:noVBand="0" w:val="0000"/>
      </w:tblPr>
      <w:tblGrid>
        <w:gridCol w:w="7920"/>
      </w:tblGrid>
      <w:tr>
        <w:tc>
          <w:tcPr/>
          <w:bookmarkStart w:id="55" w:name="tbl-framework-comparison"/>
          <w:p>
            <w:pPr>
              <w:pStyle w:val="ImageCaption"/>
              <w:spacing w:before="200" w:line="360" w:lineRule="auto"/>
              <w:jc w:val="center"/>
            </w:pPr>
            <w:r>
              <w:t xml:space="preserve">Tabla 2.1: Comparación de marcos de evaluación XAI según cobertura, reproducibilidad, gobernanza y tipo de evaluación.</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Marco / protocolo</w:t>
                  </w:r>
                </w:p>
              </w:tc>
              <w:tc>
                <w:tcPr/>
                <w:p>
                  <w:pPr>
                    <w:pStyle w:val="Compact"/>
                    <w:jc w:val="both"/>
                    <w:jc w:val="center"/>
                    <w:spacing w:line="360" w:lineRule="auto"/>
                  </w:pPr>
                  <w:r>
                    <w:rPr>
                      <w:bCs/>
                      <w:b/>
                    </w:rPr>
                    <w:t xml:space="preserve">Cobertura de métricas</w:t>
                  </w:r>
                </w:p>
              </w:tc>
              <w:tc>
                <w:tcPr/>
                <w:p>
                  <w:pPr>
                    <w:pStyle w:val="Compact"/>
                    <w:jc w:val="both"/>
                    <w:jc w:val="center"/>
                    <w:spacing w:line="360" w:lineRule="auto"/>
                  </w:pPr>
                  <w:r>
                    <w:rPr>
                      <w:bCs/>
                      <w:b/>
                    </w:rPr>
                    <w:t xml:space="preserve">Soporte a reproducibilidad</w:t>
                  </w:r>
                </w:p>
              </w:tc>
              <w:tc>
                <w:tcPr/>
                <w:p>
                  <w:pPr>
                    <w:pStyle w:val="Compact"/>
                    <w:jc w:val="both"/>
                    <w:jc w:val="center"/>
                    <w:spacing w:line="360" w:lineRule="auto"/>
                  </w:pPr>
                  <w:r>
                    <w:rPr>
                      <w:bCs/>
                      <w:b/>
                    </w:rPr>
                    <w:t xml:space="preserve">Protocolo de gobernanza</w:t>
                  </w:r>
                </w:p>
              </w:tc>
              <w:tc>
                <w:tcPr/>
                <w:p>
                  <w:pPr>
                    <w:pStyle w:val="Compact"/>
                    <w:jc w:val="both"/>
                    <w:jc w:val="center"/>
                    <w:spacing w:line="360" w:lineRule="auto"/>
                  </w:pPr>
                  <w:r>
                    <w:rPr>
                      <w:bCs/>
                      <w:b/>
                    </w:rP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y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y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2.5.1 </w:t>
      </w: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y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y Carman 2024)</w:t>
      </w:r>
      <w:r>
        <w:t xml:space="preserve">, el diseño de la interfaz que la presenta</w:t>
      </w:r>
      <w:r>
        <w:t xml:space="preserve"> </w:t>
      </w:r>
      <w:r>
        <w:t xml:space="preserve">(Bhat y Long 2024; Alkhateeb y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y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y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y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2.5.2 </w:t>
      </w: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2.6 </w:t>
      </w: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y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rPr>
                <w:bCs/>
                <w:b/>
              </w:rPr>
              <w:t xml:space="preserve">Método</w:t>
            </w:r>
          </w:p>
        </w:tc>
        <w:tc>
          <w:tcPr/>
          <w:p>
            <w:pPr>
              <w:pStyle w:val="Compact"/>
              <w:spacing w:line="360" w:lineRule="auto"/>
              <w:jc w:val="both"/>
            </w:pPr>
            <w:r>
              <w:rPr>
                <w:bCs/>
                <w:b/>
              </w:rPr>
              <w:t xml:space="preserve">Objeto explicativo principal</w:t>
            </w:r>
          </w:p>
        </w:tc>
        <w:tc>
          <w:tcPr/>
          <w:p>
            <w:pPr>
              <w:pStyle w:val="Compact"/>
              <w:spacing w:line="360" w:lineRule="auto"/>
              <w:jc w:val="both"/>
            </w:pPr>
            <w:r>
              <w:rPr>
                <w:bCs/>
                <w:b/>
              </w:rPr>
              <w:t xml:space="preserve">Constructos naturalmente alineados</w:t>
            </w:r>
          </w:p>
        </w:tc>
        <w:tc>
          <w:tcPr/>
          <w:p>
            <w:pPr>
              <w:pStyle w:val="Compact"/>
              <w:spacing w:line="360" w:lineRule="auto"/>
              <w:jc w:val="both"/>
            </w:pPr>
            <w:r>
              <w:rPr>
                <w:bCs/>
                <w:b/>
              </w:rPr>
              <w:t xml:space="preserve">Riesgos de evaluación</w:t>
            </w:r>
          </w:p>
        </w:tc>
        <w:tc>
          <w:tcPr/>
          <w:p>
            <w:pPr>
              <w:pStyle w:val="Compact"/>
              <w:spacing w:line="360" w:lineRule="auto"/>
              <w:jc w:val="both"/>
            </w:pPr>
            <w:r>
              <w:rPr>
                <w:bCs/>
                <w:b/>
              </w:rP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2.7 </w:t>
      </w: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2.8 </w:t>
      </w: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y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05" w:name="marco-empírico-y-diseño-experimental"/>
    <w:p>
      <w:pPr>
        <w:pStyle w:val="Ttulo1"/>
        <w:spacing w:line="360" w:lineRule="auto"/>
        <w:jc w:val="both"/>
      </w:pPr>
      <w:r>
        <w:t xml:space="preserve">Capítulo 3. </w:t>
      </w: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3.1 </w:t>
      </w: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3.1.1 </w:t>
      </w: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jc w:val="center"/>
        <w:tblLayout w:type="fixed"/>
        <w:tblLook w:firstRow="0" w:lastRow="0" w:firstColumn="0" w:lastColumn="0" w:noHBand="0" w:noVBand="0" w:val="0000"/>
      </w:tblPr>
      <w:tblGrid>
        <w:gridCol w:w="7920"/>
      </w:tblGrid>
      <w:tr>
        <w:tc>
          <w:tcPr/>
          <w:bookmarkStart w:id="63" w:name="tbl-model-performance"/>
          <w:p>
            <w:pPr>
              <w:pStyle w:val="ImageCaption"/>
              <w:spacing w:before="200" w:line="360" w:lineRule="auto"/>
              <w:jc w:val="center"/>
            </w:pPr>
            <w:r>
              <w:t xml:space="preserve">Tabla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Exactitud</w:t>
                  </w:r>
                </w:p>
              </w:tc>
              <w:tc>
                <w:tcPr/>
                <w:p>
                  <w:pPr>
                    <w:pStyle w:val="Compact"/>
                    <w:jc w:val="both"/>
                    <w:jc w:val="center"/>
                    <w:spacing w:line="360" w:lineRule="auto"/>
                  </w:pPr>
                  <w:r>
                    <w:rPr>
                      <w:bCs/>
                      <w:b/>
                    </w:rPr>
                    <w:t xml:space="preserve">Precisión</w:t>
                  </w:r>
                </w:p>
              </w:tc>
              <w:tc>
                <w:tcPr/>
                <w:p>
                  <w:pPr>
                    <w:pStyle w:val="Compact"/>
                    <w:jc w:val="both"/>
                    <w:jc w:val="center"/>
                    <w:spacing w:line="360" w:lineRule="auto"/>
                  </w:pPr>
                  <w:r>
                    <w:rPr>
                      <w:bCs/>
                      <w:b/>
                    </w:rPr>
                    <w:t xml:space="preserve">Recall</w:t>
                  </w:r>
                </w:p>
              </w:tc>
              <w:tc>
                <w:tcPr/>
                <w:p>
                  <w:pPr>
                    <w:pStyle w:val="Compact"/>
                    <w:jc w:val="both"/>
                    <w:jc w:val="center"/>
                    <w:spacing w:line="360" w:lineRule="auto"/>
                  </w:pPr>
                  <w:r>
                    <w:rPr>
                      <w:bCs/>
                      <w:b/>
                    </w:rPr>
                    <w:t xml:space="preserve">F1</w:t>
                  </w:r>
                </w:p>
              </w:tc>
              <w:tc>
                <w:tcPr/>
                <w:p>
                  <w:pPr>
                    <w:pStyle w:val="Compact"/>
                    <w:jc w:val="both"/>
                    <w:jc w:val="center"/>
                    <w:spacing w:line="360" w:lineRule="auto"/>
                  </w:pPr>
                  <w:r>
                    <w:rPr>
                      <w:bCs/>
                      <w:b/>
                    </w:rP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3.1.2 </w:t>
      </w: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0" w:name="Xb179eb5e9b7cbdb0e78e991d72b8aeee41d8932"/>
    <w:p>
      <w:pPr>
        <w:pStyle w:val="Ttulo2"/>
        <w:spacing w:line="360" w:lineRule="auto"/>
        <w:jc w:val="both"/>
      </w:pPr>
      <w:r>
        <w:t xml:space="preserve">3.2 </w:t>
      </w:r>
      <w:r>
        <w:t xml:space="preserve">Conjunto de datos y protocolo de preprocesamiento</w:t>
      </w:r>
    </w:p>
    <w:bookmarkStart w:id="67" w:name="descripción-del-conjunto-de-datos"/>
    <w:p>
      <w:pPr>
        <w:pStyle w:val="Ttulo3"/>
        <w:spacing w:line="360" w:lineRule="auto"/>
        <w:jc w:val="both"/>
      </w:pPr>
      <w:r>
        <w:t xml:space="preserve">3.2.1 </w:t>
      </w: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y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7"/>
    <w:bookmarkStart w:id="68" w:name="carga-limpieza-y-partición"/>
    <w:p>
      <w:pPr>
        <w:pStyle w:val="Ttulo3"/>
        <w:spacing w:line="360" w:lineRule="auto"/>
        <w:jc w:val="both"/>
      </w:pPr>
      <w:r>
        <w:t xml:space="preserve">3.2.2 </w:t>
      </w: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8"/>
    <w:bookmarkStart w:id="69" w:name="controles-de-fuga-de-datos"/>
    <w:p>
      <w:pPr>
        <w:pStyle w:val="Ttulo3"/>
        <w:spacing w:line="360" w:lineRule="auto"/>
        <w:jc w:val="both"/>
      </w:pPr>
      <w:r>
        <w:t xml:space="preserve">3.2.3 </w:t>
      </w: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9"/>
    <w:bookmarkEnd w:id="70"/>
    <w:bookmarkStart w:id="72" w:name="X810bf4db8899260d734480c9f59b02e6a2182a3"/>
    <w:p>
      <w:pPr>
        <w:pStyle w:val="Ttulo2"/>
        <w:spacing w:line="360" w:lineRule="auto"/>
        <w:jc w:val="both"/>
      </w:pPr>
      <w:r>
        <w:t xml:space="preserve">3.3 </w:t>
      </w: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1" w:name="X7f3be01e797123bdbedac923d646584591998bc"/>
    <w:p>
      <w:pPr>
        <w:pStyle w:val="Ttulo3"/>
        <w:spacing w:line="360" w:lineRule="auto"/>
        <w:jc w:val="both"/>
      </w:pPr>
      <w:r>
        <w:t xml:space="preserve">3.3.1 </w:t>
      </w: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1"/>
    <w:bookmarkEnd w:id="72"/>
    <w:bookmarkStart w:id="75" w:name="Xa1b63f5b80ef9314faeb5aae6b8d7e743e4217a"/>
    <w:p>
      <w:pPr>
        <w:pStyle w:val="Ttulo2"/>
        <w:spacing w:line="360" w:lineRule="auto"/>
        <w:jc w:val="both"/>
      </w:pPr>
      <w:r>
        <w:t xml:space="preserve">3.4 </w:t>
      </w:r>
      <w:r>
        <w:t xml:space="preserve">Protocolo de muestreo de instancias y configuración de explicadores</w:t>
      </w:r>
    </w:p>
    <w:bookmarkStart w:id="73" w:name="X22a27531824c8c7d79a9c6abca6e13f987fd35c"/>
    <w:p>
      <w:pPr>
        <w:pStyle w:val="Ttulo3"/>
        <w:spacing w:line="360" w:lineRule="auto"/>
        <w:jc w:val="both"/>
      </w:pPr>
      <w:r>
        <w:t xml:space="preserve">3.4.1 </w:t>
      </w: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3"/>
    <w:bookmarkStart w:id="74" w:name="configuración-de-los-explicadores"/>
    <w:p>
      <w:pPr>
        <w:pStyle w:val="Ttulo3"/>
        <w:spacing w:line="360" w:lineRule="auto"/>
        <w:jc w:val="both"/>
      </w:pPr>
      <w:r>
        <w:t xml:space="preserve">3.4.2 </w:t>
      </w: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4"/>
    <w:bookmarkEnd w:id="75"/>
    <w:bookmarkStart w:id="83" w:name="sec-metricas"/>
    <w:p>
      <w:pPr>
        <w:pStyle w:val="Ttulo2"/>
        <w:spacing w:line="360" w:lineRule="auto"/>
        <w:jc w:val="both"/>
      </w:pPr>
      <w:r>
        <w:t xml:space="preserve">3.5 </w:t>
      </w: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6" w:name="fidelidad"/>
    <w:p>
      <w:pPr>
        <w:pStyle w:val="Ttulo3"/>
        <w:spacing w:line="360" w:lineRule="auto"/>
        <w:jc w:val="both"/>
      </w:pPr>
      <w:r>
        <w:t xml:space="preserve">3.5.1 </w:t>
      </w: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6"/>
    <w:bookmarkStart w:id="77" w:name="estabilidad"/>
    <w:p>
      <w:pPr>
        <w:pStyle w:val="Ttulo3"/>
        <w:spacing w:line="360" w:lineRule="auto"/>
        <w:jc w:val="both"/>
      </w:pPr>
      <w:r>
        <w:t xml:space="preserve">3.5.2 </w:t>
      </w: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7"/>
    <w:bookmarkStart w:id="78" w:name="parsimonia"/>
    <w:p>
      <w:pPr>
        <w:pStyle w:val="Ttulo3"/>
        <w:spacing w:line="360" w:lineRule="auto"/>
        <w:jc w:val="both"/>
      </w:pPr>
      <w:r>
        <w:t xml:space="preserve">3.5.3 </w:t>
      </w: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8"/>
    <w:bookmarkStart w:id="79" w:name="brecha-de-fidelidad"/>
    <w:p>
      <w:pPr>
        <w:pStyle w:val="Ttulo3"/>
        <w:spacing w:line="360" w:lineRule="auto"/>
        <w:jc w:val="both"/>
      </w:pPr>
      <w:r>
        <w:t xml:space="preserve">3.5.4 </w:t>
      </w: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9"/>
    <w:bookmarkStart w:id="80" w:name="coste-computacional"/>
    <w:p>
      <w:pPr>
        <w:pStyle w:val="Ttulo3"/>
        <w:spacing w:line="360" w:lineRule="auto"/>
        <w:jc w:val="both"/>
      </w:pPr>
      <w:r>
        <w:t xml:space="preserve">3.5.5 </w:t>
      </w: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0"/>
    <w:bookmarkStart w:id="82" w:name="resumen-de-métricas-primarias"/>
    <w:p>
      <w:pPr>
        <w:pStyle w:val="Ttulo3"/>
        <w:spacing w:line="360" w:lineRule="auto"/>
        <w:jc w:val="both"/>
      </w:pPr>
      <w:r>
        <w:t xml:space="preserve">3.5.6 </w:t>
      </w:r>
      <w:r>
        <w:t xml:space="preserve">Resumen de métricas primarias</w:t>
      </w:r>
    </w:p>
    <w:tbl>
      <w:tblPr>
        <w:tblStyle w:val="Table"/>
        <w:tblW w:type="pct" w:w="5000"/>
        <w:jc w:val="center"/>
        <w:tblLayout w:type="fixed"/>
        <w:tblLook w:firstRow="0" w:lastRow="0" w:firstColumn="0" w:lastColumn="0" w:noHBand="0" w:noVBand="0" w:val="0000"/>
      </w:tblPr>
      <w:tblGrid>
        <w:gridCol w:w="7920"/>
      </w:tblGrid>
      <w:tr>
        <w:tc>
          <w:tcPr/>
          <w:bookmarkStart w:id="81" w:name="tbl-metrics"/>
          <w:p>
            <w:pPr>
              <w:pStyle w:val="ImageCaption"/>
              <w:spacing w:before="200" w:line="360" w:lineRule="auto"/>
              <w:jc w:val="center"/>
            </w:pPr>
            <w:r>
              <w:t xml:space="preserve">Tabla 3.2: Métricas primarias del benchmark con unidades y direcciones.</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Símbolo</w:t>
                  </w:r>
                </w:p>
              </w:tc>
              <w:tc>
                <w:tcPr/>
                <w:p>
                  <w:pPr>
                    <w:pStyle w:val="Compact"/>
                    <w:jc w:val="both"/>
                    <w:jc w:val="center"/>
                    <w:spacing w:line="360" w:lineRule="auto"/>
                  </w:pPr>
                  <w:r>
                    <w:rPr>
                      <w:bCs/>
                      <w:b/>
                    </w:rPr>
                    <w:t xml:space="preserve">Unidad</w:t>
                  </w:r>
                </w:p>
              </w:tc>
              <w:tc>
                <w:tcPr/>
                <w:p>
                  <w:pPr>
                    <w:pStyle w:val="Compact"/>
                    <w:jc w:val="both"/>
                    <w:jc w:val="center"/>
                    <w:spacing w:line="360" w:lineRule="auto"/>
                  </w:pPr>
                  <w:r>
                    <w:rPr>
                      <w:bCs/>
                      <w:b/>
                    </w:rP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81"/>
          <w:p>
            <w:pPr>
              <w:spacing w:line="360" w:lineRule="auto"/>
              <w:jc w:val="both"/>
            </w:pPr>
          </w:p>
        </w:tc>
      </w:tr>
    </w:tbl>
    <w:bookmarkEnd w:id="82"/>
    <w:bookmarkEnd w:id="83"/>
    <w:bookmarkStart w:id="85" w:name="protocolo-de-operación-fom-7"/>
    <w:p>
      <w:pPr>
        <w:pStyle w:val="Ttulo2"/>
        <w:spacing w:line="360" w:lineRule="auto"/>
        <w:jc w:val="both"/>
      </w:pPr>
      <w:r>
        <w:t xml:space="preserve">3.6 </w:t>
      </w: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jc w:val="center"/>
        <w:tblLayout w:type="fixed"/>
        <w:tblLook w:firstRow="0" w:lastRow="0" w:firstColumn="0" w:lastColumn="0" w:noHBand="0" w:noVBand="0" w:val="0000"/>
      </w:tblPr>
      <w:tblGrid>
        <w:gridCol w:w="7920"/>
      </w:tblGrid>
      <w:tr>
        <w:tc>
          <w:tcPr/>
          <w:bookmarkStart w:id="84" w:name="tbl-fom7-gates"/>
          <w:p>
            <w:pPr>
              <w:pStyle w:val="ImageCaption"/>
              <w:spacing w:before="200" w:line="360" w:lineRule="auto"/>
              <w:jc w:val="center"/>
            </w:pPr>
            <w:r>
              <w:t xml:space="preserve">Tabla 3.3: Puertas FOM-7, artefactos y modos de fallo controlados.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Puerta</w:t>
                  </w:r>
                </w:p>
              </w:tc>
              <w:tc>
                <w:tcPr/>
                <w:p>
                  <w:pPr>
                    <w:pStyle w:val="Compact"/>
                    <w:jc w:val="both"/>
                    <w:jc w:val="center"/>
                    <w:spacing w:line="360" w:lineRule="auto"/>
                  </w:pPr>
                  <w:r>
                    <w:rPr>
                      <w:bCs/>
                      <w:b/>
                    </w:rPr>
                    <w:t xml:space="preserve">Propósito</w:t>
                  </w:r>
                </w:p>
              </w:tc>
              <w:tc>
                <w:tcPr/>
                <w:p>
                  <w:pPr>
                    <w:pStyle w:val="Compact"/>
                    <w:jc w:val="both"/>
                    <w:jc w:val="center"/>
                    <w:spacing w:line="360" w:lineRule="auto"/>
                  </w:pPr>
                  <w:r>
                    <w:rPr>
                      <w:bCs/>
                      <w:b/>
                    </w:rPr>
                    <w:t xml:space="preserve">Artefacto de entrada</w:t>
                  </w:r>
                </w:p>
              </w:tc>
              <w:tc>
                <w:tcPr/>
                <w:p>
                  <w:pPr>
                    <w:pStyle w:val="Compact"/>
                    <w:jc w:val="both"/>
                    <w:jc w:val="center"/>
                    <w:spacing w:line="360" w:lineRule="auto"/>
                  </w:pPr>
                  <w:r>
                    <w:rPr>
                      <w:bCs/>
                      <w:b/>
                    </w:rPr>
                    <w:t xml:space="preserve">Artefacto de salida</w:t>
                  </w:r>
                </w:p>
              </w:tc>
              <w:tc>
                <w:tcPr/>
                <w:p>
                  <w:pPr>
                    <w:pStyle w:val="Compact"/>
                    <w:jc w:val="both"/>
                    <w:jc w:val="center"/>
                    <w:spacing w:line="360" w:lineRule="auto"/>
                  </w:pPr>
                  <w:r>
                    <w:rPr>
                      <w:bCs/>
                      <w:b/>
                    </w:rPr>
                    <w:t xml:space="preserve">Fallo controlado</w:t>
                  </w:r>
                </w:p>
              </w:tc>
              <w:tc>
                <w:tcPr/>
                <w:p>
                  <w:pPr>
                    <w:pStyle w:val="Compact"/>
                    <w:jc w:val="both"/>
                    <w:jc w:val="center"/>
                    <w:spacing w:line="360" w:lineRule="auto"/>
                  </w:pPr>
                  <w:r>
                    <w:rPr>
                      <w:bCs/>
                      <w:b/>
                    </w:rP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4.1</w:t>
                    </w:r>
                  </w:hyperlink>
                  <w:r>
                    <w:t xml:space="preserve"> </w:t>
                  </w:r>
                  <w:r>
                    <w:t xml:space="preserve">y</w:t>
                  </w:r>
                  <w:r>
                    <w:t xml:space="preserve"> </w:t>
                  </w:r>
                  <w:hyperlink w:anchor="tbl-claim-traceability">
                    <w:r>
                      <w:rPr>
                        <w:rStyle w:val="Hipervnculo"/>
                      </w:rPr>
                      <w:t xml:space="preserve">4.7</w:t>
                    </w:r>
                  </w:hyperlink>
                </w:p>
              </w:tc>
            </w:tr>
          </w:tbl>
          <w:bookmarkEnd w:id="84"/>
          <w:p>
            <w:pPr>
              <w:spacing w:line="360" w:lineRule="auto"/>
              <w:jc w:val="both"/>
            </w:pPr>
          </w:p>
        </w:tc>
      </w:tr>
    </w:tbl>
    <w:bookmarkEnd w:id="85"/>
    <w:bookmarkStart w:id="90" w:name="X70736bc07e73377e919d2c60f119994d057bf14"/>
    <w:p>
      <w:pPr>
        <w:pStyle w:val="Ttulo2"/>
        <w:spacing w:line="360" w:lineRule="auto"/>
        <w:jc w:val="both"/>
      </w:pPr>
      <w:r>
        <w:t xml:space="preserve">3.7 </w:t>
      </w:r>
      <w:r>
        <w:t xml:space="preserve">Cobertura de artefactos y análisis del impacto de datos faltantes</w:t>
      </w:r>
    </w:p>
    <w:bookmarkStart w:id="88" w:name="inventario-de-cobertura"/>
    <w:p>
      <w:pPr>
        <w:pStyle w:val="Ttulo3"/>
        <w:spacing w:line="360" w:lineRule="auto"/>
        <w:jc w:val="both"/>
      </w:pPr>
      <w:r>
        <w:t xml:space="preserve">3.7.1 </w:t>
      </w: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jc w:val="center"/>
        <w:tblLayout w:type="fixed"/>
        <w:tblLook w:firstRow="0" w:lastRow="0" w:firstColumn="0" w:lastColumn="0" w:noHBand="0" w:noVBand="0" w:val="0000"/>
      </w:tblPr>
      <w:tblGrid>
        <w:gridCol w:w="7920"/>
      </w:tblGrid>
      <w:tr>
        <w:tc>
          <w:tcPr/>
          <w:bookmarkStart w:id="86" w:name="tbl-coverage"/>
          <w:p>
            <w:pPr>
              <w:pStyle w:val="ImageCaption"/>
              <w:spacing w:before="200" w:line="360" w:lineRule="auto"/>
              <w:jc w:val="center"/>
            </w:pPr>
            <w:r>
              <w:t xml:space="preserve">Tabla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Cohorte</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Presentes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6"/>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jc w:val="center"/>
        <w:tblLayout w:type="fixed"/>
        <w:tblLook w:firstRow="0" w:lastRow="0" w:firstColumn="0" w:lastColumn="0" w:noHBand="0" w:noVBand="0" w:val="0000"/>
      </w:tblPr>
      <w:tblGrid>
        <w:gridCol w:w="7920"/>
      </w:tblGrid>
      <w:tr>
        <w:tc>
          <w:tcPr/>
          <w:bookmarkStart w:id="87" w:name="tbl-coverage-method"/>
          <w:p>
            <w:pPr>
              <w:pStyle w:val="ImageCaption"/>
              <w:spacing w:before="200" w:line="360" w:lineRule="auto"/>
              <w:jc w:val="center"/>
            </w:pPr>
            <w:r>
              <w:t xml:space="preserve">Tabla 3.5: Cobertura analítica por método. SHAP incluye la superposición de</w:t>
            </w:r>
            <w:r>
              <w:t xml:space="preserve"> </w:t>
            </w:r>
            <w:r>
              <w:t xml:space="preserve">recuperación.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Método</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7"/>
          <w:p>
            <w:pPr>
              <w:spacing w:line="360" w:lineRule="auto"/>
              <w:jc w:val="both"/>
            </w:pPr>
          </w:p>
        </w:tc>
      </w:tr>
    </w:tbl>
    <w:bookmarkEnd w:id="88"/>
    <w:bookmarkStart w:id="89" w:name="Xcb4396ffd8bf23e7b418105a9e8d3fef7075c0b"/>
    <w:p>
      <w:pPr>
        <w:pStyle w:val="Ttulo3"/>
        <w:spacing w:line="360" w:lineRule="auto"/>
        <w:jc w:val="both"/>
      </w:pPr>
      <w:r>
        <w:t xml:space="preserve">3.7.2 </w:t>
      </w: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Tabla 6.10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9"/>
    <w:bookmarkEnd w:id="90"/>
    <w:bookmarkStart w:id="98" w:name="plan-de-inferencia-estadística"/>
    <w:p>
      <w:pPr>
        <w:pStyle w:val="Ttulo2"/>
        <w:spacing w:line="360" w:lineRule="auto"/>
        <w:jc w:val="both"/>
      </w:pPr>
      <w:r>
        <w:t xml:space="preserve">3.8 </w:t>
      </w:r>
      <w:r>
        <w:t xml:space="preserve">Plan de inferencia estadística</w:t>
      </w:r>
    </w:p>
    <w:bookmarkStart w:id="91" w:name="Xb1cf6929af397b34ac8b341602720570fd1cf16"/>
    <w:p>
      <w:pPr>
        <w:pStyle w:val="Ttulo3"/>
        <w:spacing w:line="360" w:lineRule="auto"/>
        <w:jc w:val="both"/>
      </w:pPr>
      <w:r>
        <w:t xml:space="preserve">3.8.1 </w:t>
      </w: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1"/>
    <w:bookmarkStart w:id="92" w:name="localización-post-hoc-nemenyi"/>
    <w:p>
      <w:pPr>
        <w:pStyle w:val="Ttulo3"/>
        <w:spacing w:line="360" w:lineRule="auto"/>
        <w:jc w:val="both"/>
      </w:pPr>
      <w:r>
        <w:t xml:space="preserve">3.8.2 </w:t>
      </w: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2"/>
    <w:bookmarkStart w:id="93" w:name="X82a710d830240cc18776e0ef609d9e71b3f53e7"/>
    <w:p>
      <w:pPr>
        <w:pStyle w:val="Ttulo3"/>
        <w:spacing w:line="360" w:lineRule="auto"/>
        <w:jc w:val="both"/>
      </w:pPr>
      <w:r>
        <w:t xml:space="preserve">3.8.3 </w:t>
      </w: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3"/>
    <w:bookmarkStart w:id="95" w:name="control-de-multiplicidad"/>
    <w:p>
      <w:pPr>
        <w:pStyle w:val="Ttulo3"/>
        <w:spacing w:line="360" w:lineRule="auto"/>
        <w:jc w:val="both"/>
      </w:pPr>
      <w:r>
        <w:t xml:space="preserve">3.8.4 </w:t>
      </w: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jc w:val="center"/>
        <w:tblLayout w:type="fixed"/>
        <w:tblLook w:firstRow="0" w:lastRow="0" w:firstColumn="0" w:lastColumn="0" w:noHBand="0" w:noVBand="0" w:val="0000"/>
      </w:tblPr>
      <w:tblGrid>
        <w:gridCol w:w="7920"/>
      </w:tblGrid>
      <w:tr>
        <w:tc>
          <w:tcPr/>
          <w:bookmarkStart w:id="94" w:name="tbl-stat-plan"/>
          <w:p>
            <w:pPr>
              <w:pStyle w:val="ImageCaption"/>
              <w:spacing w:before="200" w:line="360" w:lineRule="auto"/>
              <w:jc w:val="center"/>
            </w:pPr>
            <w:r>
              <w:t xml:space="preserve">Tabla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4"/>
          <w:p>
            <w:pPr>
              <w:spacing w:line="360" w:lineRule="auto"/>
              <w:jc w:val="both"/>
            </w:pPr>
          </w:p>
        </w:tc>
      </w:tr>
    </w:tbl>
    <w:bookmarkEnd w:id="95"/>
    <w:bookmarkStart w:id="97" w:name="X8d8a6fe44143f1c1b581a8bcb7389a6bd938df3"/>
    <w:p>
      <w:pPr>
        <w:pStyle w:val="Ttulo3"/>
        <w:spacing w:line="360" w:lineRule="auto"/>
        <w:jc w:val="both"/>
      </w:pPr>
      <w:r>
        <w:t xml:space="preserve">3.8.5 </w:t>
      </w:r>
      <w:r>
        <w:t xml:space="preserve">Resumen del plan estadístico por hipótesis</w:t>
      </w:r>
    </w:p>
    <w:tbl>
      <w:tblPr>
        <w:tblStyle w:val="Table"/>
        <w:tblW w:type="pct" w:w="5000"/>
        <w:jc w:val="center"/>
        <w:tblLayout w:type="fixed"/>
        <w:tblLook w:firstRow="0" w:lastRow="0" w:firstColumn="0" w:lastColumn="0" w:noHBand="0" w:noVBand="0" w:val="0000"/>
      </w:tblPr>
      <w:tblGrid>
        <w:gridCol w:w="7920"/>
      </w:tblGrid>
      <w:tr>
        <w:tc>
          <w:tcPr/>
          <w:bookmarkStart w:id="96" w:name="tbl-hypo-plan"/>
          <w:p>
            <w:pPr>
              <w:pStyle w:val="ImageCaption"/>
              <w:spacing w:before="200" w:line="360" w:lineRule="auto"/>
              <w:jc w:val="center"/>
            </w:pPr>
            <w:r>
              <w:t xml:space="preserve">Tabla 3.7: Plan de decisiones estadísticas por hipótesis.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rPr>
                      <w:bCs/>
                      <w:b/>
                    </w:rPr>
                    <w:t xml:space="preserve">Hipótesis</w:t>
                  </w:r>
                </w:p>
              </w:tc>
              <w:tc>
                <w:tcPr/>
                <w:p>
                  <w:pPr>
                    <w:pStyle w:val="Compact"/>
                    <w:jc w:val="both"/>
                    <w:jc w:val="center"/>
                    <w:spacing w:line="360" w:lineRule="auto"/>
                  </w:pPr>
                  <w:r>
                    <w:rPr>
                      <w:bCs/>
                      <w:b/>
                    </w:rP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6"/>
          <w:p>
            <w:pPr>
              <w:spacing w:line="360" w:lineRule="auto"/>
              <w:jc w:val="both"/>
            </w:pPr>
          </w:p>
        </w:tc>
      </w:tr>
    </w:tbl>
    <w:bookmarkEnd w:id="97"/>
    <w:bookmarkEnd w:id="98"/>
    <w:bookmarkStart w:id="100" w:name="amenazas-a-la-validez"/>
    <w:p>
      <w:pPr>
        <w:pStyle w:val="Ttulo2"/>
        <w:spacing w:line="360" w:lineRule="auto"/>
        <w:jc w:val="both"/>
      </w:pPr>
      <w:r>
        <w:t xml:space="preserve">3.9 </w:t>
      </w: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jc w:val="center"/>
        <w:tblLayout w:type="fixed"/>
        <w:tblLook w:firstRow="0" w:lastRow="0" w:firstColumn="0" w:lastColumn="0" w:noHBand="0" w:noVBand="0" w:val="0000"/>
      </w:tblPr>
      <w:tblGrid>
        <w:gridCol w:w="7920"/>
      </w:tblGrid>
      <w:tr>
        <w:tc>
          <w:tcPr/>
          <w:bookmarkStart w:id="99" w:name="tbl-validity-threats"/>
          <w:p>
            <w:pPr>
              <w:pStyle w:val="ImageCaption"/>
              <w:spacing w:before="200" w:line="360" w:lineRule="auto"/>
              <w:jc w:val="center"/>
            </w:pPr>
            <w:r>
              <w:t xml:space="preserve">Tabla 3.8: Amenazas a la validez, controles y riesgo residual.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Amenaza principal</w:t>
                  </w:r>
                </w:p>
              </w:tc>
              <w:tc>
                <w:tcPr/>
                <w:p>
                  <w:pPr>
                    <w:pStyle w:val="Compact"/>
                    <w:jc w:val="both"/>
                    <w:jc w:val="center"/>
                    <w:spacing w:line="360" w:lineRule="auto"/>
                  </w:pPr>
                  <w:r>
                    <w:rPr>
                      <w:bCs/>
                      <w:b/>
                    </w:rPr>
                    <w:t xml:space="preserve">Control aplicado</w:t>
                  </w:r>
                </w:p>
              </w:tc>
              <w:tc>
                <w:tcPr/>
                <w:p>
                  <w:pPr>
                    <w:pStyle w:val="Compact"/>
                    <w:jc w:val="both"/>
                    <w:jc w:val="center"/>
                    <w:spacing w:line="360" w:lineRule="auto"/>
                  </w:pPr>
                  <w:r>
                    <w:rPr>
                      <w:bCs/>
                      <w:b/>
                    </w:rP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9"/>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0"/>
    <w:bookmarkStart w:id="101" w:name="trazabilidad-y-reproducibilidad"/>
    <w:p>
      <w:pPr>
        <w:pStyle w:val="Ttulo2"/>
        <w:spacing w:line="360" w:lineRule="auto"/>
        <w:jc w:val="both"/>
      </w:pPr>
      <w:r>
        <w:t xml:space="preserve">3.10 </w:t>
      </w: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1"/>
    <w:bookmarkStart w:id="104" w:name="sec-estudios-complementarios"/>
    <w:p>
      <w:pPr>
        <w:pStyle w:val="Ttulo2"/>
        <w:spacing w:line="360" w:lineRule="auto"/>
        <w:jc w:val="both"/>
      </w:pPr>
      <w:r>
        <w:t xml:space="preserve">3.11 </w:t>
      </w: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2" w:name="sec-exp3-diseno"/>
    <w:p>
      <w:pPr>
        <w:pStyle w:val="Ttulo3"/>
        <w:spacing w:line="360" w:lineRule="auto"/>
        <w:jc w:val="both"/>
      </w:pPr>
      <w:r>
        <w:t xml:space="preserve">3.11.1 </w:t>
      </w: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y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y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2"/>
    <w:bookmarkStart w:id="103" w:name="sec-exp4-diseno"/>
    <w:p>
      <w:pPr>
        <w:pStyle w:val="Ttulo3"/>
        <w:spacing w:line="360" w:lineRule="auto"/>
        <w:jc w:val="both"/>
      </w:pPr>
      <w:r>
        <w:t xml:space="preserve">3.11.2 </w:t>
      </w: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w:t>
      </w:r>
      <w:hyperlink w:anchor="sec-taxonomia-brechas">
        <w:r>
          <w:rPr>
            <w:rStyle w:val="Hipervnculo"/>
          </w:rPr>
          <w:t xml:space="preserve">5.6</w:t>
        </w:r>
      </w:hyperlink>
      <w:r>
        <w:t xml:space="preserve">: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5.3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y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y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3"/>
    <w:bookmarkEnd w:id="104"/>
    <w:bookmarkEnd w:id="105"/>
    <w:bookmarkStart w:id="163" w:name="resultados-y-discusión"/>
    <w:p>
      <w:pPr>
        <w:pStyle w:val="Ttulo1"/>
        <w:spacing w:line="360" w:lineRule="auto"/>
        <w:jc w:val="both"/>
      </w:pPr>
      <w:r>
        <w:t xml:space="preserve">Capítulo 4. </w:t>
      </w: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7" w:name="X265f56e886428ba30debc49e85dcc5a7469d3ae"/>
    <w:p>
      <w:pPr>
        <w:pStyle w:val="Ttulo2"/>
        <w:spacing w:line="360" w:lineRule="auto"/>
        <w:jc w:val="both"/>
      </w:pPr>
      <w:r>
        <w:t xml:space="preserve">4.1 </w:t>
      </w: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jc w:val="center"/>
        <w:tblLayout w:type="fixed"/>
        <w:tblLook w:firstRow="0" w:lastRow="0" w:firstColumn="0" w:lastColumn="0" w:noHBand="0" w:noVBand="0" w:val="0000"/>
      </w:tblPr>
      <w:tblGrid>
        <w:gridCol w:w="7920"/>
      </w:tblGrid>
      <w:tr>
        <w:tc>
          <w:tcPr/>
          <w:bookmarkStart w:id="106" w:name="tbl-results-overview"/>
          <w:p>
            <w:pPr>
              <w:pStyle w:val="ImageCaption"/>
              <w:spacing w:before="200" w:line="360" w:lineRule="auto"/>
              <w:jc w:val="center"/>
            </w:pPr>
            <w:r>
              <w:t xml:space="preserve">Tabla 4.1: Resumen auditable de hipótesis, pruebas y decisiones.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Test</w:t>
                  </w:r>
                </w:p>
              </w:tc>
              <w:tc>
                <w:tcPr/>
                <w:p>
                  <w:pPr>
                    <w:pStyle w:val="Compact"/>
                    <w:jc w:val="both"/>
                    <w:jc w:val="center"/>
                    <w:spacing w:line="360" w:lineRule="auto"/>
                  </w:pPr>
                  <w:r>
                    <w:rPr>
                      <w:bCs/>
                      <w:b/>
                    </w:rPr>
                    <w:t xml:space="preserve">Unidad /</w:t>
                  </w:r>
                  <w:r>
                    <w:rPr>
                      <w:bCs/>
                      <w:b/>
                    </w:rPr>
                    <w:t xml:space="preserve"> </w:t>
                  </w:r>
                  <ns1:oMath>
                    <ns1:r>
                      <ns1:t>n</ns1:t>
                    </ns1:r>
                  </ns1:oMath>
                </w:p>
              </w:tc>
              <w:tc>
                <w:tcPr/>
                <w:p>
                  <w:pPr>
                    <w:pStyle w:val="Compact"/>
                    <w:jc w:val="both"/>
                    <w:jc w:val="center"/>
                    <w:spacing w:line="360" w:lineRule="auto"/>
                  </w:pPr>
                  <w:r>
                    <w:rPr>
                      <w:bCs/>
                      <w:b/>
                    </w:rP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Efecto</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6"/>
          <w:p>
            <w:pPr>
              <w:spacing w:line="360" w:lineRule="auto"/>
              <w:jc w:val="both"/>
            </w:pPr>
          </w:p>
        </w:tc>
      </w:tr>
    </w:tbl>
    <w:bookmarkEnd w:id="107"/>
    <w:bookmarkStart w:id="113" w:name="sec-estudio-a"/>
    <w:p>
      <w:pPr>
        <w:pStyle w:val="Ttulo2"/>
        <w:spacing w:line="360" w:lineRule="auto"/>
        <w:jc w:val="both"/>
      </w:pPr>
      <w:r>
        <w:t xml:space="preserve">4.2 </w:t>
      </w:r>
      <w:r>
        <w:t xml:space="preserve">Estudio Omnibus Multimétrico: H1 y H2</w:t>
      </w:r>
    </w:p>
    <w:bookmarkStart w:id="110" w:name="X41be5df394949178755daa825e68dc45d5470c0"/>
    <w:p>
      <w:pPr>
        <w:pStyle w:val="Ttulo3"/>
        <w:spacing w:line="360" w:lineRule="auto"/>
        <w:jc w:val="both"/>
      </w:pPr>
      <w:r>
        <w:t xml:space="preserve">4.2.1 </w:t>
      </w: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jc w:val="center"/>
        <w:tblLayout w:type="fixed"/>
        <w:tblLook w:firstRow="0" w:lastRow="0" w:firstColumn="0" w:lastColumn="0" w:noHBand="0" w:noVBand="0" w:val="0000"/>
      </w:tblPr>
      <w:tblGrid>
        <w:gridCol w:w="7920"/>
      </w:tblGrid>
      <w:tr>
        <w:tc>
          <w:tcPr/>
          <w:bookmarkStart w:id="108" w:name="tbl-friedman-fidelity"/>
          <w:p>
            <w:pPr>
              <w:pStyle w:val="ImageCaption"/>
              <w:spacing w:before="200" w:line="360" w:lineRule="auto"/>
              <w:jc w:val="center"/>
            </w:pPr>
            <w:r>
              <w:t xml:space="preserve">Tabla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8"/>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jc w:val="center"/>
        <w:tblLayout w:type="fixed"/>
        <w:tblLook w:firstRow="0" w:lastRow="0" w:firstColumn="0" w:lastColumn="0" w:noHBand="0" w:noVBand="0" w:val="0000"/>
      </w:tblPr>
      <w:tblGrid>
        <w:gridCol w:w="7920"/>
      </w:tblGrid>
      <w:tr>
        <w:tc>
          <w:tcPr/>
          <w:bookmarkStart w:id="109" w:name="tbl-nemenyi-fidelity"/>
          <w:p>
            <w:pPr>
              <w:pStyle w:val="ImageCaption"/>
              <w:spacing w:before="200" w:line="360" w:lineRule="auto"/>
              <w:jc w:val="center"/>
            </w:pPr>
            <w:r>
              <w:t xml:space="preserve">Tabla 4.3: Comparaciones post-hoc de Nemenyi para fidelidad.</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rPr>
                      <w:bCs/>
                      <w:b/>
                    </w:rPr>
                    <w:t xml:space="preserve">CD</w:t>
                  </w:r>
                </w:p>
              </w:tc>
              <w:tc>
                <w:tcPr/>
                <w:p>
                  <w:pPr>
                    <w:pStyle w:val="Compact"/>
                    <w:jc w:val="both"/>
                    <w:spacing w:line="360" w:lineRule="auto"/>
                  </w:pPr>
                  <w:r>
                    <w:rPr>
                      <w:bCs/>
                      <w:b/>
                    </w:rP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9"/>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w:t>
      </w:r>
      <w:r>
        <w:t xml:space="preserve"> </w:t>
      </w:r>
      <w:r>
        <w:t xml:space="preserve">pareado del Estudio Pareado LIME–SHAP.</w:t>
      </w:r>
    </w:p>
    <w:bookmarkEnd w:id="110"/>
    <w:bookmarkStart w:id="112" w:name="X117d71016dd8839ee57c9e60cc09d0400ac5f3d"/>
    <w:p>
      <w:pPr>
        <w:pStyle w:val="Ttulo3"/>
        <w:spacing w:line="360" w:lineRule="auto"/>
        <w:jc w:val="both"/>
      </w:pPr>
      <w:r>
        <w:t xml:space="preserve">4.2.2 </w:t>
      </w: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jc w:val="center"/>
        <w:tblLayout w:type="fixed"/>
        <w:tblLook w:firstRow="0" w:lastRow="0" w:firstColumn="0" w:lastColumn="0" w:noHBand="0" w:noVBand="0" w:val="0000"/>
      </w:tblPr>
      <w:tblGrid>
        <w:gridCol w:w="7920"/>
      </w:tblGrid>
      <w:tr>
        <w:tc>
          <w:tcPr/>
          <w:bookmarkStart w:id="111" w:name="tbl-friedman-stability"/>
          <w:p>
            <w:pPr>
              <w:pStyle w:val="ImageCaption"/>
              <w:spacing w:before="200" w:line="360" w:lineRule="auto"/>
              <w:jc w:val="center"/>
            </w:pPr>
            <w:r>
              <w:t xml:space="preserve">Tabla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1"/>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2"/>
    <w:bookmarkEnd w:id="113"/>
    <w:bookmarkStart w:id="117" w:name="sec-estudio-b"/>
    <w:p>
      <w:pPr>
        <w:pStyle w:val="Ttulo2"/>
        <w:spacing w:line="360" w:lineRule="auto"/>
        <w:jc w:val="both"/>
      </w:pPr>
      <w:r>
        <w:t xml:space="preserve">4.3 </w:t>
      </w: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5" w:name="diferencias-en-métricas-de-calidad"/>
    <w:p>
      <w:pPr>
        <w:pStyle w:val="Ttulo3"/>
        <w:spacing w:line="360" w:lineRule="auto"/>
        <w:jc w:val="both"/>
      </w:pPr>
      <w:r>
        <w:t xml:space="preserve">4.3.1 </w:t>
      </w: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jc w:val="center"/>
        <w:tblLayout w:type="fixed"/>
        <w:tblLook w:firstRow="0" w:lastRow="0" w:firstColumn="0" w:lastColumn="0" w:noHBand="0" w:noVBand="0" w:val="0000"/>
      </w:tblPr>
      <w:tblGrid>
        <w:gridCol w:w="7920"/>
      </w:tblGrid>
      <w:tr>
        <w:tc>
          <w:tcPr/>
          <w:bookmarkStart w:id="114" w:name="tbl-paired-shap-lime"/>
          <w:p>
            <w:pPr>
              <w:pStyle w:val="ImageCaption"/>
              <w:spacing w:before="200" w:line="360" w:lineRule="auto"/>
              <w:jc w:val="center"/>
            </w:pPr>
            <w:r>
              <w:t xml:space="preserve">Tabla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rPr>
                      <w:bCs/>
                      <w:b/>
                    </w:rP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rPr>
                      <w:bCs/>
                      <w:b/>
                    </w:rPr>
                    <w:t xml:space="preserve">Pos.</w:t>
                  </w:r>
                </w:p>
              </w:tc>
              <w:tc>
                <w:tcPr/>
                <w:p>
                  <w:pPr>
                    <w:pStyle w:val="Compact"/>
                    <w:jc w:val="both"/>
                    <w:spacing w:line="360" w:lineRule="auto"/>
                  </w:pPr>
                  <w:r>
                    <w:rPr>
                      <w:bCs/>
                      <w:b/>
                    </w:rP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4"/>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5"/>
    <w:bookmarkStart w:id="116" w:name="X2c15e0a178907c68bf437d0d85cae845d1c590b"/>
    <w:p>
      <w:pPr>
        <w:pStyle w:val="Ttulo3"/>
        <w:spacing w:line="360" w:lineRule="auto"/>
        <w:jc w:val="both"/>
      </w:pPr>
      <w:r>
        <w:t xml:space="preserve">4.3.2 </w:t>
      </w: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6"/>
    <w:bookmarkEnd w:id="117"/>
    <w:bookmarkStart w:id="119" w:name="sec-p1"/>
    <w:p>
      <w:pPr>
        <w:pStyle w:val="Ttulo2"/>
        <w:spacing w:line="360" w:lineRule="auto"/>
        <w:jc w:val="both"/>
      </w:pPr>
      <w:r>
        <w:t xml:space="preserve">4.4 </w:t>
      </w: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jc w:val="center"/>
        <w:tblLayout w:type="fixed"/>
        <w:tblLook w:firstRow="0" w:lastRow="0" w:firstColumn="0" w:lastColumn="0" w:noHBand="0" w:noVBand="0" w:val="0000"/>
      </w:tblPr>
      <w:tblGrid>
        <w:gridCol w:w="7920"/>
      </w:tblGrid>
      <w:tr>
        <w:tc>
          <w:tcPr/>
          <w:bookmarkStart w:id="118" w:name="tbl-cv-p1"/>
          <w:p>
            <w:pPr>
              <w:pStyle w:val="ImageCaption"/>
              <w:spacing w:before="200" w:line="360" w:lineRule="auto"/>
              <w:jc w:val="center"/>
            </w:pPr>
            <w:r>
              <w:t xml:space="preserve">Tabla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Métrica</w:t>
                  </w:r>
                </w:p>
              </w:tc>
              <w:tc>
                <w:tcPr/>
                <w:p>
                  <w:pPr>
                    <w:pStyle w:val="Compact"/>
                    <w:jc w:val="both"/>
                    <w:spacing w:line="360" w:lineRule="auto"/>
                  </w:pPr>
                  <w:r>
                    <w:rPr>
                      <w:bCs/>
                      <w:b/>
                    </w:rPr>
                    <w:t xml:space="preserve">Media</w:t>
                  </w:r>
                </w:p>
              </w:tc>
              <w:tc>
                <w:tcPr/>
                <w:p>
                  <w:pPr>
                    <w:pStyle w:val="Compact"/>
                    <w:jc w:val="both"/>
                    <w:spacing w:line="360" w:lineRule="auto"/>
                  </w:pPr>
                  <w:r>
                    <w:rPr>
                      <w:bCs/>
                      <w:b/>
                    </w:rPr>
                    <w:t xml:space="preserve">Desv. típica</w:t>
                  </w:r>
                </w:p>
              </w:tc>
              <w:tc>
                <w:tcPr/>
                <w:p>
                  <w:pPr>
                    <w:pStyle w:val="Compact"/>
                    <w:jc w:val="both"/>
                    <w:spacing w:line="360" w:lineRule="auto"/>
                  </w:pPr>
                  <w:r>
                    <w:rPr>
                      <w:bCs/>
                      <w:b/>
                    </w:rPr>
                    <w:t xml:space="preserve">CV (%)</w:t>
                  </w:r>
                </w:p>
              </w:tc>
              <w:tc>
                <w:tcPr/>
                <w:p>
                  <w:pPr>
                    <w:pStyle w:val="Compact"/>
                    <w:jc w:val="both"/>
                    <w:spacing w:line="360" w:lineRule="auto"/>
                  </w:pPr>
                  <w:r>
                    <w:rPr>
                      <w:bCs/>
                      <w:b/>
                    </w:rP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8"/>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9"/>
    <w:bookmarkStart w:id="124" w:name="sec-perfiles"/>
    <w:p>
      <w:pPr>
        <w:pStyle w:val="Ttulo2"/>
        <w:spacing w:line="360" w:lineRule="auto"/>
        <w:jc w:val="both"/>
      </w:pPr>
      <w:r>
        <w:t xml:space="preserve">4.5 </w:t>
      </w: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0" w:name="shap"/>
    <w:p>
      <w:pPr>
        <w:pStyle w:val="Ttulo3"/>
        <w:spacing w:line="360" w:lineRule="auto"/>
        <w:jc w:val="both"/>
      </w:pPr>
      <w:r>
        <w:t xml:space="preserve">4.5.1 </w:t>
      </w: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w:t>
      </w:r>
      <w:hyperlink w:anchor="sec-metricas">
        <w:r>
          <w:rPr>
            <w:rStyle w:val="Hipervnculo"/>
          </w:rPr>
          <w:t xml:space="preserve">3.5</w:t>
        </w:r>
      </w:hyperlink>
      <w:r>
        <w:t xml:space="preserve">),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0"/>
    <w:bookmarkStart w:id="121" w:name="lime"/>
    <w:p>
      <w:pPr>
        <w:pStyle w:val="Ttulo3"/>
        <w:spacing w:line="360" w:lineRule="auto"/>
        <w:jc w:val="both"/>
      </w:pPr>
      <w:r>
        <w:t xml:space="preserve">4.5.2 </w:t>
      </w: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y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1"/>
    <w:bookmarkStart w:id="122" w:name="anchors"/>
    <w:p>
      <w:pPr>
        <w:pStyle w:val="Ttulo3"/>
        <w:spacing w:line="360" w:lineRule="auto"/>
        <w:jc w:val="both"/>
      </w:pPr>
      <w:r>
        <w:t xml:space="preserve">4.5.3 </w:t>
      </w: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Tabla 4.2</w:t>
        </w:r>
      </w:hyperlink>
      <w:r>
        <w:t xml:space="preserve">,</w:t>
      </w:r>
      <w:r>
        <w:t xml:space="preserve"> </w:t>
      </w:r>
      <w:hyperlink w:anchor="tbl-friedman-stability">
        <w:r>
          <w:rPr>
            <w:rStyle w:val="Hipervnculo"/>
          </w:rPr>
          <w:t xml:space="preserve">Tabla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2"/>
    <w:bookmarkStart w:id="123" w:name="dice"/>
    <w:p>
      <w:pPr>
        <w:pStyle w:val="Ttulo3"/>
        <w:spacing w:line="360" w:lineRule="auto"/>
        <w:jc w:val="both"/>
      </w:pPr>
      <w:r>
        <w:t xml:space="preserve">4.5.4 </w:t>
      </w: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3"/>
    <w:bookmarkEnd w:id="124"/>
    <w:bookmarkStart w:id="127" w:name="sec-transversal"/>
    <w:p>
      <w:pPr>
        <w:pStyle w:val="Ttulo2"/>
        <w:spacing w:line="360" w:lineRule="auto"/>
        <w:jc w:val="both"/>
      </w:pPr>
      <w:r>
        <w:t xml:space="preserve">4.6 </w:t>
      </w:r>
      <w:r>
        <w:t xml:space="preserve">Análisis transversal: efecto del modelo base y del tamaño de muestra</w:t>
      </w:r>
    </w:p>
    <w:bookmarkStart w:id="125" w:name="Xd0dc4cebb30e80d859f681a41b6366a7a2cd5a6"/>
    <w:p>
      <w:pPr>
        <w:pStyle w:val="Ttulo3"/>
        <w:spacing w:line="360" w:lineRule="auto"/>
        <w:jc w:val="both"/>
      </w:pPr>
      <w:r>
        <w:t xml:space="preserve">4.6.1 </w:t>
      </w: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Tabla 6.9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5"/>
    <w:bookmarkStart w:id="126" w:name="X4b1cce5291d3b83ee4e2fe33ac88be27315f5a8"/>
    <w:p>
      <w:pPr>
        <w:pStyle w:val="Ttulo3"/>
        <w:spacing w:line="360" w:lineRule="auto"/>
        <w:jc w:val="both"/>
      </w:pPr>
      <w:r>
        <w:t xml:space="preserve">4.6.2 </w:t>
      </w: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6"/>
    <w:bookmarkEnd w:id="127"/>
    <w:bookmarkStart w:id="129" w:name="sec-trazabilidad-resultados"/>
    <w:p>
      <w:pPr>
        <w:pStyle w:val="Ttulo2"/>
        <w:spacing w:line="360" w:lineRule="auto"/>
        <w:jc w:val="both"/>
      </w:pPr>
      <w:r>
        <w:t xml:space="preserve">4.7 </w:t>
      </w: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jc w:val="center"/>
        <w:tblLayout w:type="fixed"/>
        <w:tblLook w:firstRow="0" w:lastRow="0" w:firstColumn="0" w:lastColumn="0" w:noHBand="0" w:noVBand="0" w:val="0000"/>
      </w:tblPr>
      <w:tblGrid>
        <w:gridCol w:w="7920"/>
      </w:tblGrid>
      <w:tr>
        <w:tc>
          <w:tcPr/>
          <w:bookmarkStart w:id="128" w:name="tbl-claim-traceability"/>
          <w:p>
            <w:pPr>
              <w:pStyle w:val="ImageCaption"/>
              <w:spacing w:before="200" w:line="360" w:lineRule="auto"/>
              <w:jc w:val="center"/>
            </w:pPr>
            <w:r>
              <w:t xml:space="preserve">Tabla 4.7: Trazabilidad de claims, artefactos y alcance inferencial.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Evidencia en tesis</w:t>
                  </w:r>
                </w:p>
              </w:tc>
              <w:tc>
                <w:tcPr/>
                <w:p>
                  <w:pPr>
                    <w:pStyle w:val="Compact"/>
                    <w:jc w:val="both"/>
                    <w:jc w:val="center"/>
                    <w:spacing w:line="360" w:lineRule="auto"/>
                  </w:pPr>
                  <w:r>
                    <w:rPr>
                      <w:bCs/>
                      <w:b/>
                    </w:rPr>
                    <w:t xml:space="preserve">Artefacto fuente</w:t>
                  </w:r>
                </w:p>
              </w:tc>
              <w:tc>
                <w:tcPr/>
                <w:p>
                  <w:pPr>
                    <w:pStyle w:val="Compact"/>
                    <w:jc w:val="both"/>
                    <w:jc w:val="center"/>
                    <w:spacing w:line="360" w:lineRule="auto"/>
                  </w:pPr>
                  <w:r>
                    <w:rPr>
                      <w:bCs/>
                      <w:b/>
                    </w:rPr>
                    <w:t xml:space="preserve">Script / proceso</w:t>
                  </w:r>
                </w:p>
              </w:tc>
              <w:tc>
                <w:tcPr/>
                <w:p>
                  <w:pPr>
                    <w:pStyle w:val="Compact"/>
                    <w:jc w:val="both"/>
                    <w:jc w:val="center"/>
                    <w:spacing w:line="360" w:lineRule="auto"/>
                  </w:pPr>
                  <w:r>
                    <w:rPr>
                      <w:bCs/>
                      <w:b/>
                    </w:rP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4.2</w:t>
                    </w:r>
                  </w:hyperlink>
                  <w:r>
                    <w:t xml:space="preserve"> </w:t>
                  </w:r>
                  <w:r>
                    <w:t xml:space="preserve">y</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8"/>
          <w:p>
            <w:pPr>
              <w:spacing w:line="360" w:lineRule="auto"/>
              <w:jc w:val="both"/>
            </w:pPr>
          </w:p>
        </w:tc>
      </w:tr>
    </w:tbl>
    <w:bookmarkEnd w:id="129"/>
    <w:bookmarkStart w:id="158" w:name="sec-visualizaciones-resultados"/>
    <w:p>
      <w:pPr>
        <w:pStyle w:val="Ttulo2"/>
        <w:spacing w:line="360" w:lineRule="auto"/>
        <w:jc w:val="both"/>
      </w:pPr>
      <w:r>
        <w:t xml:space="preserve">4.8 </w:t>
      </w: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jc w:val="center"/>
        <w:tblLayout w:type="fixed"/>
        <w:tblLook w:firstRow="0" w:lastRow="0" w:firstColumn="0" w:lastColumn="0" w:noHBand="0" w:noVBand="0" w:val="0000"/>
      </w:tblPr>
      <w:tblGrid>
        <w:gridCol w:w="7920"/>
      </w:tblGrid>
      <w:tr>
        <w:tc>
          <w:tcPr/>
          <w:bookmarkStart w:id="133" w:name="fig-estabilidad-coste"/>
          <w:p>
            <w:pPr>
              <w:pStyle w:val="Compact"/>
              <w:jc w:val="center"/>
              <w:spacing w:line="360" w:lineRule="auto"/>
            </w:pPr>
            <w:r>
              <w:drawing>
                <ns2:inline>
                  <ns2:extent cx="5052060" cy="3154709"/>
                  <ns2:effectExtent b="0" l="0" r="0" t="0"/>
                  <ns2:docPr descr="" title="" id="131" name="Picture"/>
                  <ns3:graphic>
                    <ns3:graphicData uri="http://schemas.openxmlformats.org/drawingml/2006/picture">
                      <ns4:pic>
                        <ns4:nvPicPr>
                          <ns4:cNvPr descr="assets/figures/fig_estabilidad_coste_es.png" id="132" name="Picture"/>
                          <ns4:cNvPicPr>
                            <ns3:picLocks noChangeArrowheads="1" noChangeAspect="1"/>
                          </ns4:cNvPicPr>
                        </ns4:nvPicPr>
                        <ns4:blipFill>
                          <ns3:blip ns5:embed="rId130"/>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37" w:name="fig-correlacion-metricas"/>
          <w:p>
            <w:pPr>
              <w:pStyle w:val="Compact"/>
              <w:jc w:val="center"/>
              <w:spacing w:line="360" w:lineRule="auto"/>
            </w:pPr>
            <w:r>
              <w:drawing>
                <ns2:inline>
                  <ns2:extent cx="5052060" cy="3860951"/>
                  <ns2:effectExtent b="0" l="0" r="0" t="0"/>
                  <ns2:docPr descr="" title="" id="135" name="Picture"/>
                  <ns3:graphic>
                    <ns3:graphicData uri="http://schemas.openxmlformats.org/drawingml/2006/picture">
                      <ns4:pic>
                        <ns4:nvPicPr>
                          <ns4:cNvPr descr="assets/figures/fig_correlacion_metricas_es.png" id="136" name="Picture"/>
                          <ns4:cNvPicPr>
                            <ns3:picLocks noChangeArrowheads="1" noChangeAspect="1"/>
                          </ns4:cNvPicPr>
                        </ns4:nvPicPr>
                        <ns4:blipFill>
                          <ns3:blip ns5:embed="rId134"/>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7"/>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1" w:name="fig-cobertura-exp2"/>
          <w:p>
            <w:pPr>
              <w:pStyle w:val="Compact"/>
              <w:jc w:val="center"/>
              <w:spacing w:line="360" w:lineRule="auto"/>
            </w:pPr>
            <w:r>
              <w:drawing>
                <ns2:inline>
                  <ns2:extent cx="5052060" cy="3412866"/>
                  <ns2:effectExtent b="0" l="0" r="0" t="0"/>
                  <ns2:docPr descr="" title="" id="139" name="Picture"/>
                  <ns3:graphic>
                    <ns3:graphicData uri="http://schemas.openxmlformats.org/drawingml/2006/picture">
                      <ns4:pic>
                        <ns4:nvPicPr>
                          <ns4:cNvPr descr="assets/figures/fig_cobertura_exp2_es.png" id="140" name="Picture"/>
                          <ns4:cNvPicPr>
                            <ns3:picLocks noChangeArrowheads="1" noChangeAspect="1"/>
                          </ns4:cNvPicPr>
                        </ns4:nvPicPr>
                        <ns4:blipFill>
                          <ns3:blip ns5:embed="rId138"/>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1"/>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5" w:name="fig-cd-diagram"/>
          <w:p>
            <w:pPr>
              <w:pStyle w:val="Compact"/>
              <w:jc w:val="center"/>
              <w:spacing w:line="360" w:lineRule="auto"/>
            </w:pPr>
            <w:r>
              <w:drawing>
                <ns2:inline>
                  <ns2:extent cx="5646420" cy="1801452"/>
                  <ns2:effectExtent b="0" l="0" r="0" t="0"/>
                  <ns2:docPr descr="" title="" id="143" name="Picture"/>
                  <ns3:graphic>
                    <ns3:graphicData uri="http://schemas.openxmlformats.org/drawingml/2006/picture">
                      <ns4:pic>
                        <ns4:nvPicPr>
                          <ns4:cNvPr descr="assets/figures/fig_cd_diagram_es.png" id="144" name="Picture"/>
                          <ns4:cNvPicPr>
                            <ns3:picLocks noChangeArrowheads="1" noChangeAspect="1"/>
                          </ns4:cNvPicPr>
                        </ns4:nvPicPr>
                        <ns4:blipFill>
                          <ns3:blip ns5:embed="rId142"/>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5"/>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9" w:name="fig-boxplots-metricas"/>
          <w:p>
            <w:pPr>
              <w:pStyle w:val="Compact"/>
              <w:jc w:val="center"/>
              <w:spacing w:line="360" w:lineRule="auto"/>
            </w:pPr>
            <w:r>
              <w:drawing>
                <ns2:inline>
                  <ns2:extent cx="5646420" cy="2662237"/>
                  <ns2:effectExtent b="0" l="0" r="0" t="0"/>
                  <ns2:docPr descr="" title="" id="147" name="Picture"/>
                  <ns3:graphic>
                    <ns3:graphicData uri="http://schemas.openxmlformats.org/drawingml/2006/picture">
                      <ns4:pic>
                        <ns4:nvPicPr>
                          <ns4:cNvPr descr="assets/figures/fig_boxplots_metricas_es.png" id="148" name="Picture"/>
                          <ns4:cNvPicPr>
                            <ns3:picLocks noChangeArrowheads="1" noChangeAspect="1"/>
                          </ns4:cNvPicPr>
                        </ns4:nvPicPr>
                        <ns4:blipFill>
                          <ns3:blip ns5:embed="rId146"/>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9"/>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3" w:name="fig-diferencias-pareadas"/>
          <w:p>
            <w:pPr>
              <w:pStyle w:val="Compact"/>
              <w:jc w:val="center"/>
              <w:spacing w:line="360" w:lineRule="auto"/>
            </w:pPr>
            <w:r>
              <w:drawing>
                <ns2:inline>
                  <ns2:extent cx="5646420" cy="2357586"/>
                  <ns2:effectExtent b="0" l="0" r="0" t="0"/>
                  <ns2:docPr descr="" title="" id="151" name="Picture"/>
                  <ns3:graphic>
                    <ns3:graphicData uri="http://schemas.openxmlformats.org/drawingml/2006/picture">
                      <ns4:pic>
                        <ns4:nvPicPr>
                          <ns4:cNvPr descr="assets/figures/fig_diferencias_pareadas_es.png" id="152" name="Picture"/>
                          <ns4:cNvPicPr>
                            <ns3:picLocks noChangeArrowheads="1" noChangeAspect="1"/>
                          </ns4:cNvPicPr>
                        </ns4:nvPicPr>
                        <ns4:blipFill>
                          <ns3:blip ns5:embed="rId150"/>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7" w:name="fig-radar-metodos"/>
          <w:p>
            <w:pPr>
              <w:pStyle w:val="Compact"/>
              <w:jc w:val="center"/>
              <w:spacing w:line="360" w:lineRule="auto"/>
            </w:pPr>
            <w:r>
              <w:drawing>
                <ns2:inline>
                  <ns2:extent cx="4160520" cy="3582746"/>
                  <ns2:effectExtent b="0" l="0" r="0" t="0"/>
                  <ns2:docPr descr="" title="" id="155" name="Picture"/>
                  <ns3:graphic>
                    <ns3:graphicData uri="http://schemas.openxmlformats.org/drawingml/2006/picture">
                      <ns4:pic>
                        <ns4:nvPicPr>
                          <ns4:cNvPr descr="assets/figures/fig_radar_metodos_es.png" id="156" name="Picture"/>
                          <ns4:cNvPicPr>
                            <ns3:picLocks noChangeArrowheads="1" noChangeAspect="1"/>
                          </ns4:cNvPicPr>
                        </ns4:nvPicPr>
                        <ns4:blipFill>
                          <ns3:blip ns5:embed="rId154"/>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7"/>
        </w:tc>
      </w:tr>
    </w:tbl>
    <w:bookmarkEnd w:id="158"/>
    <w:bookmarkStart w:id="162" w:name="sec-discusion"/>
    <w:p>
      <w:pPr>
        <w:pStyle w:val="Ttulo2"/>
        <w:spacing w:line="360" w:lineRule="auto"/>
        <w:jc w:val="both"/>
      </w:pPr>
      <w:r>
        <w:t xml:space="preserve">4.9 </w:t>
      </w:r>
      <w:r>
        <w:t xml:space="preserve">Discusión</w:t>
      </w:r>
    </w:p>
    <w:bookmarkStart w:id="159" w:name="interpretación-conjunta-de-h1-h2-y-h3"/>
    <w:p>
      <w:pPr>
        <w:pStyle w:val="Ttulo3"/>
        <w:spacing w:line="360" w:lineRule="auto"/>
        <w:jc w:val="both"/>
      </w:pPr>
      <w:r>
        <w:t xml:space="preserve">4.9.1 </w:t>
      </w: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9"/>
    <w:bookmarkStart w:id="160" w:name="Xbd024e4a7bd7bf8de011157bde8f5cf667c76a0"/>
    <w:p>
      <w:pPr>
        <w:pStyle w:val="Ttulo3"/>
        <w:spacing w:line="360" w:lineRule="auto"/>
        <w:jc w:val="both"/>
      </w:pPr>
      <w:r>
        <w:t xml:space="preserve">4.9.2 </w:t>
      </w: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0"/>
    <w:bookmarkStart w:id="161" w:name="X99626a17a471bd5fb48825a2c4d4fcdcb69bcee"/>
    <w:p>
      <w:pPr>
        <w:pStyle w:val="Ttulo3"/>
        <w:spacing w:line="360" w:lineRule="auto"/>
        <w:jc w:val="both"/>
      </w:pPr>
      <w:r>
        <w:t xml:space="preserve">4.9.3 </w:t>
      </w: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y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1"/>
    <w:bookmarkEnd w:id="162"/>
    <w:bookmarkEnd w:id="163"/>
    <w:bookmarkStart w:id="175" w:name="Xa967782ce714a135dc69dc69099ccfe835ec70b"/>
    <w:p>
      <w:pPr>
        <w:pStyle w:val="Ttulo1"/>
        <w:spacing w:line="360" w:lineRule="auto"/>
        <w:jc w:val="both"/>
      </w:pPr>
      <w:r>
        <w:t xml:space="preserve">Capítulo 5. </w:t>
      </w: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Figura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Figura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4" w:name="sec-taxonomia-metodo"/>
    <w:p>
      <w:pPr>
        <w:pStyle w:val="Ttulo2"/>
        <w:spacing w:line="360" w:lineRule="auto"/>
        <w:jc w:val="both"/>
      </w:pPr>
      <w:r>
        <w:t xml:space="preserve">5.1 </w:t>
      </w: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y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4"/>
    <w:bookmarkStart w:id="165" w:name="sec-taxonomia-motivacion"/>
    <w:p>
      <w:pPr>
        <w:pStyle w:val="Ttulo2"/>
        <w:spacing w:line="360" w:lineRule="auto"/>
        <w:jc w:val="both"/>
      </w:pPr>
      <w:r>
        <w:t xml:space="preserve">5.2 </w:t>
      </w: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y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5"/>
    <w:bookmarkStart w:id="166" w:name="sec-taxonomia-ejes"/>
    <w:p>
      <w:pPr>
        <w:pStyle w:val="Ttulo2"/>
        <w:spacing w:line="360" w:lineRule="auto"/>
        <w:jc w:val="both"/>
      </w:pPr>
      <w:r>
        <w:t xml:space="preserve">5.3 </w:t>
      </w: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y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y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6"/>
    <w:bookmarkStart w:id="168" w:name="sec-taxonomia-matriz"/>
    <w:p>
      <w:pPr>
        <w:pStyle w:val="Ttulo2"/>
        <w:spacing w:line="360" w:lineRule="auto"/>
        <w:jc w:val="both"/>
      </w:pPr>
      <w:r>
        <w:t xml:space="preserve">5.4 </w:t>
      </w: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jc w:val="center"/>
        <w:tblLayout w:type="fixed"/>
        <w:tblLook w:firstRow="0" w:lastRow="0" w:firstColumn="0" w:lastColumn="0" w:noHBand="0" w:noVBand="0" w:val="0000"/>
      </w:tblPr>
      <w:tblGrid>
        <w:gridCol w:w="7920"/>
      </w:tblGrid>
      <w:tr>
        <w:tc>
          <w:tcPr/>
          <w:bookmarkStart w:id="167" w:name="tbl-taxonomia-ampliada"/>
          <w:p>
            <w:pPr>
              <w:pStyle w:val="ImageCaption"/>
              <w:spacing w:before="200" w:line="360" w:lineRule="auto"/>
              <w:jc w:val="center"/>
            </w:pPr>
            <w:r>
              <w:t xml:space="preserve">Tabla 5.1: Taxonomía ampliada de métricas y constructos de evaluación XAI.</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Métrica / constructo</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Fuente de evidencia</w:t>
                  </w:r>
                </w:p>
              </w:tc>
              <w:tc>
                <w:tcPr/>
                <w:p>
                  <w:pPr>
                    <w:pStyle w:val="Compact"/>
                    <w:jc w:val="both"/>
                    <w:jc w:val="center"/>
                    <w:spacing w:line="360" w:lineRule="auto"/>
                  </w:pPr>
                  <w:r>
                    <w:rPr>
                      <w:bCs/>
                      <w:b/>
                    </w:rPr>
                    <w:t xml:space="preserve">Propiedad</w:t>
                  </w:r>
                </w:p>
              </w:tc>
              <w:tc>
                <w:tcPr/>
                <w:p>
                  <w:pPr>
                    <w:pStyle w:val="Compact"/>
                    <w:jc w:val="both"/>
                    <w:jc w:val="center"/>
                    <w:spacing w:line="360" w:lineRule="auto"/>
                  </w:pPr>
                  <w:r>
                    <w:rPr>
                      <w:bCs/>
                      <w:b/>
                    </w:rPr>
                    <w:t xml:space="preserve">Contexto típico</w:t>
                  </w:r>
                </w:p>
              </w:tc>
              <w:tc>
                <w:tcPr/>
                <w:p>
                  <w:pPr>
                    <w:pStyle w:val="Compact"/>
                    <w:jc w:val="both"/>
                    <w:jc w:val="center"/>
                    <w:spacing w:line="360" w:lineRule="auto"/>
                  </w:pPr>
                  <w:r>
                    <w:rPr>
                      <w:bCs/>
                      <w:b/>
                    </w:rP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7"/>
          <w:p>
            <w:pPr>
              <w:spacing w:line="360" w:lineRule="auto"/>
              <w:jc w:val="both"/>
            </w:pPr>
          </w:p>
        </w:tc>
      </w:tr>
    </w:tbl>
    <w:bookmarkEnd w:id="168"/>
    <w:bookmarkStart w:id="170" w:name="sec-taxonomia-benchmark"/>
    <w:p>
      <w:pPr>
        <w:pStyle w:val="Ttulo2"/>
        <w:spacing w:line="360" w:lineRule="auto"/>
        <w:jc w:val="both"/>
      </w:pPr>
      <w:r>
        <w:t xml:space="preserve">5.5 </w:t>
      </w: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jc w:val="center"/>
        <w:tblLayout w:type="fixed"/>
        <w:tblLook w:firstRow="0" w:lastRow="0" w:firstColumn="0" w:lastColumn="0" w:noHBand="0" w:noVBand="0" w:val="0000"/>
      </w:tblPr>
      <w:tblGrid>
        <w:gridCol w:w="7920"/>
      </w:tblGrid>
      <w:tr>
        <w:tc>
          <w:tcPr/>
          <w:bookmarkStart w:id="169" w:name="tbl-taxonomia-benchmark"/>
          <w:p>
            <w:pPr>
              <w:pStyle w:val="ImageCaption"/>
              <w:spacing w:before="200" w:line="360" w:lineRule="auto"/>
              <w:jc w:val="center"/>
            </w:pPr>
            <w:r>
              <w:t xml:space="preserve">Tabla 5.2: Mapeo de las métricas del benchmark a los cuatro ejes de la taxonomía.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Eje 1: objetivo</w:t>
                  </w:r>
                </w:p>
              </w:tc>
              <w:tc>
                <w:tcPr/>
                <w:p>
                  <w:pPr>
                    <w:pStyle w:val="Compact"/>
                    <w:jc w:val="both"/>
                    <w:jc w:val="center"/>
                    <w:spacing w:line="360" w:lineRule="auto"/>
                  </w:pPr>
                  <w:r>
                    <w:rPr>
                      <w:bCs/>
                      <w:b/>
                    </w:rPr>
                    <w:t xml:space="preserve">Eje 2: fuente de evidencia</w:t>
                  </w:r>
                </w:p>
              </w:tc>
              <w:tc>
                <w:tcPr/>
                <w:p>
                  <w:pPr>
                    <w:pStyle w:val="Compact"/>
                    <w:jc w:val="both"/>
                    <w:jc w:val="center"/>
                    <w:spacing w:line="360" w:lineRule="auto"/>
                  </w:pPr>
                  <w:r>
                    <w:rPr>
                      <w:bCs/>
                      <w:b/>
                    </w:rPr>
                    <w:t xml:space="preserve">Eje 3: propiedad</w:t>
                  </w:r>
                </w:p>
              </w:tc>
              <w:tc>
                <w:tcPr/>
                <w:p>
                  <w:pPr>
                    <w:pStyle w:val="Compact"/>
                    <w:jc w:val="both"/>
                    <w:jc w:val="center"/>
                    <w:spacing w:line="360" w:lineRule="auto"/>
                  </w:pPr>
                  <w:r>
                    <w:rPr>
                      <w:bCs/>
                      <w:b/>
                    </w:rP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9"/>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0"/>
    <w:bookmarkStart w:id="171" w:name="sec-taxonomia-brechas"/>
    <w:p>
      <w:pPr>
        <w:pStyle w:val="Ttulo2"/>
        <w:spacing w:line="360" w:lineRule="auto"/>
        <w:jc w:val="both"/>
      </w:pPr>
      <w:r>
        <w:t xml:space="preserve">5.6 </w:t>
      </w: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w:t>
      </w:r>
      <w:hyperlink w:anchor="sec-exp4-fiabilidad">
        <w:r>
          <w:rPr>
            <w:rStyle w:val="Hipervnculo"/>
          </w:rPr>
          <w:t xml:space="preserve">5.8</w:t>
        </w:r>
      </w:hyperlink>
      <w:r>
        <w:t xml:space="preserve">.</w:t>
      </w:r>
    </w:p>
    <w:bookmarkEnd w:id="171"/>
    <w:bookmarkStart w:id="172" w:name="sec-taxonomia-contribucion"/>
    <w:p>
      <w:pPr>
        <w:pStyle w:val="Ttulo2"/>
        <w:spacing w:line="360" w:lineRule="auto"/>
        <w:jc w:val="both"/>
      </w:pPr>
      <w:r>
        <w:t xml:space="preserve">5.7 </w:t>
      </w: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y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2"/>
    <w:bookmarkStart w:id="174" w:name="sec-exp4-fiabilidad"/>
    <w:p>
      <w:pPr>
        <w:pStyle w:val="Ttulo2"/>
        <w:spacing w:line="360" w:lineRule="auto"/>
        <w:jc w:val="both"/>
      </w:pPr>
      <w:r>
        <w:t xml:space="preserve">5.8 </w:t>
      </w:r>
      <w:r>
        <w:t xml:space="preserve">Estudio de Fiabilidad Inter-juez (EXP4)</w:t>
      </w:r>
    </w:p>
    <w:p>
      <w:pPr>
        <w:pStyle w:val="FirstParagraph"/>
        <w:spacing w:line="360" w:lineRule="auto"/>
        <w:jc w:val="both"/>
      </w:pPr>
      <w:r>
        <w:t xml:space="preserve">La Brecha 3 (§</w:t>
      </w:r>
      <w:hyperlink w:anchor="sec-taxonomia-brechas">
        <w:r>
          <w:rPr>
            <w:rStyle w:val="Hipervnculo"/>
          </w:rPr>
          <w:t xml:space="preserve">5.6</w:t>
        </w:r>
      </w:hyperlink>
      <w:r>
        <w:t xml:space="preserve">) identifica que la evaluación semántica</w:t>
      </w:r>
      <w:r>
        <w:t xml:space="preserve"> </w:t>
      </w:r>
      <w:r>
        <w:t xml:space="preserve">crece más rápido que su base de validación empírica. EXP4 (diseñado en</w:t>
      </w:r>
      <w:r>
        <w:t xml:space="preserve"> </w:t>
      </w:r>
      <w:r>
        <w:t xml:space="preserve">§</w:t>
      </w:r>
      <w:hyperlink w:anchor="sec-exp4-diseno">
        <w:r>
          <w:rPr>
            <w:rStyle w:val="Hipervnculo"/>
          </w:rPr>
          <w:t xml:space="preserve">3.11.2</w:t>
        </w:r>
      </w:hyperlink>
      <w:r>
        <w:t xml:space="preserve">,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y Li 2016)</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173" w:name="tbl-exp4-icc"/>
          <w:p>
            <w:pPr>
              <w:pStyle w:val="ImageCaption"/>
              <w:spacing w:before="200" w:line="360" w:lineRule="auto"/>
              <w:jc w:val="center"/>
            </w:pPr>
            <w:r>
              <w:t xml:space="preserve">Tabla 5.3: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y Li 2016)</w:t>
            </w:r>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w:t>
                  </w:r>
                </w:p>
              </w:tc>
              <w:tc>
                <w:tcPr/>
                <w:p>
                  <w:pPr>
                    <w:pStyle w:val="Compact"/>
                    <w:jc w:val="both"/>
                    <w:jc w:val="center"/>
                    <w:spacing w:line="360" w:lineRule="auto"/>
                  </w:pPr>
                  <w:r>
                    <w:rPr>
                      <w:bCs/>
                      <w:b/>
                    </w:rPr>
                    <w:t xml:space="preserve">Krippendorff</w:t>
                  </w:r>
                  <w:r>
                    <w:rPr>
                      <w:bCs/>
                      <w:b/>
                    </w:rP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3"/>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y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4"/>
    <w:bookmarkEnd w:id="175"/>
    <w:bookmarkStart w:id="191" w:name="conclusiones"/>
    <w:p>
      <w:pPr>
        <w:pStyle w:val="Ttulo1"/>
        <w:spacing w:line="360" w:lineRule="auto"/>
        <w:jc w:val="both"/>
      </w:pPr>
      <w:r>
        <w:t xml:space="preserve">Capítulo 6. </w:t>
      </w: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8" w:name="sec-respuesta"/>
    <w:p>
      <w:pPr>
        <w:pStyle w:val="Ttulo2"/>
        <w:spacing w:line="360" w:lineRule="auto"/>
        <w:jc w:val="both"/>
      </w:pPr>
      <w:r>
        <w:t xml:space="preserve">6.1 </w:t>
      </w: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jc w:val="center"/>
        <w:tblLayout w:type="fixed"/>
        <w:tblLook w:firstRow="0" w:lastRow="0" w:firstColumn="0" w:lastColumn="0" w:noHBand="0" w:noVBand="0" w:val="0000"/>
      </w:tblPr>
      <w:tblGrid>
        <w:gridCol w:w="7920"/>
      </w:tblGrid>
      <w:tr>
        <w:tc>
          <w:tcPr/>
          <w:bookmarkStart w:id="176" w:name="tbl-hipotesis"/>
          <w:p>
            <w:pPr>
              <w:pStyle w:val="ImageCaption"/>
              <w:spacing w:before="200" w:line="360" w:lineRule="auto"/>
              <w:jc w:val="center"/>
            </w:pPr>
            <w:r>
              <w:t xml:space="preserve">Tabla 6.1: Síntesis de hipótesis y proposiciones de trabajo.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rPr>
                      <w:bCs/>
                      <w:b/>
                    </w:rPr>
                    <w:t xml:space="preserve">Hipótesis / Proposición</w:t>
                  </w:r>
                </w:p>
              </w:tc>
              <w:tc>
                <w:tcPr/>
                <w:p>
                  <w:pPr>
                    <w:pStyle w:val="Compact"/>
                    <w:jc w:val="both"/>
                    <w:spacing w:line="360" w:lineRule="auto"/>
                  </w:pPr>
                  <w:r>
                    <w:rPr>
                      <w:bCs/>
                      <w:b/>
                    </w:rPr>
                    <w:t xml:space="preserve">Resultado</w:t>
                  </w:r>
                </w:p>
              </w:tc>
              <w:tc>
                <w:tcPr/>
                <w:p>
                  <w:pPr>
                    <w:pStyle w:val="Compact"/>
                    <w:jc w:val="both"/>
                    <w:spacing w:line="360" w:lineRule="auto"/>
                  </w:pPr>
                  <w:r>
                    <w:rPr>
                      <w:bCs/>
                      <w:b/>
                    </w:rP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6"/>
          <w:p>
            <w:pPr>
              <w:spacing w:line="360" w:lineRule="auto"/>
              <w:jc w:val="both"/>
            </w:pPr>
          </w:p>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7" w:name="tbl-objetivos"/>
          <w:p>
            <w:pPr>
              <w:pStyle w:val="ImageCaption"/>
              <w:spacing w:before="200" w:line="360" w:lineRule="auto"/>
              <w:jc w:val="center"/>
            </w:pPr>
            <w:r>
              <w:t xml:space="preserve">Tabla 6.2: Cierre de objetivos específicos.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rPr>
                      <w:bCs/>
                      <w:b/>
                    </w:rPr>
                    <w:t xml:space="preserve">Objetivo específico</w:t>
                  </w:r>
                </w:p>
              </w:tc>
              <w:tc>
                <w:tcPr/>
                <w:p>
                  <w:pPr>
                    <w:pStyle w:val="Compact"/>
                    <w:jc w:val="both"/>
                    <w:spacing w:line="360" w:lineRule="auto"/>
                  </w:pPr>
                  <w:r>
                    <w:rPr>
                      <w:bCs/>
                      <w:b/>
                    </w:rP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w:t>
                  </w:r>
                  <w:hyperlink w:anchor="sec-taxonomia-brechas">
                    <w:r>
                      <w:rPr>
                        <w:rStyle w:val="Hipervnculo"/>
                      </w:rPr>
                      <w:t xml:space="preserve">5.6</w:t>
                    </w:r>
                  </w:hyperlink>
                  <w:r>
                    <w:t xml:space="preserve">,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w:t>
                  </w:r>
                  <w:hyperlink w:anchor="sec-exp4-fiabilidad">
                    <w:r>
                      <w:rPr>
                        <w:rStyle w:val="Hipervnculo"/>
                      </w:rPr>
                      <w:t xml:space="preserve">5.8</w:t>
                    </w:r>
                  </w:hyperlink>
                  <w:r>
                    <w:t xml:space="preserve">.</w:t>
                  </w:r>
                </w:p>
              </w:tc>
            </w:tr>
          </w:tbl>
          <w:bookmarkEnd w:id="177"/>
          <w:p>
            <w:pPr>
              <w:spacing w:line="360" w:lineRule="auto"/>
              <w:jc w:val="both"/>
            </w:pPr>
          </w:p>
        </w:tc>
      </w:tr>
    </w:tbl>
    <w:bookmarkEnd w:id="178"/>
    <w:bookmarkStart w:id="182" w:name="sec-contribuciones"/>
    <w:p>
      <w:pPr>
        <w:pStyle w:val="Ttulo2"/>
        <w:spacing w:line="360" w:lineRule="auto"/>
        <w:jc w:val="both"/>
      </w:pPr>
      <w:r>
        <w:t xml:space="preserve">6.2 </w:t>
      </w:r>
      <w:r>
        <w:t xml:space="preserve">Contribuciones científicas</w:t>
      </w:r>
    </w:p>
    <w:bookmarkStart w:id="179" w:name="X2e7af289f3df14f7e31f2445fc83a79cfc8b431"/>
    <w:p>
      <w:pPr>
        <w:pStyle w:val="Ttulo3"/>
        <w:spacing w:line="360" w:lineRule="auto"/>
        <w:jc w:val="both"/>
      </w:pPr>
      <w:r>
        <w:t xml:space="preserve">6.2.1 </w:t>
      </w: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9"/>
    <w:bookmarkStart w:id="180" w:name="X93d1d918ce055ba24ba9e9f0b305f424c9a5ca8"/>
    <w:p>
      <w:pPr>
        <w:pStyle w:val="Ttulo3"/>
        <w:spacing w:line="360" w:lineRule="auto"/>
        <w:jc w:val="both"/>
      </w:pPr>
      <w:r>
        <w:t xml:space="preserve">6.2.2 </w:t>
      </w: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y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w:t>
      </w:r>
      <w:hyperlink w:anchor="sec-limitaciones">
        <w:r>
          <w:rPr>
            <w:rStyle w:val="Hipervnculo"/>
          </w:rPr>
          <w:t xml:space="preserve">6.4</w:t>
        </w:r>
      </w:hyperlink>
      <w:r>
        <w:t xml:space="preserve"> </w:t>
      </w:r>
      <w:r>
        <w:t xml:space="preserve">y §</w:t>
      </w:r>
      <w:hyperlink w:anchor="sec-exp3-nota">
        <w:r>
          <w:rPr>
            <w:rStyle w:val="Hipervnculo"/>
          </w:rPr>
          <w:t xml:space="preserve">6.5.1</w:t>
        </w:r>
      </w:hyperlink>
      <w:r>
        <w:t xml:space="preserve">,</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y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0"/>
    <w:bookmarkStart w:id="181" w:name="X6583905c1b1630bf3acfdae91528ca52ef61481"/>
    <w:p>
      <w:pPr>
        <w:pStyle w:val="Ttulo3"/>
        <w:spacing w:line="360" w:lineRule="auto"/>
        <w:jc w:val="both"/>
      </w:pPr>
      <w:r>
        <w:t xml:space="preserve">6.2.3 </w:t>
      </w: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Tabla 6.4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1"/>
    <w:bookmarkEnd w:id="182"/>
    <w:bookmarkStart w:id="184" w:name="sec-posicionamiento"/>
    <w:p>
      <w:pPr>
        <w:pStyle w:val="Ttulo2"/>
        <w:spacing w:line="360" w:lineRule="auto"/>
        <w:jc w:val="both"/>
      </w:pPr>
      <w:r>
        <w:t xml:space="preserve">6.3 </w:t>
      </w: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6.3</w:t>
        </w:r>
      </w:hyperlink>
      <w:r>
        <w:t xml:space="preserve"> </w:t>
      </w:r>
      <w:r>
        <w:t xml:space="preserve">realiza esta separación de forma explícita.</w:t>
      </w:r>
    </w:p>
    <w:tbl>
      <w:tblPr>
        <w:tblStyle w:val="Table"/>
        <w:tblW w:type="pct" w:w="5000"/>
        <w:jc w:val="center"/>
        <w:tblLayout w:type="fixed"/>
        <w:tblLook w:firstRow="0" w:lastRow="0" w:firstColumn="0" w:lastColumn="0" w:noHBand="0" w:noVBand="0" w:val="0000"/>
      </w:tblPr>
      <w:tblGrid>
        <w:gridCol w:w="7920"/>
      </w:tblGrid>
      <w:tr>
        <w:tc>
          <w:tcPr/>
          <w:bookmarkStart w:id="183" w:name="tbl-contribucion-separacion"/>
          <w:p>
            <w:pPr>
              <w:pStyle w:val="ImageCaption"/>
              <w:spacing w:before="200" w:line="360" w:lineRule="auto"/>
              <w:jc w:val="center"/>
            </w:pPr>
            <w:r>
              <w:t xml:space="preserve">Tabla 6.3: Separación de contribuciones respecto a los trabajos más cercanos.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Contribución</w:t>
                  </w:r>
                </w:p>
              </w:tc>
              <w:tc>
                <w:tcPr/>
                <w:p>
                  <w:pPr>
                    <w:pStyle w:val="Compact"/>
                    <w:jc w:val="both"/>
                    <w:jc w:val="center"/>
                    <w:spacing w:line="360" w:lineRule="auto"/>
                  </w:pPr>
                  <w:r>
                    <w:rPr>
                      <w:bCs/>
                      <w:b/>
                    </w:rPr>
                    <w:t xml:space="preserve">Trabajos más cercanos</w:t>
                  </w:r>
                </w:p>
              </w:tc>
              <w:tc>
                <w:tcPr/>
                <w:p>
                  <w:pPr>
                    <w:pStyle w:val="Compact"/>
                    <w:jc w:val="both"/>
                    <w:jc w:val="center"/>
                    <w:spacing w:line="360" w:lineRule="auto"/>
                  </w:pPr>
                  <w:r>
                    <w:rPr>
                      <w:bCs/>
                      <w:b/>
                    </w:rPr>
                    <w:t xml:space="preserve">En qué se solapa</w:t>
                  </w:r>
                </w:p>
              </w:tc>
              <w:tc>
                <w:tcPr/>
                <w:p>
                  <w:pPr>
                    <w:pStyle w:val="Compact"/>
                    <w:jc w:val="both"/>
                    <w:jc w:val="center"/>
                    <w:spacing w:line="360" w:lineRule="auto"/>
                  </w:pPr>
                  <w:r>
                    <w:rPr>
                      <w:bCs/>
                      <w:b/>
                    </w:rP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3"/>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4"/>
    <w:bookmarkStart w:id="185" w:name="sec-limitaciones"/>
    <w:p>
      <w:pPr>
        <w:pStyle w:val="Ttulo2"/>
        <w:spacing w:line="360" w:lineRule="auto"/>
        <w:jc w:val="both"/>
      </w:pPr>
      <w:r>
        <w:t xml:space="preserve">6.4 </w:t>
      </w: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y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Tabla 6.11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ipervnculo"/>
          </w:rPr>
          <w:t xml:space="preserve">6.5.1</w:t>
        </w:r>
      </w:hyperlink>
      <w:r>
        <w:t xml:space="preserve">)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5"/>
    <w:bookmarkStart w:id="188" w:name="sec-fronteras"/>
    <w:p>
      <w:pPr>
        <w:pStyle w:val="Ttulo2"/>
        <w:spacing w:line="360" w:lineRule="auto"/>
        <w:jc w:val="both"/>
      </w:pPr>
      <w:r>
        <w:t xml:space="preserve">6.5 </w:t>
      </w: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6.4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jc w:val="center"/>
        <w:tblLayout w:type="fixed"/>
        <w:tblLook w:firstRow="0" w:lastRow="0" w:firstColumn="0" w:lastColumn="0" w:noHBand="0" w:noVBand="0" w:val="0000"/>
      </w:tblPr>
      <w:tblGrid>
        <w:gridCol w:w="7920"/>
      </w:tblGrid>
      <w:tr>
        <w:tc>
          <w:tcPr/>
          <w:bookmarkStart w:id="186" w:name="tbl-fronteras-generalizacion"/>
          <w:p>
            <w:pPr>
              <w:pStyle w:val="ImageCaption"/>
              <w:spacing w:before="200" w:line="360" w:lineRule="auto"/>
              <w:jc w:val="center"/>
            </w:pPr>
            <w:r>
              <w:t xml:space="preserve">Tabla 6.4: Fronteras de generalización de los hallazgos 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Afirmación</w:t>
                  </w:r>
                </w:p>
              </w:tc>
              <w:tc>
                <w:tcPr/>
                <w:p>
                  <w:pPr>
                    <w:pStyle w:val="Compact"/>
                    <w:jc w:val="both"/>
                    <w:jc w:val="center"/>
                    <w:spacing w:line="360" w:lineRule="auto"/>
                  </w:pPr>
                  <w:r>
                    <w:rPr>
                      <w:bCs/>
                      <w:b/>
                    </w:rPr>
                    <w:t xml:space="preserve">Soportada para</w:t>
                  </w:r>
                </w:p>
              </w:tc>
              <w:tc>
                <w:tcPr/>
                <w:p>
                  <w:pPr>
                    <w:pStyle w:val="Compact"/>
                    <w:jc w:val="both"/>
                    <w:jc w:val="center"/>
                    <w:spacing w:line="360" w:lineRule="auto"/>
                  </w:pPr>
                  <w:r>
                    <w:rPr>
                      <w:bCs/>
                      <w:b/>
                    </w:rPr>
                    <w:t xml:space="preserve">No soportada para</w:t>
                  </w:r>
                </w:p>
              </w:tc>
              <w:tc>
                <w:tcPr/>
                <w:p>
                  <w:pPr>
                    <w:pStyle w:val="Compact"/>
                    <w:jc w:val="both"/>
                    <w:jc w:val="center"/>
                    <w:spacing w:line="360" w:lineRule="auto"/>
                  </w:pPr>
                  <w:r>
                    <w:rPr>
                      <w:bCs/>
                      <w:b/>
                    </w:rP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w:t>
                  </w:r>
                  <w:hyperlink w:anchor="sec-exp3-nota">
                    <w:r>
                      <w:rPr>
                        <w:rStyle w:val="Hipervnculo"/>
                      </w:rPr>
                      <w:t xml:space="preserve">6.5.1</w:t>
                    </w:r>
                  </w:hyperlink>
                  <w:r>
                    <w:t xml:space="preserve">).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w:t>
                  </w:r>
                  <w:hyperlink w:anchor="sec-exp3-nota">
                    <w:r>
                      <w:rPr>
                        <w:rStyle w:val="Hipervnculo"/>
                      </w:rPr>
                      <w:t xml:space="preserve">6.5.1</w:t>
                    </w:r>
                  </w:hyperlink>
                  <w:r>
                    <w:t xml:space="preserve"> </w:t>
                  </w:r>
                  <w:r>
                    <w:t xml:space="preserve">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6"/>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7" w:name="sec-exp3-nota"/>
    <w:p>
      <w:pPr>
        <w:pStyle w:val="Ttulo3"/>
        <w:spacing w:line="360" w:lineRule="auto"/>
        <w:jc w:val="both"/>
      </w:pPr>
      <w:r>
        <w:t xml:space="preserve">6.5.1 </w:t>
      </w: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y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y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7"/>
    <w:bookmarkEnd w:id="188"/>
    <w:bookmarkStart w:id="189" w:name="sec-futuro"/>
    <w:p>
      <w:pPr>
        <w:pStyle w:val="Ttulo2"/>
        <w:spacing w:line="360" w:lineRule="auto"/>
        <w:jc w:val="both"/>
      </w:pPr>
      <w:r>
        <w:t xml:space="preserve">6.6 </w:t>
      </w: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w:t>
      </w:r>
      <w:hyperlink w:anchor="sec-exp4-fiabilidad">
        <w:r>
          <w:rPr>
            <w:rStyle w:val="Hipervnculo"/>
          </w:rPr>
          <w:t xml:space="preserve">5.8</w:t>
        </w:r>
      </w:hyperlink>
      <w:r>
        <w:t xml:space="preserve">)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w:t>
      </w:r>
      <w:hyperlink w:anchor="sec-exp4-fiabilidad">
        <w:r>
          <w:rPr>
            <w:rStyle w:val="Hipervnculo"/>
          </w:rPr>
          <w:t xml:space="preserve">5.8</w:t>
        </w:r>
      </w:hyperlink>
      <w:r>
        <w:t xml:space="preserve"> </w:t>
      </w:r>
      <w:r>
        <w:t xml:space="preserve">(especificación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9"/>
    <w:bookmarkStart w:id="190" w:name="sec-sintesis"/>
    <w:p>
      <w:pPr>
        <w:pStyle w:val="Ttulo2"/>
        <w:spacing w:line="360" w:lineRule="auto"/>
        <w:jc w:val="both"/>
      </w:pPr>
      <w:r>
        <w:t xml:space="preserve">6.7 </w:t>
      </w: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y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w:t>
      </w:r>
      <w:hyperlink w:anchor="sec-limitaciones">
        <w:r>
          <w:rPr>
            <w:rStyle w:val="Hipervnculo"/>
          </w:rPr>
          <w:t xml:space="preserve">6.4</w:t>
        </w:r>
      </w:hyperlink>
      <w:r>
        <w:t xml:space="preserve">).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6.6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0"/>
    <w:bookmarkEnd w:id="191"/>
    <w:bookmarkStart w:id="454" w:name="referencias"/>
    <w:p>
      <w:pPr>
        <w:pStyle w:val="Ttulo1"/>
        <w:spacing w:line="360" w:lineRule="auto"/>
        <w:jc w:val="both"/>
      </w:pPr>
      <w:r>
        <w:t xml:space="preserve">Referencias</w:t>
      </w:r>
    </w:p>
    <w:bookmarkStart w:id="453" w:name="refs"/>
    <w:bookmarkStart w:id="193" w:name="ref-abdul2018"/>
    <w:p>
      <w:pPr>
        <w:pStyle w:val="Bibliography"/>
        <w:spacing w:line="360" w:lineRule="auto"/>
        <w:jc w:val="both"/>
      </w:pPr>
      <w:r>
        <w:t xml:space="preserve">Abdul, Ashraf, Jo Vermeulen, Danding Wang, Brian Y. Lim, y Mohan Kankanhalli. 2018.</w:t>
      </w:r>
      <w:r>
        <w:t xml:space="preserve"> </w:t>
      </w:r>
      <w:r>
        <w:t xml:space="preserve">«Trends and Trajectories for Explainable, Accountable and Intelligible Systems: An HCI Research Agenda»</w:t>
      </w:r>
      <w:r>
        <w:t xml:space="preserve">.</w:t>
      </w:r>
      <w:r>
        <w:t xml:space="preserve"> </w:t>
      </w:r>
      <w:r>
        <w:rPr>
          <w:i/>
          <w:iCs/>
        </w:rPr>
        <w:t xml:space="preserve">Proceedings of the 2018 CHI Conference on Human Factors in Computing Systems</w:t>
      </w:r>
      <w:r>
        <w:t xml:space="preserve">, 1-18.</w:t>
      </w:r>
      <w:r>
        <w:t xml:space="preserve"> </w:t>
      </w:r>
      <w:hyperlink ns5:id="rId192">
        <w:r>
          <w:rPr>
            <w:rStyle w:val="Hipervnculo"/>
          </w:rPr>
          <w:t xml:space="preserve">https://doi.org/10.1145/3173574.3174156</w:t>
        </w:r>
      </w:hyperlink>
      <w:r>
        <w:t xml:space="preserve">.</w:t>
      </w:r>
    </w:p>
    <w:bookmarkEnd w:id="193"/>
    <w:bookmarkStart w:id="195" w:name="ref-abdulkadir2023"/>
    <w:p>
      <w:pPr>
        <w:pStyle w:val="Bibliography"/>
        <w:spacing w:line="360" w:lineRule="auto"/>
        <w:jc w:val="both"/>
      </w:pPr>
      <w:r>
        <w:t xml:space="preserve">Abdul Kadir, M., A. Mosavi, y D. Sonntag. 2023.</w:t>
      </w:r>
      <w:r>
        <w:t xml:space="preserve"> </w:t>
      </w:r>
      <w:r>
        <w:t xml:space="preserve">«Evaluation Metrics for XAI: A Review, Taxonomy, and Practical Applications»</w:t>
      </w:r>
      <w:r>
        <w:t xml:space="preserve">.</w:t>
      </w:r>
      <w:r>
        <w:t xml:space="preserve"> </w:t>
      </w:r>
      <w:r>
        <w:rPr>
          <w:i/>
          <w:iCs/>
        </w:rPr>
        <w:t xml:space="preserve">INES 2023 Proceedings</w:t>
      </w:r>
      <w:r>
        <w:t xml:space="preserve">, advance online publication.</w:t>
      </w:r>
      <w:r>
        <w:t xml:space="preserve"> </w:t>
      </w:r>
      <w:hyperlink ns5:id="rId194">
        <w:r>
          <w:rPr>
            <w:rStyle w:val="Hipervnculo"/>
          </w:rPr>
          <w:t xml:space="preserve">https://doi.org/10.1109/INES59045.2023.1030000</w:t>
        </w:r>
      </w:hyperlink>
      <w:r>
        <w:t xml:space="preserve">.</w:t>
      </w:r>
    </w:p>
    <w:bookmarkEnd w:id="195"/>
    <w:bookmarkStart w:id="197" w:name="ref-abusitta2024"/>
    <w:p>
      <w:pPr>
        <w:pStyle w:val="Bibliography"/>
        <w:spacing w:line="360" w:lineRule="auto"/>
        <w:jc w:val="both"/>
      </w:pPr>
      <w:r>
        <w:t xml:space="preserve">Abusitta, Adel, Miles Q. Li, y Benjamin C. M. Fung. 2024.</w:t>
      </w:r>
      <w:r>
        <w:t xml:space="preserve"> </w:t>
      </w:r>
      <w:r>
        <w:rPr>
          <w:i/>
          <w:iCs/>
        </w:rPr>
        <w:t xml:space="preserve">Survey on Explainable Ai: Techniques, Challenges and Open Issues</w:t>
      </w:r>
      <w:r>
        <w:t xml:space="preserve">. Elsevier BV.</w:t>
      </w:r>
      <w:r>
        <w:t xml:space="preserve"> </w:t>
      </w:r>
      <w:hyperlink ns5:id="rId196">
        <w:r>
          <w:rPr>
            <w:rStyle w:val="Hipervnculo"/>
          </w:rPr>
          <w:t xml:space="preserve">https://doi.org/10.2139/ssrn.4710037</w:t>
        </w:r>
      </w:hyperlink>
      <w:r>
        <w:t xml:space="preserve">.</w:t>
      </w:r>
    </w:p>
    <w:bookmarkEnd w:id="197"/>
    <w:bookmarkStart w:id="199"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w:t>
      </w:r>
      <w:r>
        <w:t xml:space="preserve"> </w:t>
      </w:r>
      <w:r>
        <w:rPr>
          <w:i/>
          <w:iCs/>
        </w:rPr>
        <w:t xml:space="preserve">IEEE Access</w:t>
      </w:r>
      <w:r>
        <w:t xml:space="preserve"> </w:t>
      </w:r>
      <w:r>
        <w:t xml:space="preserve">6: 52138-60.</w:t>
      </w:r>
      <w:r>
        <w:t xml:space="preserve"> </w:t>
      </w:r>
      <w:hyperlink ns5:id="rId198">
        <w:r>
          <w:rPr>
            <w:rStyle w:val="Hipervnculo"/>
          </w:rPr>
          <w:t xml:space="preserve">https://doi.org/10.1109/access.2018.2870052</w:t>
        </w:r>
      </w:hyperlink>
      <w:r>
        <w:t xml:space="preserve">.</w:t>
      </w:r>
    </w:p>
    <w:bookmarkEnd w:id="199"/>
    <w:bookmarkStart w:id="201"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w:t>
      </w:r>
      <w:r>
        <w:t xml:space="preserve"> </w:t>
      </w:r>
      <w:r>
        <w:rPr>
          <w:i/>
          <w:iCs/>
        </w:rPr>
        <w:t xml:space="preserve">ACM Computing Surveys</w:t>
      </w:r>
      <w:r>
        <w:t xml:space="preserve"> </w:t>
      </w:r>
      <w:r>
        <w:t xml:space="preserve">55 (7): 1-38.</w:t>
      </w:r>
      <w:r>
        <w:t xml:space="preserve"> </w:t>
      </w:r>
      <w:hyperlink ns5:id="rId200">
        <w:r>
          <w:rPr>
            <w:rStyle w:val="Hipervnculo"/>
          </w:rPr>
          <w:t xml:space="preserve">https://doi.org/10.1145/3533381</w:t>
        </w:r>
      </w:hyperlink>
      <w:r>
        <w:t xml:space="preserve">.</w:t>
      </w:r>
    </w:p>
    <w:bookmarkEnd w:id="201"/>
    <w:bookmarkStart w:id="203" w:name="ref-agarwal2023"/>
    <w:p>
      <w:pPr>
        <w:pStyle w:val="Bibliography"/>
        <w:spacing w:line="360" w:lineRule="auto"/>
        <w:jc w:val="both"/>
      </w:pPr>
      <w:r>
        <w:t xml:space="preserve">Agarwal, Chirag, Owen Queen, Himabindu Lakkaraju, y Marinka Zitnik. 2023.</w:t>
      </w:r>
      <w:r>
        <w:t xml:space="preserve"> </w:t>
      </w:r>
      <w:r>
        <w:t xml:space="preserve">«Evaluating explainability for graph neural networks»</w:t>
      </w:r>
      <w:r>
        <w:t xml:space="preserve">.</w:t>
      </w:r>
      <w:r>
        <w:t xml:space="preserve"> </w:t>
      </w:r>
      <w:r>
        <w:rPr>
          <w:i/>
          <w:iCs/>
        </w:rPr>
        <w:t xml:space="preserve">Scientific Data</w:t>
      </w:r>
      <w:r>
        <w:t xml:space="preserve"> </w:t>
      </w:r>
      <w:r>
        <w:t xml:space="preserve">10 (1).</w:t>
      </w:r>
      <w:r>
        <w:t xml:space="preserve"> </w:t>
      </w:r>
      <w:hyperlink ns5:id="rId202">
        <w:r>
          <w:rPr>
            <w:rStyle w:val="Hipervnculo"/>
          </w:rPr>
          <w:t xml:space="preserve">https://doi.org/10.1038/s41597-023-01974-x</w:t>
        </w:r>
      </w:hyperlink>
      <w:r>
        <w:t xml:space="preserve">.</w:t>
      </w:r>
    </w:p>
    <w:bookmarkEnd w:id="203"/>
    <w:bookmarkStart w:id="20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w:t>
      </w:r>
      <w:r>
        <w:t xml:space="preserve"> </w:t>
      </w:r>
      <w:r>
        <w:rPr>
          <w:i/>
          <w:iCs/>
        </w:rPr>
        <w:t xml:space="preserve">Advances in Neural Information Processing Systems (NeurIPS)</w:t>
      </w:r>
      <w:r>
        <w:t xml:space="preserve">.</w:t>
      </w:r>
    </w:p>
    <w:bookmarkEnd w:id="204"/>
    <w:bookmarkStart w:id="20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w:t>
      </w:r>
      <w:r>
        <w:t xml:space="preserve"> </w:t>
      </w:r>
      <w:r>
        <w:rPr>
          <w:i/>
          <w:iCs/>
        </w:rPr>
        <w:t xml:space="preserve">Information Fusion</w:t>
      </w:r>
      <w:r>
        <w:t xml:space="preserve"> </w:t>
      </w:r>
      <w:r>
        <w:t xml:space="preserve">99: 101805.</w:t>
      </w:r>
      <w:r>
        <w:t xml:space="preserve"> </w:t>
      </w:r>
      <w:hyperlink ns5:id="rId205">
        <w:r>
          <w:rPr>
            <w:rStyle w:val="Hipervnculo"/>
          </w:rPr>
          <w:t xml:space="preserve">https://doi.org/10.1016/j.inffus.2023.101805</w:t>
        </w:r>
      </w:hyperlink>
      <w:r>
        <w:t xml:space="preserve">.</w:t>
      </w:r>
    </w:p>
    <w:bookmarkEnd w:id="206"/>
    <w:bookmarkStart w:id="208" w:name="ref-alkhateeb2025"/>
    <w:p>
      <w:pPr>
        <w:pStyle w:val="Bibliography"/>
        <w:spacing w:line="360" w:lineRule="auto"/>
        <w:jc w:val="both"/>
      </w:pPr>
      <w:r>
        <w:t xml:space="preserve">Alkhateeb, Banan Mohammad, y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7">
        <w:r>
          <w:rPr>
            <w:rStyle w:val="Hipervnculo"/>
          </w:rPr>
          <w:t xml:space="preserve">https://doi.org/10.1007/978-3-032-06744-9_14</w:t>
        </w:r>
      </w:hyperlink>
      <w:r>
        <w:t xml:space="preserve">.</w:t>
      </w:r>
    </w:p>
    <w:bookmarkEnd w:id="208"/>
    <w:bookmarkStart w:id="210"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w:t>
      </w:r>
      <w:r>
        <w:t xml:space="preserve"> </w:t>
      </w:r>
      <w:r>
        <w:rPr>
          <w:i/>
          <w:iCs/>
        </w:rPr>
        <w:t xml:space="preserve">Annual Review of Statistics and Its Application</w:t>
      </w:r>
      <w:r>
        <w:t xml:space="preserve"> </w:t>
      </w:r>
      <w:r>
        <w:t xml:space="preserve">11 (1): 97-121.</w:t>
      </w:r>
      <w:r>
        <w:t xml:space="preserve"> </w:t>
      </w:r>
      <w:hyperlink ns5:id="rId209">
        <w:r>
          <w:rPr>
            <w:rStyle w:val="Hipervnculo"/>
          </w:rPr>
          <w:t xml:space="preserve">https://doi.org/10.1146/annurev-statistics-040120-030919</w:t>
        </w:r>
      </w:hyperlink>
      <w:r>
        <w:t xml:space="preserve">.</w:t>
      </w:r>
    </w:p>
    <w:bookmarkEnd w:id="210"/>
    <w:bookmarkStart w:id="212"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w:t>
      </w:r>
      <w:r>
        <w:t xml:space="preserve"> </w:t>
      </w:r>
      <w:r>
        <w:rPr>
          <w:i/>
          <w:iCs/>
        </w:rPr>
        <w:t xml:space="preserve">Technologies</w:t>
      </w:r>
      <w:r>
        <w:t xml:space="preserve"> </w:t>
      </w:r>
      <w:r>
        <w:t xml:space="preserve">13 (3): 93.</w:t>
      </w:r>
      <w:r>
        <w:t xml:space="preserve"> </w:t>
      </w:r>
      <w:hyperlink ns5:id="rId211">
        <w:r>
          <w:rPr>
            <w:rStyle w:val="Hipervnculo"/>
          </w:rPr>
          <w:t xml:space="preserve">https://doi.org/10.3390/technologies13030093</w:t>
        </w:r>
      </w:hyperlink>
      <w:r>
        <w:t xml:space="preserve">.</w:t>
      </w:r>
    </w:p>
    <w:bookmarkEnd w:id="212"/>
    <w:bookmarkStart w:id="214" w:name="ref-alvarezmelis2018"/>
    <w:p>
      <w:pPr>
        <w:pStyle w:val="Bibliography"/>
        <w:spacing w:line="360" w:lineRule="auto"/>
        <w:jc w:val="both"/>
      </w:pPr>
      <w:r>
        <w:t xml:space="preserve">Alvarez-Melis, David, y Tommi S. Jaakkola. 2018.</w:t>
      </w:r>
      <w:r>
        <w:t xml:space="preserve"> </w:t>
      </w:r>
      <w:r>
        <w:rPr>
          <w:i/>
          <w:iCs/>
        </w:rPr>
        <w:t xml:space="preserve">On the Robustness of Interpretability Methods</w:t>
      </w:r>
      <w:r>
        <w:t xml:space="preserve">.</w:t>
      </w:r>
      <w:r>
        <w:t xml:space="preserve"> </w:t>
      </w:r>
      <w:hyperlink ns5:id="rId213">
        <w:r>
          <w:rPr>
            <w:rStyle w:val="Hipervnculo"/>
          </w:rPr>
          <w:t xml:space="preserve">https://arxiv.org/abs/1806.08049</w:t>
        </w:r>
      </w:hyperlink>
      <w:r>
        <w:t xml:space="preserve">.</w:t>
      </w:r>
    </w:p>
    <w:bookmarkEnd w:id="214"/>
    <w:bookmarkStart w:id="216"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w:t>
      </w:r>
      <w:r>
        <w:t xml:space="preserve"> </w:t>
      </w:r>
      <w:r>
        <w:rPr>
          <w:i/>
          <w:iCs/>
        </w:rPr>
        <w:t xml:space="preserve">AI Magazine</w:t>
      </w:r>
      <w:r>
        <w:t xml:space="preserve"> </w:t>
      </w:r>
      <w:r>
        <w:t xml:space="preserve">35 (4): 105-20.</w:t>
      </w:r>
      <w:r>
        <w:t xml:space="preserve"> </w:t>
      </w:r>
      <w:hyperlink ns5:id="rId215">
        <w:r>
          <w:rPr>
            <w:rStyle w:val="Hipervnculo"/>
          </w:rPr>
          <w:t xml:space="preserve">https://doi.org/10.1609/aimag.v35i4.2513</w:t>
        </w:r>
      </w:hyperlink>
      <w:r>
        <w:t xml:space="preserve">.</w:t>
      </w:r>
    </w:p>
    <w:bookmarkEnd w:id="216"/>
    <w:bookmarkStart w:id="218"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w:t>
      </w:r>
      <w:r>
        <w:t xml:space="preserve"> </w:t>
      </w:r>
      <w:r>
        <w:rPr>
          <w:i/>
          <w:iCs/>
        </w:rPr>
        <w:t xml:space="preserve">Wiley Interdisciplinary Reviews Data Mining and Knowledge Discovery</w:t>
      </w:r>
      <w:r>
        <w:t xml:space="preserve"> </w:t>
      </w:r>
      <w:r>
        <w:t xml:space="preserve">11 (5).</w:t>
      </w:r>
      <w:r>
        <w:t xml:space="preserve"> </w:t>
      </w:r>
      <w:hyperlink ns5:id="rId217">
        <w:r>
          <w:rPr>
            <w:rStyle w:val="Hipervnculo"/>
          </w:rPr>
          <w:t xml:space="preserve">https://doi.org/10.1002/widm.1424</w:t>
        </w:r>
      </w:hyperlink>
      <w:r>
        <w:t xml:space="preserve">.</w:t>
      </w:r>
    </w:p>
    <w:bookmarkEnd w:id="218"/>
    <w:bookmarkStart w:id="220"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w:t>
      </w:r>
      <w:r>
        <w:t xml:space="preserve"> </w:t>
      </w:r>
      <w:r>
        <w:rPr>
          <w:i/>
          <w:iCs/>
        </w:rPr>
        <w:t xml:space="preserve">Journal of the Royal Statistical Society Series B (Statistical Methodology)</w:t>
      </w:r>
      <w:r>
        <w:t xml:space="preserve"> </w:t>
      </w:r>
      <w:r>
        <w:t xml:space="preserve">82 (4): 1059-86.</w:t>
      </w:r>
      <w:r>
        <w:t xml:space="preserve"> </w:t>
      </w:r>
      <w:hyperlink ns5:id="rId219">
        <w:r>
          <w:rPr>
            <w:rStyle w:val="Hipervnculo"/>
          </w:rPr>
          <w:t xml:space="preserve">https://doi.org/10.1111/rssb.12377</w:t>
        </w:r>
      </w:hyperlink>
      <w:r>
        <w:t xml:space="preserve">.</w:t>
      </w:r>
    </w:p>
    <w:bookmarkEnd w:id="220"/>
    <w:bookmarkStart w:id="222"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w:t>
      </w:r>
      <w:r>
        <w:t xml:space="preserve"> </w:t>
      </w:r>
      <w:r>
        <w:rPr>
          <w:i/>
          <w:iCs/>
        </w:rPr>
        <w:t xml:space="preserve">Information Fusion</w:t>
      </w:r>
      <w:r>
        <w:t xml:space="preserve"> </w:t>
      </w:r>
      <w:r>
        <w:t xml:space="preserve">58: 82-115.</w:t>
      </w:r>
      <w:r>
        <w:t xml:space="preserve"> </w:t>
      </w:r>
      <w:hyperlink ns5:id="rId221">
        <w:r>
          <w:rPr>
            <w:rStyle w:val="Hipervnculo"/>
          </w:rPr>
          <w:t xml:space="preserve">https://doi.org/10.1016/j.inffus.2019.12.012</w:t>
        </w:r>
      </w:hyperlink>
      <w:r>
        <w:t xml:space="preserve">.</w:t>
      </w:r>
    </w:p>
    <w:bookmarkEnd w:id="222"/>
    <w:bookmarkStart w:id="224" w:name="ref-bacardit2024"/>
    <w:p>
      <w:pPr>
        <w:pStyle w:val="Bibliography"/>
        <w:spacing w:line="360" w:lineRule="auto"/>
        <w:jc w:val="both"/>
      </w:pPr>
      <w:r>
        <w:t xml:space="preserve">Bacardit, Jaume, Alexander Brownlee, Stefano Cagnoni, Giovanni Iacca, John McCall, y David Walker. 2024.</w:t>
      </w:r>
      <w:r>
        <w:t xml:space="preserve"> </w:t>
      </w:r>
      <w:r>
        <w:t xml:space="preserve">«Introduction to the Special Issue on Explainable AI in Evolutionary Computation»</w:t>
      </w:r>
      <w:r>
        <w:t xml:space="preserve">.</w:t>
      </w:r>
      <w:r>
        <w:t xml:space="preserve"> </w:t>
      </w:r>
      <w:r>
        <w:rPr>
          <w:i/>
          <w:iCs/>
        </w:rPr>
        <w:t xml:space="preserve">ACM Transactions on Evolutionary Learning and Optimization</w:t>
      </w:r>
      <w:r>
        <w:t xml:space="preserve"> </w:t>
      </w:r>
      <w:r>
        <w:t xml:space="preserve">4 (1): 1-2.</w:t>
      </w:r>
      <w:r>
        <w:t xml:space="preserve"> </w:t>
      </w:r>
      <w:hyperlink ns5:id="rId223">
        <w:r>
          <w:rPr>
            <w:rStyle w:val="Hipervnculo"/>
          </w:rPr>
          <w:t xml:space="preserve">https://doi.org/10.1145/3649144</w:t>
        </w:r>
      </w:hyperlink>
      <w:r>
        <w:t xml:space="preserve">.</w:t>
      </w:r>
    </w:p>
    <w:bookmarkEnd w:id="224"/>
    <w:bookmarkStart w:id="226" w:name="ref-bastings2020"/>
    <w:p>
      <w:pPr>
        <w:pStyle w:val="Bibliography"/>
        <w:spacing w:line="360" w:lineRule="auto"/>
        <w:jc w:val="both"/>
      </w:pPr>
      <w:r>
        <w:t xml:space="preserve">Bastings, Jasmijn, y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5">
        <w:r>
          <w:rPr>
            <w:rStyle w:val="Hipervnculo"/>
          </w:rPr>
          <w:t xml:space="preserve">https://doi.org/10.18653/v1/2020.blackboxnlp-1.14</w:t>
        </w:r>
      </w:hyperlink>
      <w:r>
        <w:t xml:space="preserve">.</w:t>
      </w:r>
    </w:p>
    <w:bookmarkEnd w:id="226"/>
    <w:bookmarkStart w:id="22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w:t>
      </w:r>
      <w:r>
        <w:t xml:space="preserve"> </w:t>
      </w:r>
      <w:r>
        <w:rPr>
          <w:i/>
          <w:iCs/>
        </w:rPr>
        <w:t xml:space="preserve">Frontiers in Big Data</w:t>
      </w:r>
      <w:r>
        <w:t xml:space="preserve"> </w:t>
      </w:r>
      <w:r>
        <w:t xml:space="preserve">4.</w:t>
      </w:r>
      <w:r>
        <w:t xml:space="preserve"> </w:t>
      </w:r>
      <w:hyperlink ns5:id="rId227">
        <w:r>
          <w:rPr>
            <w:rStyle w:val="Hipervnculo"/>
          </w:rPr>
          <w:t xml:space="preserve">https://doi.org/10.3389/fdata.2021.688969</w:t>
        </w:r>
      </w:hyperlink>
      <w:r>
        <w:t xml:space="preserve">.</w:t>
      </w:r>
    </w:p>
    <w:bookmarkEnd w:id="228"/>
    <w:bookmarkStart w:id="230"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w:t>
      </w:r>
      <w:r>
        <w:t xml:space="preserve"> </w:t>
      </w:r>
      <w:r>
        <w:rPr>
          <w:i/>
          <w:iCs/>
        </w:rPr>
        <w:t xml:space="preserve">ACM Computing Surveys</w:t>
      </w:r>
      <w:r>
        <w:t xml:space="preserve"> </w:t>
      </w:r>
      <w:r>
        <w:t xml:space="preserve">57 (2): 1-44.</w:t>
      </w:r>
      <w:r>
        <w:t xml:space="preserve"> </w:t>
      </w:r>
      <w:hyperlink ns5:id="rId229">
        <w:r>
          <w:rPr>
            <w:rStyle w:val="Hipervnculo"/>
          </w:rPr>
          <w:t xml:space="preserve">https://doi.org/10.1145/3670685</w:t>
        </w:r>
      </w:hyperlink>
      <w:r>
        <w:t xml:space="preserve">.</w:t>
      </w:r>
    </w:p>
    <w:bookmarkEnd w:id="230"/>
    <w:bookmarkStart w:id="232" w:name="ref-bhat2024"/>
    <w:p>
      <w:pPr>
        <w:pStyle w:val="Bibliography"/>
        <w:spacing w:line="360" w:lineRule="auto"/>
        <w:jc w:val="both"/>
      </w:pPr>
      <w:r>
        <w:t xml:space="preserve">Bhat, Maalvika, y Duri Long. 2024.</w:t>
      </w:r>
      <w:r>
        <w:t xml:space="preserve"> </w:t>
      </w:r>
      <w:r>
        <w:t xml:space="preserve">«Designing Interactive Explainable AI Tools for Algorithmic Literacy and Transparency»</w:t>
      </w:r>
      <w:r>
        <w:t xml:space="preserve">.</w:t>
      </w:r>
      <w:r>
        <w:t xml:space="preserve"> </w:t>
      </w:r>
      <w:r>
        <w:rPr>
          <w:i/>
          <w:iCs/>
        </w:rPr>
        <w:t xml:space="preserve">Designing Interactive Systems Conference</w:t>
      </w:r>
      <w:r>
        <w:t xml:space="preserve">, 939-57.</w:t>
      </w:r>
      <w:r>
        <w:t xml:space="preserve"> </w:t>
      </w:r>
      <w:hyperlink ns5:id="rId231">
        <w:r>
          <w:rPr>
            <w:rStyle w:val="Hipervnculo"/>
          </w:rPr>
          <w:t xml:space="preserve">https://doi.org/10.1145/3643834.3660722</w:t>
        </w:r>
      </w:hyperlink>
      <w:r>
        <w:t xml:space="preserve">.</w:t>
      </w:r>
    </w:p>
    <w:bookmarkEnd w:id="232"/>
    <w:bookmarkStart w:id="234" w:name="ref-bhattacharya2024"/>
    <w:p>
      <w:pPr>
        <w:pStyle w:val="Bibliography"/>
        <w:spacing w:line="360" w:lineRule="auto"/>
        <w:jc w:val="both"/>
      </w:pPr>
      <w:r>
        <w:t xml:space="preserve">Bhattacharya, A., y K. Verbert. 2024.</w:t>
      </w:r>
      <w:r>
        <w:t xml:space="preserve"> </w:t>
      </w:r>
      <w:r>
        <w:t xml:space="preserve">«How Good Is Your Explanation?: Towards a Standardised Evaluation Approach for Diverse XAI Methods on Multiple Dimensions of Explainability»</w:t>
      </w:r>
      <w:r>
        <w:t xml:space="preserve">.</w:t>
      </w:r>
      <w:r>
        <w:t xml:space="preserve"> </w:t>
      </w:r>
      <w:r>
        <w:rPr>
          <w:i/>
          <w:iCs/>
        </w:rPr>
        <w:t xml:space="preserve">Proceedings of the 32nd ACM Conference on User Modeling, Adaptation and Personalization (UMAP Adjunct ’24)</w:t>
      </w:r>
      <w:r>
        <w:t xml:space="preserve">.</w:t>
      </w:r>
      <w:r>
        <w:t xml:space="preserve"> </w:t>
      </w:r>
      <w:hyperlink ns5:id="rId233">
        <w:r>
          <w:rPr>
            <w:rStyle w:val="Hipervnculo"/>
          </w:rPr>
          <w:t xml:space="preserve">https://doi.org/10.1145/3631700.3664911</w:t>
        </w:r>
      </w:hyperlink>
      <w:r>
        <w:t xml:space="preserve">.</w:t>
      </w:r>
    </w:p>
    <w:bookmarkEnd w:id="234"/>
    <w:bookmarkStart w:id="236" w:name="ref-bobitan2024"/>
    <w:p>
      <w:pPr>
        <w:pStyle w:val="Bibliography"/>
        <w:spacing w:line="360" w:lineRule="auto"/>
        <w:jc w:val="both"/>
      </w:pPr>
      <w:r>
        <w:t xml:space="preserve">Bobitan, Nicolae, Diana Dumitrescu, Adriana Florina Popa, Daniela Nicoleta Sahlian, y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w:t>
      </w:r>
      <w:r>
        <w:t xml:space="preserve"> </w:t>
      </w:r>
      <w:r>
        <w:rPr>
          <w:i/>
          <w:iCs/>
        </w:rPr>
        <w:t xml:space="preserve">Electronics</w:t>
      </w:r>
      <w:r>
        <w:t xml:space="preserve"> </w:t>
      </w:r>
      <w:r>
        <w:t xml:space="preserve">13 (11): 2198.</w:t>
      </w:r>
      <w:r>
        <w:t xml:space="preserve"> </w:t>
      </w:r>
      <w:hyperlink ns5:id="rId235">
        <w:r>
          <w:rPr>
            <w:rStyle w:val="Hipervnculo"/>
          </w:rPr>
          <w:t xml:space="preserve">https://doi.org/10.3390/electronics13112198</w:t>
        </w:r>
      </w:hyperlink>
      <w:r>
        <w:t xml:space="preserve">.</w:t>
      </w:r>
    </w:p>
    <w:bookmarkEnd w:id="236"/>
    <w:bookmarkStart w:id="238" w:name="ref-breiman2001"/>
    <w:p>
      <w:pPr>
        <w:pStyle w:val="Bibliography"/>
        <w:spacing w:line="360" w:lineRule="auto"/>
        <w:jc w:val="both"/>
      </w:pPr>
      <w:r>
        <w:t xml:space="preserve">Breiman, L. 2001.</w:t>
      </w:r>
      <w:r>
        <w:t xml:space="preserve"> </w:t>
      </w:r>
      <w:r>
        <w:t xml:space="preserve">«Random forests»</w:t>
      </w:r>
      <w:r>
        <w:t xml:space="preserve">.</w:t>
      </w:r>
      <w:r>
        <w:t xml:space="preserve"> </w:t>
      </w:r>
      <w:r>
        <w:rPr>
          <w:i/>
          <w:iCs/>
        </w:rPr>
        <w:t xml:space="preserve">Machine Learning</w:t>
      </w:r>
      <w:r>
        <w:t xml:space="preserve"> </w:t>
      </w:r>
      <w:r>
        <w:t xml:space="preserve">45 (1): 5-32.</w:t>
      </w:r>
      <w:r>
        <w:t xml:space="preserve"> </w:t>
      </w:r>
      <w:hyperlink ns5:id="rId237">
        <w:r>
          <w:rPr>
            <w:rStyle w:val="Hipervnculo"/>
          </w:rPr>
          <w:t xml:space="preserve">https://doi.org/10.1023/a:1010933404324</w:t>
        </w:r>
      </w:hyperlink>
      <w:r>
        <w:t xml:space="preserve">.</w:t>
      </w:r>
    </w:p>
    <w:bookmarkEnd w:id="238"/>
    <w:bookmarkStart w:id="240" w:name="ref-brown2024"/>
    <w:p>
      <w:pPr>
        <w:pStyle w:val="Bibliography"/>
        <w:spacing w:line="360" w:lineRule="auto"/>
        <w:jc w:val="both"/>
      </w:pPr>
      <w:r>
        <w:t xml:space="preserve">Brown, Dene, y Glenn Hawe. 2024.</w:t>
      </w:r>
      <w:r>
        <w:t xml:space="preserve"> </w:t>
      </w:r>
      <w:r>
        <w:t xml:space="preserve">«Exploring Trade-offs in Explainable AI»</w:t>
      </w:r>
      <w:r>
        <w:t xml:space="preserve">.</w:t>
      </w:r>
      <w:r>
        <w:t xml:space="preserve"> </w:t>
      </w:r>
      <w:r>
        <w:rPr>
          <w:i/>
          <w:iCs/>
        </w:rPr>
        <w:t xml:space="preserve">ACM SIGAda Ada Letters</w:t>
      </w:r>
      <w:r>
        <w:t xml:space="preserve"> </w:t>
      </w:r>
      <w:r>
        <w:t xml:space="preserve">43 (2): 36-42.</w:t>
      </w:r>
      <w:r>
        <w:t xml:space="preserve"> </w:t>
      </w:r>
      <w:hyperlink ns5:id="rId239">
        <w:r>
          <w:rPr>
            <w:rStyle w:val="Hipervnculo"/>
          </w:rPr>
          <w:t xml:space="preserve">https://doi.org/10.1145/3672359.3672363</w:t>
        </w:r>
      </w:hyperlink>
      <w:r>
        <w:t xml:space="preserve">.</w:t>
      </w:r>
    </w:p>
    <w:bookmarkEnd w:id="240"/>
    <w:bookmarkStart w:id="242" w:name="ref-burger2023"/>
    <w:p>
      <w:pPr>
        <w:pStyle w:val="Bibliography"/>
        <w:spacing w:line="360" w:lineRule="auto"/>
        <w:jc w:val="both"/>
      </w:pPr>
      <w:r>
        <w:t xml:space="preserve">Burger, Christopher, Lingwei Chen, y Thai Le. 2023.</w:t>
      </w:r>
      <w:r>
        <w:t xml:space="preserve"> </w:t>
      </w:r>
      <w:r>
        <w:t xml:space="preserve">«Are Your Explanations Reliable? Investigating the Stability of LIME in Explaining Text Classifiers by Marrying XAI and Adversarial Attack»</w:t>
      </w:r>
      <w:r>
        <w:t xml:space="preserve">.</w:t>
      </w:r>
      <w:r>
        <w:t xml:space="preserve"> </w:t>
      </w:r>
      <w:r>
        <w:rPr>
          <w:i/>
          <w:iCs/>
        </w:rPr>
        <w:t xml:space="preserve">Proceedings of the 2023 Conference on Empirical Methods in Natural Language Processing</w:t>
      </w:r>
      <w:r>
        <w:t xml:space="preserve">, 12931-44.</w:t>
      </w:r>
      <w:r>
        <w:t xml:space="preserve"> </w:t>
      </w:r>
      <w:hyperlink ns5:id="rId241">
        <w:r>
          <w:rPr>
            <w:rStyle w:val="Hipervnculo"/>
          </w:rPr>
          <w:t xml:space="preserve">https://doi.org/10.18653/v1/2023.emnlp-main.792</w:t>
        </w:r>
      </w:hyperlink>
      <w:r>
        <w:t xml:space="preserve">.</w:t>
      </w:r>
    </w:p>
    <w:bookmarkEnd w:id="242"/>
    <w:bookmarkStart w:id="244" w:name="ref-canha2025"/>
    <w:p>
      <w:pPr>
        <w:pStyle w:val="Bibliography"/>
        <w:spacing w:line="360" w:lineRule="auto"/>
        <w:jc w:val="both"/>
      </w:pPr>
      <w:r>
        <w:t xml:space="preserve">Canha, D., S. Kubler, K. Främling, y G. Fagherazzi. 2025.</w:t>
      </w:r>
      <w:r>
        <w:t xml:space="preserve"> </w:t>
      </w:r>
      <w:r>
        <w:t xml:space="preserve">«A Functionally-Grounded Benchmark Framework for XAI Methods: Insights and Foundations from a Systematic Literature Review»</w:t>
      </w:r>
      <w:r>
        <w:t xml:space="preserve">.</w:t>
      </w:r>
      <w:r>
        <w:t xml:space="preserve"> </w:t>
      </w:r>
      <w:r>
        <w:rPr>
          <w:i/>
          <w:iCs/>
        </w:rPr>
        <w:t xml:space="preserve">ACM Computing Surveys</w:t>
      </w:r>
      <w:r>
        <w:t xml:space="preserve"> </w:t>
      </w:r>
      <w:r>
        <w:t xml:space="preserve">57 (12).</w:t>
      </w:r>
      <w:r>
        <w:t xml:space="preserve"> </w:t>
      </w:r>
      <w:hyperlink ns5:id="rId243">
        <w:r>
          <w:rPr>
            <w:rStyle w:val="Hipervnculo"/>
          </w:rPr>
          <w:t xml:space="preserve">https://doi.org/10.1145/3737445</w:t>
        </w:r>
      </w:hyperlink>
      <w:r>
        <w:t xml:space="preserve">.</w:t>
      </w:r>
    </w:p>
    <w:bookmarkEnd w:id="244"/>
    <w:bookmarkStart w:id="246" w:name="ref-carvalho2019"/>
    <w:p>
      <w:pPr>
        <w:pStyle w:val="Bibliography"/>
        <w:spacing w:line="360" w:lineRule="auto"/>
        <w:jc w:val="both"/>
      </w:pPr>
      <w:r>
        <w:t xml:space="preserve">Carvalho, Diogo V., Eduardo M. Pereira, y Jaime S. Cardoso. 2019.</w:t>
      </w:r>
      <w:r>
        <w:t xml:space="preserve"> </w:t>
      </w:r>
      <w:r>
        <w:t xml:space="preserve">«Machine Learning Interpretability: A Survey on Methods and Metrics»</w:t>
      </w:r>
      <w:r>
        <w:t xml:space="preserve">.</w:t>
      </w:r>
      <w:r>
        <w:t xml:space="preserve"> </w:t>
      </w:r>
      <w:r>
        <w:rPr>
          <w:i/>
          <w:iCs/>
        </w:rPr>
        <w:t xml:space="preserve">Electronics</w:t>
      </w:r>
      <w:r>
        <w:t xml:space="preserve"> </w:t>
      </w:r>
      <w:r>
        <w:t xml:space="preserve">8 (8): 832.</w:t>
      </w:r>
      <w:r>
        <w:t xml:space="preserve"> </w:t>
      </w:r>
      <w:hyperlink ns5:id="rId245">
        <w:r>
          <w:rPr>
            <w:rStyle w:val="Hipervnculo"/>
          </w:rPr>
          <w:t xml:space="preserve">https://doi.org/10.3390/electronics8080832</w:t>
        </w:r>
      </w:hyperlink>
      <w:r>
        <w:t xml:space="preserve">.</w:t>
      </w:r>
    </w:p>
    <w:bookmarkEnd w:id="246"/>
    <w:bookmarkStart w:id="248" w:name="ref-choudhari2025"/>
    <w:p>
      <w:pPr>
        <w:pStyle w:val="Bibliography"/>
        <w:spacing w:line="360" w:lineRule="auto"/>
        <w:jc w:val="both"/>
      </w:pPr>
      <w:r>
        <w:t xml:space="preserve">Choudhari, Anaya, Tejal Ambhore, y Ninad Mehendale. 2025.</w:t>
      </w:r>
      <w:r>
        <w:t xml:space="preserve"> </w:t>
      </w:r>
      <w:r>
        <w:rPr>
          <w:i/>
          <w:iCs/>
        </w:rPr>
        <w:t xml:space="preserve">Explainable AI: Bridging the Gap Between Machine Intelligence and Human Understanding</w:t>
      </w:r>
      <w:r>
        <w:t xml:space="preserve">. Elsevier BV.</w:t>
      </w:r>
      <w:r>
        <w:t xml:space="preserve"> </w:t>
      </w:r>
      <w:hyperlink ns5:id="rId247">
        <w:r>
          <w:rPr>
            <w:rStyle w:val="Hipervnculo"/>
          </w:rPr>
          <w:t xml:space="preserve">https://doi.org/10.2139/ssrn.5040613</w:t>
        </w:r>
      </w:hyperlink>
      <w:r>
        <w:t xml:space="preserve">.</w:t>
      </w:r>
    </w:p>
    <w:bookmarkEnd w:id="248"/>
    <w:bookmarkStart w:id="250" w:name="ref-cohen1960"/>
    <w:p>
      <w:pPr>
        <w:pStyle w:val="Bibliography"/>
        <w:spacing w:line="360" w:lineRule="auto"/>
        <w:jc w:val="both"/>
      </w:pPr>
      <w:r>
        <w:t xml:space="preserve">Cohen, J. 1960.</w:t>
      </w:r>
      <w:r>
        <w:t xml:space="preserve"> </w:t>
      </w:r>
      <w:r>
        <w:t xml:space="preserve">«A coefficient of agreement for nominal scales»</w:t>
      </w:r>
      <w:r>
        <w:t xml:space="preserve">.</w:t>
      </w:r>
      <w:r>
        <w:t xml:space="preserve"> </w:t>
      </w:r>
      <w:r>
        <w:rPr>
          <w:i/>
          <w:iCs/>
        </w:rPr>
        <w:t xml:space="preserve">Educational and Psychological Measurement</w:t>
      </w:r>
      <w:r>
        <w:t xml:space="preserve"> </w:t>
      </w:r>
      <w:r>
        <w:t xml:space="preserve">20 (1): 37-46.</w:t>
      </w:r>
      <w:r>
        <w:t xml:space="preserve"> </w:t>
      </w:r>
      <w:hyperlink ns5:id="rId249">
        <w:r>
          <w:rPr>
            <w:rStyle w:val="Hipervnculo"/>
          </w:rPr>
          <w:t xml:space="preserve">https://doi.org/10.1177/001316446002000104</w:t>
        </w:r>
      </w:hyperlink>
      <w:r>
        <w:t xml:space="preserve">.</w:t>
      </w:r>
    </w:p>
    <w:bookmarkEnd w:id="250"/>
    <w:bookmarkStart w:id="252" w:name="ref-colley2023"/>
    <w:p>
      <w:pPr>
        <w:pStyle w:val="Bibliography"/>
        <w:spacing w:line="360" w:lineRule="auto"/>
        <w:jc w:val="both"/>
      </w:pPr>
      <w:r>
        <w:t xml:space="preserve">Colley, Ashley, Matilda Kalving, Jonna Häkkilä, y Kaisa Väänänen. 2023.</w:t>
      </w:r>
      <w:r>
        <w:t xml:space="preserve"> </w:t>
      </w:r>
      <w:r>
        <w:t xml:space="preserve">«Exploring Tangible Explainable AI (TangXAI): A User Study of Two XAI Approaches»</w:t>
      </w:r>
      <w:r>
        <w:t xml:space="preserve">.</w:t>
      </w:r>
      <w:r>
        <w:t xml:space="preserve"> </w:t>
      </w:r>
      <w:r>
        <w:rPr>
          <w:i/>
          <w:iCs/>
        </w:rPr>
        <w:t xml:space="preserve">Proceedings of the 35th Australian Computer-Human Interaction Conference</w:t>
      </w:r>
      <w:r>
        <w:t xml:space="preserve">, 679-83.</w:t>
      </w:r>
      <w:r>
        <w:t xml:space="preserve"> </w:t>
      </w:r>
      <w:hyperlink ns5:id="rId251">
        <w:r>
          <w:rPr>
            <w:rStyle w:val="Hipervnculo"/>
          </w:rPr>
          <w:t xml:space="preserve">https://doi.org/10.1145/3638380.3638426</w:t>
        </w:r>
      </w:hyperlink>
      <w:r>
        <w:t xml:space="preserve">.</w:t>
      </w:r>
    </w:p>
    <w:bookmarkEnd w:id="252"/>
    <w:bookmarkStart w:id="254" w:name="ref-cunha2024"/>
    <w:p>
      <w:pPr>
        <w:pStyle w:val="Bibliography"/>
        <w:spacing w:line="360" w:lineRule="auto"/>
        <w:jc w:val="both"/>
      </w:pPr>
      <w:r>
        <w:t xml:space="preserve">Cunha, Bianca Moreira, y Simone Diniz Junqueira Barbosa. 2024.</w:t>
      </w:r>
      <w:r>
        <w:t xml:space="preserve"> </w:t>
      </w:r>
      <w:r>
        <w:t xml:space="preserve">«Evaluating the Effectiveness of Visual Representations of SHAP Values Toward Explainable Artificial Intelligence»</w:t>
      </w:r>
      <w:r>
        <w:t xml:space="preserve">.</w:t>
      </w:r>
      <w:r>
        <w:t xml:space="preserve"> </w:t>
      </w:r>
      <w:r>
        <w:rPr>
          <w:i/>
          <w:iCs/>
        </w:rPr>
        <w:t xml:space="preserve">Proceedings of the XXIII Brazilian Symposium on Human Factors in Computing Systems</w:t>
      </w:r>
      <w:r>
        <w:t xml:space="preserve">, 1-11.</w:t>
      </w:r>
      <w:r>
        <w:t xml:space="preserve"> </w:t>
      </w:r>
      <w:hyperlink ns5:id="rId253">
        <w:r>
          <w:rPr>
            <w:rStyle w:val="Hipervnculo"/>
          </w:rPr>
          <w:t xml:space="preserve">https://doi.org/10.1145/3702038.3702093</w:t>
        </w:r>
      </w:hyperlink>
      <w:r>
        <w:t xml:space="preserve">.</w:t>
      </w:r>
    </w:p>
    <w:bookmarkEnd w:id="254"/>
    <w:bookmarkStart w:id="256"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w:t>
      </w:r>
      <w:r>
        <w:t xml:space="preserve"> </w:t>
      </w:r>
      <w:r>
        <w:rPr>
          <w:i/>
          <w:iCs/>
        </w:rPr>
        <w:t xml:space="preserve">Journal of Machine Learning Research</w:t>
      </w:r>
      <w:r>
        <w:t xml:space="preserve"> </w:t>
      </w:r>
      <w:r>
        <w:t xml:space="preserve">7: 1-30.</w:t>
      </w:r>
      <w:r>
        <w:t xml:space="preserve"> </w:t>
      </w:r>
      <w:hyperlink ns5:id="rId255">
        <w:r>
          <w:rPr>
            <w:rStyle w:val="Hipervnculo"/>
          </w:rPr>
          <w:t xml:space="preserve">https://www.jmlr.org/papers/v7/demsar06a.html</w:t>
        </w:r>
      </w:hyperlink>
      <w:r>
        <w:t xml:space="preserve">.</w:t>
      </w:r>
    </w:p>
    <w:bookmarkEnd w:id="256"/>
    <w:bookmarkStart w:id="258"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w:t>
      </w:r>
      <w:r>
        <w:t xml:space="preserve"> </w:t>
      </w:r>
      <w:r>
        <w:rPr>
          <w:i/>
          <w:iCs/>
        </w:rPr>
        <w:t xml:space="preserve">arXiv (Cornell University)</w:t>
      </w:r>
      <w:r>
        <w:t xml:space="preserve">, advance online publication.</w:t>
      </w:r>
      <w:r>
        <w:t xml:space="preserve"> </w:t>
      </w:r>
      <w:hyperlink ns5:id="rId257">
        <w:r>
          <w:rPr>
            <w:rStyle w:val="Hipervnculo"/>
          </w:rPr>
          <w:t xml:space="preserve">https://doi.org/10.48550/arxiv.1702.08608</w:t>
        </w:r>
      </w:hyperlink>
      <w:r>
        <w:t xml:space="preserve">.</w:t>
      </w:r>
    </w:p>
    <w:bookmarkEnd w:id="258"/>
    <w:bookmarkStart w:id="260" w:name="ref-dua2019uci"/>
    <w:p>
      <w:pPr>
        <w:pStyle w:val="Bibliography"/>
        <w:spacing w:line="360" w:lineRule="auto"/>
        <w:jc w:val="both"/>
      </w:pPr>
      <w:r>
        <w:t xml:space="preserve">Dua, Dheeru, y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59">
        <w:r>
          <w:rPr>
            <w:rStyle w:val="Hipervnculo"/>
          </w:rPr>
          <w:t xml:space="preserve">http://archive.ics.uci.edu/ml</w:t>
        </w:r>
      </w:hyperlink>
      <w:r>
        <w:t xml:space="preserve">.</w:t>
      </w:r>
    </w:p>
    <w:bookmarkEnd w:id="260"/>
    <w:bookmarkStart w:id="262"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w:t>
      </w:r>
      <w:r>
        <w:t xml:space="preserve"> </w:t>
      </w:r>
      <w:r>
        <w:rPr>
          <w:i/>
          <w:iCs/>
        </w:rPr>
        <w:t xml:space="preserve">ACM Computing Surveys</w:t>
      </w:r>
      <w:r>
        <w:t xml:space="preserve"> </w:t>
      </w:r>
      <w:r>
        <w:t xml:space="preserve">55 (9): 1-33.</w:t>
      </w:r>
      <w:r>
        <w:t xml:space="preserve"> </w:t>
      </w:r>
      <w:hyperlink ns5:id="rId261">
        <w:r>
          <w:rPr>
            <w:rStyle w:val="Hipervnculo"/>
          </w:rPr>
          <w:t xml:space="preserve">https://doi.org/10.1145/3561048</w:t>
        </w:r>
      </w:hyperlink>
      <w:r>
        <w:t xml:space="preserve">.</w:t>
      </w:r>
    </w:p>
    <w:bookmarkEnd w:id="262"/>
    <w:bookmarkStart w:id="264" w:name="ref-ehsan2024"/>
    <w:p>
      <w:pPr>
        <w:pStyle w:val="Bibliography"/>
        <w:spacing w:line="360" w:lineRule="auto"/>
        <w:jc w:val="both"/>
      </w:pPr>
      <w:r>
        <w:t xml:space="preserve">Ehsan, Upol, y Mark Riedl. 2024.</w:t>
      </w:r>
      <w:r>
        <w:t xml:space="preserve"> </w:t>
      </w:r>
      <w:r>
        <w:t xml:space="preserve">«Explainable AI Reloaded: Challenging the XAI Status Quo in the Era of Large Language Models»</w:t>
      </w:r>
      <w:r>
        <w:t xml:space="preserve">.</w:t>
      </w:r>
      <w:r>
        <w:t xml:space="preserve"> </w:t>
      </w:r>
      <w:r>
        <w:rPr>
          <w:i/>
          <w:iCs/>
        </w:rPr>
        <w:t xml:space="preserve">Proceedings of the Halfway to the Future Symposium</w:t>
      </w:r>
      <w:r>
        <w:t xml:space="preserve">, 1-8.</w:t>
      </w:r>
      <w:r>
        <w:t xml:space="preserve"> </w:t>
      </w:r>
      <w:hyperlink ns5:id="rId263">
        <w:r>
          <w:rPr>
            <w:rStyle w:val="Hipervnculo"/>
          </w:rPr>
          <w:t xml:space="preserve">https://doi.org/10.1145/3686169.3686185</w:t>
        </w:r>
      </w:hyperlink>
      <w:r>
        <w:t xml:space="preserve">.</w:t>
      </w:r>
    </w:p>
    <w:bookmarkEnd w:id="264"/>
    <w:bookmarkStart w:id="266"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w:t>
      </w:r>
      <w:r>
        <w:t xml:space="preserve"> </w:t>
      </w:r>
      <w:r>
        <w:rPr>
          <w:i/>
          <w:iCs/>
        </w:rPr>
        <w:t xml:space="preserve">Extended Abstracts of the 2023 CHI Conference on Human Factors in Computing Systems</w:t>
      </w:r>
      <w:r>
        <w:t xml:space="preserve">, 1-7.</w:t>
      </w:r>
      <w:r>
        <w:t xml:space="preserve"> </w:t>
      </w:r>
      <w:hyperlink ns5:id="rId265">
        <w:r>
          <w:rPr>
            <w:rStyle w:val="Hipervnculo"/>
          </w:rPr>
          <w:t xml:space="preserve">https://doi.org/10.1145/3544549.3573832</w:t>
        </w:r>
      </w:hyperlink>
      <w:r>
        <w:t xml:space="preserve">.</w:t>
      </w:r>
    </w:p>
    <w:bookmarkEnd w:id="266"/>
    <w:bookmarkStart w:id="268" w:name="ref-fan2026"/>
    <w:p>
      <w:pPr>
        <w:pStyle w:val="Bibliography"/>
        <w:spacing w:line="360" w:lineRule="auto"/>
        <w:jc w:val="both"/>
      </w:pPr>
      <w:r>
        <w:t xml:space="preserve">Fan, Siyuan, Derui Zhu, y Zhe Yu. 2026.</w:t>
      </w:r>
      <w:r>
        <w:t xml:space="preserve"> </w:t>
      </w:r>
      <w:r>
        <w:rPr>
          <w:i/>
          <w:iCs/>
        </w:rPr>
        <w:t xml:space="preserve">A Systematic Literature Review of Explainability-Based Model Editing</w:t>
      </w:r>
      <w:r>
        <w:t xml:space="preserve">. Elsevier BV.</w:t>
      </w:r>
      <w:r>
        <w:t xml:space="preserve"> </w:t>
      </w:r>
      <w:hyperlink ns5:id="rId267">
        <w:r>
          <w:rPr>
            <w:rStyle w:val="Hipervnculo"/>
          </w:rPr>
          <w:t xml:space="preserve">https://doi.org/10.2139/ssrn.6847479</w:t>
        </w:r>
      </w:hyperlink>
      <w:r>
        <w:t xml:space="preserve">.</w:t>
      </w:r>
    </w:p>
    <w:bookmarkEnd w:id="268"/>
    <w:bookmarkStart w:id="270" w:name="ref-feldkamp2023"/>
    <w:p>
      <w:pPr>
        <w:pStyle w:val="Bibliography"/>
        <w:spacing w:line="360" w:lineRule="auto"/>
        <w:jc w:val="both"/>
      </w:pPr>
      <w:r>
        <w:t xml:space="preserve">Feldkamp, Niclas, y Steffen Strassburger. 2023.</w:t>
      </w:r>
      <w:r>
        <w:t xml:space="preserve"> </w:t>
      </w:r>
      <w:r>
        <w:t xml:space="preserve">«From Explainable AI to Explainable Simulation: Using Machine Learning and XAI to understand System Robustness»</w:t>
      </w:r>
      <w:r>
        <w:t xml:space="preserve">.</w:t>
      </w:r>
      <w:r>
        <w:t xml:space="preserve"> </w:t>
      </w:r>
      <w:r>
        <w:rPr>
          <w:i/>
          <w:iCs/>
        </w:rPr>
        <w:t xml:space="preserve">ACM SIGSIM Conference on Principles of Advanced Discrete Simulation</w:t>
      </w:r>
      <w:r>
        <w:t xml:space="preserve">, 96-106.</w:t>
      </w:r>
      <w:r>
        <w:t xml:space="preserve"> </w:t>
      </w:r>
      <w:hyperlink ns5:id="rId269">
        <w:r>
          <w:rPr>
            <w:rStyle w:val="Hipervnculo"/>
          </w:rPr>
          <w:t xml:space="preserve">https://doi.org/10.1145/3573900.3591114</w:t>
        </w:r>
      </w:hyperlink>
      <w:r>
        <w:t xml:space="preserve">.</w:t>
      </w:r>
    </w:p>
    <w:bookmarkEnd w:id="270"/>
    <w:bookmarkStart w:id="271" w:name="ref-fisher2019"/>
    <w:p>
      <w:pPr>
        <w:pStyle w:val="Bibliography"/>
        <w:spacing w:line="360" w:lineRule="auto"/>
        <w:jc w:val="both"/>
      </w:pPr>
      <w:r>
        <w:t xml:space="preserve">Fisher, Aaron, Cynthia Rudin, y Francesca Dominici. 2019.</w:t>
      </w:r>
      <w:r>
        <w:t xml:space="preserve"> </w:t>
      </w:r>
      <w:r>
        <w:t xml:space="preserve">«All Models are Wrong, but Many are Useful: Learning a Variable’s Importance by Studying an Entire Class of Prediction Models Simultaneously»</w:t>
      </w:r>
      <w:r>
        <w:t xml:space="preserve">.</w:t>
      </w:r>
      <w:r>
        <w:t xml:space="preserve"> </w:t>
      </w:r>
      <w:r>
        <w:rPr>
          <w:i/>
          <w:iCs/>
        </w:rPr>
        <w:t xml:space="preserve">Journal of Machine Learning Research</w:t>
      </w:r>
      <w:r>
        <w:t xml:space="preserve">.</w:t>
      </w:r>
    </w:p>
    <w:bookmarkEnd w:id="271"/>
    <w:bookmarkStart w:id="273"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w:t>
      </w:r>
      <w:r>
        <w:t xml:space="preserve"> </w:t>
      </w:r>
      <w:r>
        <w:rPr>
          <w:i/>
          <w:iCs/>
        </w:rPr>
        <w:t xml:space="preserve">Minds and Machines</w:t>
      </w:r>
      <w:r>
        <w:t xml:space="preserve"> </w:t>
      </w:r>
      <w:r>
        <w:t xml:space="preserve">28 (4): 689-707.</w:t>
      </w:r>
      <w:r>
        <w:t xml:space="preserve"> </w:t>
      </w:r>
      <w:hyperlink ns5:id="rId272">
        <w:r>
          <w:rPr>
            <w:rStyle w:val="Hipervnculo"/>
          </w:rPr>
          <w:t xml:space="preserve">https://doi.org/10.1007/s11023-018-9482-5</w:t>
        </w:r>
      </w:hyperlink>
      <w:r>
        <w:t xml:space="preserve">.</w:t>
      </w:r>
    </w:p>
    <w:bookmarkEnd w:id="273"/>
    <w:bookmarkStart w:id="275" w:name="ref-friedman2008"/>
    <w:p>
      <w:pPr>
        <w:pStyle w:val="Bibliography"/>
        <w:spacing w:line="360" w:lineRule="auto"/>
        <w:jc w:val="both"/>
      </w:pPr>
      <w:r>
        <w:t xml:space="preserve">Friedman, &amp; Popescu, J. H. 2008.</w:t>
      </w:r>
      <w:r>
        <w:t xml:space="preserve"> </w:t>
      </w:r>
      <w:r>
        <w:t xml:space="preserve">«Predictive learning via rule ensembles»</w:t>
      </w:r>
      <w:r>
        <w:t xml:space="preserve">.</w:t>
      </w:r>
      <w:r>
        <w:t xml:space="preserve"> </w:t>
      </w:r>
      <w:r>
        <w:rPr>
          <w:i/>
          <w:iCs/>
        </w:rPr>
        <w:t xml:space="preserve">The Annals of Applied Statistics</w:t>
      </w:r>
      <w:r>
        <w:t xml:space="preserve"> </w:t>
      </w:r>
      <w:r>
        <w:t xml:space="preserve">2 (3).</w:t>
      </w:r>
      <w:r>
        <w:t xml:space="preserve"> </w:t>
      </w:r>
      <w:hyperlink ns5:id="rId274">
        <w:r>
          <w:rPr>
            <w:rStyle w:val="Hipervnculo"/>
          </w:rPr>
          <w:t xml:space="preserve">https://doi.org/10.1214/07-aoas148</w:t>
        </w:r>
      </w:hyperlink>
      <w:r>
        <w:t xml:space="preserve">.</w:t>
      </w:r>
    </w:p>
    <w:bookmarkEnd w:id="275"/>
    <w:bookmarkStart w:id="277"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w:t>
      </w:r>
      <w:r>
        <w:t xml:space="preserve"> </w:t>
      </w:r>
      <w:r>
        <w:rPr>
          <w:i/>
          <w:iCs/>
        </w:rPr>
        <w:t xml:space="preserve">The Annals of Statistics</w:t>
      </w:r>
      <w:r>
        <w:t xml:space="preserve"> </w:t>
      </w:r>
      <w:r>
        <w:t xml:space="preserve">29 (5).</w:t>
      </w:r>
      <w:r>
        <w:t xml:space="preserve"> </w:t>
      </w:r>
      <w:hyperlink ns5:id="rId276">
        <w:r>
          <w:rPr>
            <w:rStyle w:val="Hipervnculo"/>
          </w:rPr>
          <w:t xml:space="preserve">https://doi.org/10.1214/aos/1013203451</w:t>
        </w:r>
      </w:hyperlink>
      <w:r>
        <w:t xml:space="preserve">.</w:t>
      </w:r>
    </w:p>
    <w:bookmarkEnd w:id="277"/>
    <w:bookmarkStart w:id="27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w:t>
      </w:r>
      <w:r>
        <w:t xml:space="preserve"> </w:t>
      </w:r>
      <w:r>
        <w:rPr>
          <w:i/>
          <w:iCs/>
        </w:rPr>
        <w:t xml:space="preserve">Journal of the American Statistical Association</w:t>
      </w:r>
      <w:r>
        <w:t xml:space="preserve"> </w:t>
      </w:r>
      <w:r>
        <w:t xml:space="preserve">32 (200): 675-701.</w:t>
      </w:r>
      <w:r>
        <w:t xml:space="preserve"> </w:t>
      </w:r>
      <w:hyperlink ns5:id="rId278">
        <w:r>
          <w:rPr>
            <w:rStyle w:val="Hipervnculo"/>
          </w:rPr>
          <w:t xml:space="preserve">https://doi.org/10.1080/01621459.1937.10503522</w:t>
        </w:r>
      </w:hyperlink>
      <w:r>
        <w:t xml:space="preserve">.</w:t>
      </w:r>
    </w:p>
    <w:bookmarkEnd w:id="279"/>
    <w:bookmarkStart w:id="281" w:name="ref-gafur2024"/>
    <w:p>
      <w:pPr>
        <w:pStyle w:val="Bibliography"/>
        <w:spacing w:line="360" w:lineRule="auto"/>
        <w:jc w:val="both"/>
      </w:pPr>
      <w:r>
        <w:t xml:space="preserve">Gafur, Jamil, Steve Goddard, y William Lai. 2024.</w:t>
      </w:r>
      <w:r>
        <w:t xml:space="preserve"> </w:t>
      </w:r>
      <w:r>
        <w:t xml:space="preserve">«Adversarial Robustness and Explainability of Machine Learning Models»</w:t>
      </w:r>
      <w:r>
        <w:t xml:space="preserve">.</w:t>
      </w:r>
      <w:r>
        <w:t xml:space="preserve"> </w:t>
      </w:r>
      <w:r>
        <w:rPr>
          <w:i/>
          <w:iCs/>
        </w:rPr>
        <w:t xml:space="preserve">Practice and Experience in Advanced Research Computing 2024: Human Powered Computing</w:t>
      </w:r>
      <w:r>
        <w:t xml:space="preserve">, 1-7.</w:t>
      </w:r>
      <w:r>
        <w:t xml:space="preserve"> </w:t>
      </w:r>
      <w:hyperlink ns5:id="rId280">
        <w:r>
          <w:rPr>
            <w:rStyle w:val="Hipervnculo"/>
          </w:rPr>
          <w:t xml:space="preserve">https://doi.org/10.1145/3626203.3670522</w:t>
        </w:r>
      </w:hyperlink>
      <w:r>
        <w:t xml:space="preserve">.</w:t>
      </w:r>
    </w:p>
    <w:bookmarkEnd w:id="281"/>
    <w:bookmarkStart w:id="283"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w:t>
      </w:r>
      <w:r>
        <w:t xml:space="preserve"> </w:t>
      </w:r>
      <w:r>
        <w:rPr>
          <w:i/>
          <w:iCs/>
        </w:rPr>
        <w:t xml:space="preserve">2022 IEEE 9th International Conference on Data Science and Advanced Analytics (DSAA), 80–89</w:t>
      </w:r>
      <w:r>
        <w:t xml:space="preserve">, advance online publication.</w:t>
      </w:r>
      <w:r>
        <w:t xml:space="preserve"> </w:t>
      </w:r>
      <w:hyperlink ns5:id="rId282">
        <w:r>
          <w:rPr>
            <w:rStyle w:val="Hipervnculo"/>
          </w:rPr>
          <w:t xml:space="preserve">https://doi.org/10.1109/dsaa.2018.00018</w:t>
        </w:r>
      </w:hyperlink>
      <w:r>
        <w:t xml:space="preserve">.</w:t>
      </w:r>
    </w:p>
    <w:bookmarkEnd w:id="283"/>
    <w:bookmarkStart w:id="285"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w:t>
      </w:r>
      <w:r>
        <w:t xml:space="preserve"> </w:t>
      </w:r>
      <w:r>
        <w:rPr>
          <w:i/>
          <w:iCs/>
        </w:rPr>
        <w:t xml:space="preserve">Journal of Computational and Graphical Statistics</w:t>
      </w:r>
      <w:r>
        <w:t xml:space="preserve"> </w:t>
      </w:r>
      <w:r>
        <w:t xml:space="preserve">24 (1): 44-65.</w:t>
      </w:r>
      <w:r>
        <w:t xml:space="preserve"> </w:t>
      </w:r>
      <w:hyperlink ns5:id="rId284">
        <w:r>
          <w:rPr>
            <w:rStyle w:val="Hipervnculo"/>
          </w:rPr>
          <w:t xml:space="preserve">https://doi.org/10.1080/10618600.2014.907095</w:t>
        </w:r>
      </w:hyperlink>
      <w:r>
        <w:t xml:space="preserve">.</w:t>
      </w:r>
    </w:p>
    <w:bookmarkEnd w:id="285"/>
    <w:bookmarkStart w:id="287" w:name="ref-gomez2024"/>
    <w:p>
      <w:pPr>
        <w:pStyle w:val="Bibliography"/>
        <w:spacing w:line="360" w:lineRule="auto"/>
        <w:jc w:val="both"/>
      </w:pPr>
      <w:r>
        <w:t xml:space="preserve">Gomez, Manuel J., Álvaro Armada Sánchez, Mariano Albaladejo-González, Félix J. García Clemente, y José A. Ruipérez-Valiente. 2024.</w:t>
      </w:r>
      <w:r>
        <w:t xml:space="preserve"> </w:t>
      </w:r>
      <w:r>
        <w:t xml:space="preserve">«Utilizing Explainable AI to Enhance Real-time Student Performance Prediction in Educational Serious Games»</w:t>
      </w:r>
      <w:r>
        <w:t xml:space="preserve">.</w:t>
      </w:r>
      <w:r>
        <w:t xml:space="preserve"> </w:t>
      </w:r>
      <w:r>
        <w:rPr>
          <w:i/>
          <w:iCs/>
        </w:rPr>
        <w:t xml:space="preserve">Proceedings of the 39th ACM/SIGAPP Symposium on Applied Computing</w:t>
      </w:r>
      <w:r>
        <w:t xml:space="preserve">, 93-94.</w:t>
      </w:r>
      <w:r>
        <w:t xml:space="preserve"> </w:t>
      </w:r>
      <w:hyperlink ns5:id="rId286">
        <w:r>
          <w:rPr>
            <w:rStyle w:val="Hipervnculo"/>
          </w:rPr>
          <w:t xml:space="preserve">https://doi.org/10.1145/3605098.3636109</w:t>
        </w:r>
      </w:hyperlink>
      <w:r>
        <w:t xml:space="preserve">.</w:t>
      </w:r>
    </w:p>
    <w:bookmarkEnd w:id="287"/>
    <w:bookmarkStart w:id="289" w:name="ref-guidotti2018"/>
    <w:p>
      <w:pPr>
        <w:pStyle w:val="Bibliography"/>
        <w:spacing w:line="360" w:lineRule="auto"/>
        <w:jc w:val="both"/>
      </w:pPr>
      <w:r>
        <w:t xml:space="preserve">Guidotti, Riccardo, Anna Monreale, Salvatore Ruggieri, Franco Turini, Fosca Giannotti, y Dino Pedreschi. 2018.</w:t>
      </w:r>
      <w:r>
        <w:t xml:space="preserve"> </w:t>
      </w:r>
      <w:r>
        <w:t xml:space="preserve">«A Survey of Methods for Explaining Black Box Models»</w:t>
      </w:r>
      <w:r>
        <w:t xml:space="preserve">.</w:t>
      </w:r>
      <w:r>
        <w:t xml:space="preserve"> </w:t>
      </w:r>
      <w:r>
        <w:rPr>
          <w:i/>
          <w:iCs/>
        </w:rPr>
        <w:t xml:space="preserve">ACM Computing Surveys</w:t>
      </w:r>
      <w:r>
        <w:t xml:space="preserve"> </w:t>
      </w:r>
      <w:r>
        <w:t xml:space="preserve">51 (5): 1-42.</w:t>
      </w:r>
      <w:r>
        <w:t xml:space="preserve"> </w:t>
      </w:r>
      <w:hyperlink ns5:id="rId288">
        <w:r>
          <w:rPr>
            <w:rStyle w:val="Hipervnculo"/>
          </w:rPr>
          <w:t xml:space="preserve">https://doi.org/10.1145/3236009</w:t>
        </w:r>
      </w:hyperlink>
      <w:r>
        <w:t xml:space="preserve">.</w:t>
      </w:r>
    </w:p>
    <w:bookmarkEnd w:id="289"/>
    <w:bookmarkStart w:id="291" w:name="ref-hase2020"/>
    <w:p>
      <w:pPr>
        <w:pStyle w:val="Bibliography"/>
        <w:spacing w:line="360" w:lineRule="auto"/>
        <w:jc w:val="both"/>
      </w:pPr>
      <w:r>
        <w:t xml:space="preserve">Hase, Peter, y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0">
        <w:r>
          <w:rPr>
            <w:rStyle w:val="Hipervnculo"/>
          </w:rPr>
          <w:t xml:space="preserve">https://doi.org/10.18653/v1/2020.acl-main.491</w:t>
        </w:r>
      </w:hyperlink>
      <w:r>
        <w:t xml:space="preserve">.</w:t>
      </w:r>
    </w:p>
    <w:bookmarkEnd w:id="291"/>
    <w:bookmarkStart w:id="293"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w:t>
      </w:r>
      <w:r>
        <w:t xml:space="preserve"> </w:t>
      </w:r>
      <w:r>
        <w:rPr>
          <w:i/>
          <w:iCs/>
        </w:rPr>
        <w:t xml:space="preserve">Cognitive Computation</w:t>
      </w:r>
      <w:r>
        <w:t xml:space="preserve"> </w:t>
      </w:r>
      <w:r>
        <w:t xml:space="preserve">16 (1): 45-74.</w:t>
      </w:r>
      <w:r>
        <w:t xml:space="preserve"> </w:t>
      </w:r>
      <w:hyperlink ns5:id="rId292">
        <w:r>
          <w:rPr>
            <w:rStyle w:val="Hipervnculo"/>
          </w:rPr>
          <w:t xml:space="preserve">https://doi.org/10.1007/s12559-023-10179-8</w:t>
        </w:r>
      </w:hyperlink>
      <w:r>
        <w:t xml:space="preserve">.</w:t>
      </w:r>
    </w:p>
    <w:bookmarkEnd w:id="293"/>
    <w:bookmarkStart w:id="294"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w:t>
      </w:r>
      <w:r>
        <w:t xml:space="preserve"> </w:t>
      </w:r>
      <w:r>
        <w:rPr>
          <w:i/>
          <w:iCs/>
        </w:rPr>
        <w:t xml:space="preserve">Journal of Machine Learning Research</w:t>
      </w:r>
      <w:r>
        <w:t xml:space="preserve"> </w:t>
      </w:r>
      <w:r>
        <w:t xml:space="preserve">24 (34): 1-11.</w:t>
      </w:r>
    </w:p>
    <w:bookmarkEnd w:id="294"/>
    <w:bookmarkStart w:id="295" w:name="ref-hess2023"/>
    <w:p>
      <w:pPr>
        <w:pStyle w:val="Bibliography"/>
        <w:spacing w:line="360" w:lineRule="auto"/>
        <w:jc w:val="both"/>
      </w:pPr>
      <w:r>
        <w:t xml:space="preserve">Hess, Samuel, y Gregory Ditzler. 2023.</w:t>
      </w:r>
      <w:r>
        <w:t xml:space="preserve"> </w:t>
      </w:r>
      <w:r>
        <w:t xml:space="preserve">«ProtoShotXAI: Using Prototypical Few-Shot Architecture for Explainable AI»</w:t>
      </w:r>
      <w:r>
        <w:t xml:space="preserve">.</w:t>
      </w:r>
      <w:r>
        <w:t xml:space="preserve"> </w:t>
      </w:r>
      <w:r>
        <w:rPr>
          <w:i/>
          <w:iCs/>
        </w:rPr>
        <w:t xml:space="preserve">Journal of Machine Learning Research</w:t>
      </w:r>
      <w:r>
        <w:t xml:space="preserve"> </w:t>
      </w:r>
      <w:r>
        <w:t xml:space="preserve">24: 1-49.</w:t>
      </w:r>
    </w:p>
    <w:bookmarkEnd w:id="295"/>
    <w:bookmarkStart w:id="297" w:name="ref-hoffman2023"/>
    <w:p>
      <w:pPr>
        <w:pStyle w:val="Bibliography"/>
        <w:spacing w:line="360" w:lineRule="auto"/>
        <w:jc w:val="both"/>
      </w:pPr>
      <w:r>
        <w:t xml:space="preserve">Hoffman, Robert R., Timothy Miller, Gary Klein, Shane T. Mueller, y William J. Clancey. 2023.</w:t>
      </w:r>
      <w:r>
        <w:t xml:space="preserve"> </w:t>
      </w:r>
      <w:r>
        <w:t xml:space="preserve">«Increasing the Value of XAI for Users: A Psychological Perspective»</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6">
        <w:r>
          <w:rPr>
            <w:rStyle w:val="Hipervnculo"/>
          </w:rPr>
          <w:t xml:space="preserve">https://doi.org/10.1007/s13218-023-00806-9</w:t>
        </w:r>
      </w:hyperlink>
      <w:r>
        <w:t xml:space="preserve">.</w:t>
      </w:r>
    </w:p>
    <w:bookmarkEnd w:id="297"/>
    <w:bookmarkStart w:id="299" w:name="ref-holzinger2022"/>
    <w:p>
      <w:pPr>
        <w:pStyle w:val="Bibliography"/>
        <w:spacing w:line="360" w:lineRule="auto"/>
        <w:jc w:val="both"/>
      </w:pPr>
      <w:r>
        <w:t xml:space="preserve">Holzinger, Andreas, Anna Saranti, Christoph Molnar, Przemyslaw Biecek, y Wojciech Samek. 2022.</w:t>
      </w:r>
      <w:r>
        <w:t xml:space="preserve"> </w:t>
      </w:r>
      <w:r>
        <w:rPr>
          <w:i/>
          <w:iCs/>
        </w:rPr>
        <w:t xml:space="preserve">Explainable AI Methods - A Brief Overview</w:t>
      </w:r>
      <w:r>
        <w:t xml:space="preserve">. Springer International Publishing.</w:t>
      </w:r>
      <w:r>
        <w:t xml:space="preserve"> </w:t>
      </w:r>
      <w:hyperlink ns5:id="rId298">
        <w:r>
          <w:rPr>
            <w:rStyle w:val="Hipervnculo"/>
          </w:rPr>
          <w:t xml:space="preserve">https://doi.org/10.1007/978-3-031-04083-2_2</w:t>
        </w:r>
      </w:hyperlink>
      <w:r>
        <w:t xml:space="preserve">.</w:t>
      </w:r>
    </w:p>
    <w:bookmarkEnd w:id="299"/>
    <w:bookmarkStart w:id="301" w:name="ref-hosseini2025"/>
    <w:p>
      <w:pPr>
        <w:pStyle w:val="Bibliography"/>
        <w:spacing w:line="360" w:lineRule="auto"/>
        <w:jc w:val="both"/>
      </w:pPr>
      <w:r>
        <w:t xml:space="preserve">Hosseini, Soodeh, y Hossein Seilani. 2025.</w:t>
      </w:r>
      <w:r>
        <w:t xml:space="preserve"> </w:t>
      </w:r>
      <w:r>
        <w:t xml:space="preserve">«The role of agentic AI in shaping a smart future: A systematic review»</w:t>
      </w:r>
      <w:r>
        <w:t xml:space="preserve">.</w:t>
      </w:r>
      <w:r>
        <w:t xml:space="preserve"> </w:t>
      </w:r>
      <w:r>
        <w:rPr>
          <w:i/>
          <w:iCs/>
        </w:rPr>
        <w:t xml:space="preserve">Array</w:t>
      </w:r>
      <w:r>
        <w:t xml:space="preserve"> </w:t>
      </w:r>
      <w:r>
        <w:t xml:space="preserve">26: 100399.</w:t>
      </w:r>
      <w:r>
        <w:t xml:space="preserve"> </w:t>
      </w:r>
      <w:hyperlink ns5:id="rId300">
        <w:r>
          <w:rPr>
            <w:rStyle w:val="Hipervnculo"/>
          </w:rPr>
          <w:t xml:space="preserve">https://doi.org/10.1016/j.array.2025.100399</w:t>
        </w:r>
      </w:hyperlink>
      <w:r>
        <w:t xml:space="preserve">.</w:t>
      </w:r>
    </w:p>
    <w:bookmarkEnd w:id="301"/>
    <w:bookmarkStart w:id="303"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w:t>
      </w:r>
      <w:r>
        <w:t xml:space="preserve"> </w:t>
      </w:r>
      <w:r>
        <w:rPr>
          <w:i/>
          <w:iCs/>
        </w:rPr>
        <w:t xml:space="preserve">Science</w:t>
      </w:r>
      <w:r>
        <w:t xml:space="preserve"> </w:t>
      </w:r>
      <w:r>
        <w:t xml:space="preserve">359 (6377): 725-26.</w:t>
      </w:r>
      <w:r>
        <w:t xml:space="preserve"> </w:t>
      </w:r>
      <w:hyperlink ns5:id="rId302">
        <w:r>
          <w:rPr>
            <w:rStyle w:val="Hipervnculo"/>
          </w:rPr>
          <w:t xml:space="preserve">https://doi.org/10.1126/science.359.6377.725</w:t>
        </w:r>
      </w:hyperlink>
      <w:r>
        <w:t xml:space="preserve">.</w:t>
      </w:r>
    </w:p>
    <w:bookmarkEnd w:id="303"/>
    <w:bookmarkStart w:id="305" w:name="ref-iatrellis2023"/>
    <w:p>
      <w:pPr>
        <w:pStyle w:val="Bibliography"/>
        <w:spacing w:line="360" w:lineRule="auto"/>
        <w:jc w:val="both"/>
      </w:pPr>
      <w:r>
        <w:t xml:space="preserve">Iatrellis, Omiros, Nicholas Samaras, Charalampos Dervenis, y Theodor Panagiotakopoulos. 2023.</w:t>
      </w:r>
      <w:r>
        <w:t xml:space="preserve"> </w:t>
      </w:r>
      <w:r>
        <w:t xml:space="preserve">«KONX: A Dynamic Approach for Explainable AI in Higher Education»</w:t>
      </w:r>
      <w:r>
        <w:t xml:space="preserve">.</w:t>
      </w:r>
      <w:r>
        <w:t xml:space="preserve"> </w:t>
      </w:r>
      <w:r>
        <w:rPr>
          <w:i/>
          <w:iCs/>
        </w:rPr>
        <w:t xml:space="preserve">Proceedings of the 7th International Conference on Algorithms, Computing and Systems</w:t>
      </w:r>
      <w:r>
        <w:t xml:space="preserve">, 118-24.</w:t>
      </w:r>
      <w:r>
        <w:t xml:space="preserve"> </w:t>
      </w:r>
      <w:hyperlink ns5:id="rId304">
        <w:r>
          <w:rPr>
            <w:rStyle w:val="Hipervnculo"/>
          </w:rPr>
          <w:t xml:space="preserve">https://doi.org/10.1145/3631908.3631925</w:t>
        </w:r>
      </w:hyperlink>
      <w:r>
        <w:t xml:space="preserve">.</w:t>
      </w:r>
    </w:p>
    <w:bookmarkEnd w:id="305"/>
    <w:bookmarkStart w:id="307" w:name="ref-ji2022"/>
    <w:p>
      <w:pPr>
        <w:pStyle w:val="Bibliography"/>
        <w:spacing w:line="360" w:lineRule="auto"/>
        <w:jc w:val="both"/>
      </w:pPr>
      <w:r>
        <w:t xml:space="preserve">Ji, Lee, Z. 2022.</w:t>
      </w:r>
      <w:r>
        <w:t xml:space="preserve"> </w:t>
      </w:r>
      <w:r>
        <w:t xml:space="preserve">«Survey of Hallucination in Natural Language Generation»</w:t>
      </w:r>
      <w:r>
        <w:t xml:space="preserve">.</w:t>
      </w:r>
      <w:r>
        <w:t xml:space="preserve"> </w:t>
      </w:r>
      <w:r>
        <w:rPr>
          <w:i/>
          <w:iCs/>
        </w:rPr>
        <w:t xml:space="preserve">ACM Computing Surveys</w:t>
      </w:r>
      <w:r>
        <w:t xml:space="preserve"> </w:t>
      </w:r>
      <w:r>
        <w:t xml:space="preserve">55 (12): 1-38.</w:t>
      </w:r>
      <w:r>
        <w:t xml:space="preserve"> </w:t>
      </w:r>
      <w:hyperlink ns5:id="rId306">
        <w:r>
          <w:rPr>
            <w:rStyle w:val="Hipervnculo"/>
          </w:rPr>
          <w:t xml:space="preserve">https://doi.org/10.1145/3571730</w:t>
        </w:r>
      </w:hyperlink>
      <w:r>
        <w:t xml:space="preserve">.</w:t>
      </w:r>
    </w:p>
    <w:bookmarkEnd w:id="307"/>
    <w:bookmarkStart w:id="308" w:name="ref-kadir2023"/>
    <w:p>
      <w:pPr>
        <w:pStyle w:val="Bibliography"/>
        <w:spacing w:line="360" w:lineRule="auto"/>
        <w:jc w:val="both"/>
      </w:pPr>
      <w:r>
        <w:t xml:space="preserve">Kadir, Md Abdul, Amir Mosavi, y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8"/>
    <w:bookmarkStart w:id="310" w:name="ref-kalasampath2025"/>
    <w:p>
      <w:pPr>
        <w:pStyle w:val="Bibliography"/>
        <w:spacing w:line="360" w:lineRule="auto"/>
        <w:jc w:val="both"/>
      </w:pPr>
      <w:r>
        <w:t xml:space="preserve">Kalasampath, Khushi, K. N. Spoorthi, Sreeparvathy Sajeev, Sahil Sarma Kuppa, Kavya Ajay, y Angulakshmi Maruthamuthu. 2025.</w:t>
      </w:r>
      <w:r>
        <w:t xml:space="preserve"> </w:t>
      </w:r>
      <w:r>
        <w:t xml:space="preserve">«A Literature Review on Applications of Explainable Artificial Intelligence (XAI)»</w:t>
      </w:r>
      <w:r>
        <w:t xml:space="preserve">.</w:t>
      </w:r>
      <w:r>
        <w:t xml:space="preserve"> </w:t>
      </w:r>
      <w:r>
        <w:rPr>
          <w:i/>
          <w:iCs/>
        </w:rPr>
        <w:t xml:space="preserve">IEEE Access</w:t>
      </w:r>
      <w:r>
        <w:t xml:space="preserve"> </w:t>
      </w:r>
      <w:r>
        <w:t xml:space="preserve">13: 41111-40.</w:t>
      </w:r>
      <w:r>
        <w:t xml:space="preserve"> </w:t>
      </w:r>
      <w:hyperlink ns5:id="rId309">
        <w:r>
          <w:rPr>
            <w:rStyle w:val="Hipervnculo"/>
          </w:rPr>
          <w:t xml:space="preserve">https://doi.org/10.1109/access.2025.3546681</w:t>
        </w:r>
      </w:hyperlink>
      <w:r>
        <w:t xml:space="preserve">.</w:t>
      </w:r>
    </w:p>
    <w:bookmarkEnd w:id="310"/>
    <w:bookmarkStart w:id="312" w:name="ref-karimi2022"/>
    <w:p>
      <w:pPr>
        <w:pStyle w:val="Bibliography"/>
        <w:spacing w:line="360" w:lineRule="auto"/>
        <w:jc w:val="both"/>
      </w:pPr>
      <w:r>
        <w:t xml:space="preserve">Karimi, Amir-Hossein, Gilles Barthe, Bernhard Schölkopf, y Isabel Valera. 2022.</w:t>
      </w:r>
      <w:r>
        <w:t xml:space="preserve"> </w:t>
      </w:r>
      <w:r>
        <w:t xml:space="preserve">«A Survey of Algorithmic Recourse: Contrastive Explanations and Consequential Recommendations»</w:t>
      </w:r>
      <w:r>
        <w:t xml:space="preserve">.</w:t>
      </w:r>
      <w:r>
        <w:t xml:space="preserve"> </w:t>
      </w:r>
      <w:r>
        <w:rPr>
          <w:i/>
          <w:iCs/>
        </w:rPr>
        <w:t xml:space="preserve">ACM Computing Surveys</w:t>
      </w:r>
      <w:r>
        <w:t xml:space="preserve"> </w:t>
      </w:r>
      <w:r>
        <w:t xml:space="preserve">55 (5): 1-29.</w:t>
      </w:r>
      <w:r>
        <w:t xml:space="preserve"> </w:t>
      </w:r>
      <w:hyperlink ns5:id="rId311">
        <w:r>
          <w:rPr>
            <w:rStyle w:val="Hipervnculo"/>
          </w:rPr>
          <w:t xml:space="preserve">https://doi.org/10.1145/3527848</w:t>
        </w:r>
      </w:hyperlink>
      <w:r>
        <w:t xml:space="preserve">.</w:t>
      </w:r>
    </w:p>
    <w:bookmarkEnd w:id="312"/>
    <w:bookmarkStart w:id="314" w:name="ref-karmakar2024"/>
    <w:p>
      <w:pPr>
        <w:pStyle w:val="Bibliography"/>
        <w:spacing w:line="360" w:lineRule="auto"/>
        <w:jc w:val="both"/>
      </w:pPr>
      <w:r>
        <w:t xml:space="preserve">Karmakar, Pratik, Mikaël Monet, Pierre Senellart, y Stephane Bressan. 2024.</w:t>
      </w:r>
      <w:r>
        <w:t xml:space="preserve"> </w:t>
      </w:r>
      <w:r>
        <w:t xml:space="preserve">«Expected Shapley-Like Scores of Boolean functions: Complexity and Applications to Probabilistic Databases»</w:t>
      </w:r>
      <w:r>
        <w:t xml:space="preserve">.</w:t>
      </w:r>
      <w:r>
        <w:t xml:space="preserve"> </w:t>
      </w:r>
      <w:r>
        <w:rPr>
          <w:i/>
          <w:iCs/>
        </w:rPr>
        <w:t xml:space="preserve">Proceedings of the ACM on Management of Data</w:t>
      </w:r>
      <w:r>
        <w:t xml:space="preserve"> </w:t>
      </w:r>
      <w:r>
        <w:t xml:space="preserve">2 (2): 1-26.</w:t>
      </w:r>
      <w:r>
        <w:t xml:space="preserve"> </w:t>
      </w:r>
      <w:hyperlink ns5:id="rId313">
        <w:r>
          <w:rPr>
            <w:rStyle w:val="Hipervnculo"/>
          </w:rPr>
          <w:t xml:space="preserve">https://doi.org/10.1145/3651593</w:t>
        </w:r>
      </w:hyperlink>
      <w:r>
        <w:t xml:space="preserve">.</w:t>
      </w:r>
    </w:p>
    <w:bookmarkEnd w:id="314"/>
    <w:bookmarkStart w:id="316" w:name="ref-kaur2020"/>
    <w:p>
      <w:pPr>
        <w:pStyle w:val="Bibliography"/>
        <w:spacing w:line="360" w:lineRule="auto"/>
        <w:jc w:val="both"/>
      </w:pPr>
      <w:r>
        <w:t xml:space="preserve">Kaur, Harmanpreet, Harsha Nori, Samuel Jenkins, Rich Caruana, Hanna Wallach, y Jennifer Wortman Vaughan. 2020.</w:t>
      </w:r>
      <w:r>
        <w:t xml:space="preserve"> </w:t>
      </w:r>
      <w:r>
        <w:t xml:space="preserve">«Interpreting Interpretability: Understanding Data Scientists’ Use of Interpretability Tools for Machine Learning»</w:t>
      </w:r>
      <w:r>
        <w:t xml:space="preserve">.</w:t>
      </w:r>
      <w:r>
        <w:t xml:space="preserve"> </w:t>
      </w:r>
      <w:r>
        <w:rPr>
          <w:i/>
          <w:iCs/>
        </w:rPr>
        <w:t xml:space="preserve">Proceedings of the 2020 CHI Conference on Human Factors in Computing Systems</w:t>
      </w:r>
      <w:r>
        <w:t xml:space="preserve">, 1-14.</w:t>
      </w:r>
      <w:r>
        <w:t xml:space="preserve"> </w:t>
      </w:r>
      <w:hyperlink ns5:id="rId315">
        <w:r>
          <w:rPr>
            <w:rStyle w:val="Hipervnculo"/>
          </w:rPr>
          <w:t xml:space="preserve">https://doi.org/10.1145/3313831.3376219</w:t>
        </w:r>
      </w:hyperlink>
      <w:r>
        <w:t xml:space="preserve">.</w:t>
      </w:r>
    </w:p>
    <w:bookmarkEnd w:id="316"/>
    <w:bookmarkStart w:id="317"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w:t>
      </w:r>
      <w:r>
        <w:t xml:space="preserve"> </w:t>
      </w:r>
      <w:r>
        <w:rPr>
          <w:i/>
          <w:iCs/>
        </w:rPr>
        <w:t xml:space="preserve">Proceedings of the 35th International Conference on Machine Learning</w:t>
      </w:r>
      <w:r>
        <w:t xml:space="preserve">.</w:t>
      </w:r>
    </w:p>
    <w:bookmarkEnd w:id="317"/>
    <w:bookmarkStart w:id="319"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w:t>
      </w:r>
      <w:r>
        <w:t xml:space="preserve"> </w:t>
      </w:r>
      <w:r>
        <w:rPr>
          <w:i/>
          <w:iCs/>
        </w:rPr>
        <w:t xml:space="preserve">Extended Abstracts of the CHI Conference on Human Factors in Computing Systems</w:t>
      </w:r>
      <w:r>
        <w:t xml:space="preserve">, 1-6.</w:t>
      </w:r>
      <w:r>
        <w:t xml:space="preserve"> </w:t>
      </w:r>
      <w:hyperlink ns5:id="rId318">
        <w:r>
          <w:rPr>
            <w:rStyle w:val="Hipervnculo"/>
          </w:rPr>
          <w:t xml:space="preserve">https://doi.org/10.1145/3613905.3638184</w:t>
        </w:r>
      </w:hyperlink>
      <w:r>
        <w:t xml:space="preserve">.</w:t>
      </w:r>
    </w:p>
    <w:bookmarkEnd w:id="319"/>
    <w:bookmarkStart w:id="320"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w:t>
      </w:r>
      <w:r>
        <w:t xml:space="preserve"> </w:t>
      </w:r>
      <w:r>
        <w:rPr>
          <w:i/>
          <w:iCs/>
        </w:rPr>
        <w:t xml:space="preserve">Proceedings of the 37th International Conference on Machine Learning</w:t>
      </w:r>
      <w:r>
        <w:t xml:space="preserve">.</w:t>
      </w:r>
    </w:p>
    <w:bookmarkEnd w:id="320"/>
    <w:bookmarkStart w:id="322" w:name="ref-kohavi1996"/>
    <w:p>
      <w:pPr>
        <w:pStyle w:val="Bibliography"/>
        <w:spacing w:line="360" w:lineRule="auto"/>
        <w:jc w:val="both"/>
      </w:pPr>
      <w:r>
        <w:t xml:space="preserve">Kohavi, Ron, y Barry Becker. 1996.</w:t>
      </w:r>
      <w:r>
        <w:t xml:space="preserve"> </w:t>
      </w:r>
      <w:r>
        <w:rPr>
          <w:i/>
          <w:iCs/>
        </w:rPr>
        <w:t xml:space="preserve">Adult Data Set</w:t>
      </w:r>
      <w:r>
        <w:t xml:space="preserve">. UCI Machine Learning Repository.</w:t>
      </w:r>
      <w:r>
        <w:t xml:space="preserve"> </w:t>
      </w:r>
      <w:hyperlink ns5:id="rId321">
        <w:r>
          <w:rPr>
            <w:rStyle w:val="Hipervnculo"/>
          </w:rPr>
          <w:t xml:space="preserve">https://archive.ics.uci.edu/dataset/2/adult</w:t>
        </w:r>
      </w:hyperlink>
      <w:r>
        <w:t xml:space="preserve">.</w:t>
      </w:r>
    </w:p>
    <w:bookmarkEnd w:id="322"/>
    <w:bookmarkStart w:id="324" w:name="ref-koo2016"/>
    <w:p>
      <w:pPr>
        <w:pStyle w:val="Bibliography"/>
        <w:spacing w:line="360" w:lineRule="auto"/>
        <w:jc w:val="both"/>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ns5:id="rId323">
        <w:r>
          <w:rPr>
            <w:rStyle w:val="Hipervnculo"/>
          </w:rPr>
          <w:t xml:space="preserve">https://doi.org/10.1016/j.jcm.2016.02.012</w:t>
        </w:r>
      </w:hyperlink>
      <w:r>
        <w:t xml:space="preserve">.</w:t>
      </w:r>
    </w:p>
    <w:bookmarkEnd w:id="324"/>
    <w:bookmarkStart w:id="325"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4.ª ed. SAGE Publications.</w:t>
      </w:r>
    </w:p>
    <w:bookmarkEnd w:id="325"/>
    <w:bookmarkStart w:id="327" w:name="ref-kumagai2023"/>
    <w:p>
      <w:pPr>
        <w:pStyle w:val="Bibliography"/>
        <w:spacing w:line="360" w:lineRule="auto"/>
        <w:jc w:val="both"/>
      </w:pPr>
      <w:r>
        <w:t xml:space="preserve">Kumagai, Ryo, Shu Takemoto, Yusuke Nozaki, y Masaya Yoshikawa. 2023.</w:t>
      </w:r>
      <w:r>
        <w:t xml:space="preserve"> </w:t>
      </w:r>
      <w:r>
        <w:t xml:space="preserve">«Explainable AI based Adversarial Examples and its Evaluation»</w:t>
      </w:r>
      <w:r>
        <w:t xml:space="preserve">.</w:t>
      </w:r>
      <w:r>
        <w:t xml:space="preserve"> </w:t>
      </w:r>
      <w:r>
        <w:rPr>
          <w:i/>
          <w:iCs/>
        </w:rPr>
        <w:t xml:space="preserve">Proceedings of the 2023 6th International Conference on Electronics, Communications and Control Engineering</w:t>
      </w:r>
      <w:r>
        <w:t xml:space="preserve">, 220-25.</w:t>
      </w:r>
      <w:r>
        <w:t xml:space="preserve"> </w:t>
      </w:r>
      <w:hyperlink ns5:id="rId326">
        <w:r>
          <w:rPr>
            <w:rStyle w:val="Hipervnculo"/>
          </w:rPr>
          <w:t xml:space="preserve">https://doi.org/10.1145/3592307.3592342</w:t>
        </w:r>
      </w:hyperlink>
      <w:r>
        <w:t xml:space="preserve">.</w:t>
      </w:r>
    </w:p>
    <w:bookmarkEnd w:id="327"/>
    <w:bookmarkStart w:id="329"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w:t>
      </w:r>
      <w:r>
        <w:t xml:space="preserve"> </w:t>
      </w:r>
      <w:r>
        <w:rPr>
          <w:i/>
          <w:iCs/>
        </w:rPr>
        <w:t xml:space="preserve">Frontiers in Psychology</w:t>
      </w:r>
      <w:r>
        <w:t xml:space="preserve"> </w:t>
      </w:r>
      <w:r>
        <w:t xml:space="preserve">4: 863.</w:t>
      </w:r>
      <w:r>
        <w:t xml:space="preserve"> </w:t>
      </w:r>
      <w:hyperlink ns5:id="rId328">
        <w:r>
          <w:rPr>
            <w:rStyle w:val="Hipervnculo"/>
          </w:rPr>
          <w:t xml:space="preserve">https://doi.org/10.3389/fpsyg.2013.00863</w:t>
        </w:r>
      </w:hyperlink>
      <w:r>
        <w:t xml:space="preserve">.</w:t>
      </w:r>
    </w:p>
    <w:bookmarkEnd w:id="329"/>
    <w:bookmarkStart w:id="331"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w:t>
      </w:r>
      <w:r>
        <w:t xml:space="preserve"> </w:t>
      </w:r>
      <w:r>
        <w:rPr>
          <w:i/>
          <w:iCs/>
        </w:rPr>
        <w:t xml:space="preserve">Artificial Intelligence</w:t>
      </w:r>
      <w:r>
        <w:t xml:space="preserve"> </w:t>
      </w:r>
      <w:r>
        <w:t xml:space="preserve">296: 103473.</w:t>
      </w:r>
      <w:r>
        <w:t xml:space="preserve"> </w:t>
      </w:r>
      <w:hyperlink ns5:id="rId330">
        <w:r>
          <w:rPr>
            <w:rStyle w:val="Hipervnculo"/>
          </w:rPr>
          <w:t xml:space="preserve">https://doi.org/10.1016/j.artint.2021.103473</w:t>
        </w:r>
      </w:hyperlink>
      <w:r>
        <w:t xml:space="preserve">.</w:t>
      </w:r>
    </w:p>
    <w:bookmarkEnd w:id="331"/>
    <w:bookmarkStart w:id="333" w:name="ref-laugel2019"/>
    <w:p>
      <w:pPr>
        <w:pStyle w:val="Bibliography"/>
        <w:spacing w:line="360" w:lineRule="auto"/>
        <w:jc w:val="both"/>
      </w:pPr>
      <w:r>
        <w:t xml:space="preserve">Laugel, Thibault, Marie-Jeanne Lesot, Christophe Marsala, Xavier Renard, y Marcin Detyniecki. 2019.</w:t>
      </w:r>
      <w:r>
        <w:t xml:space="preserve"> </w:t>
      </w:r>
      <w:r>
        <w:t xml:space="preserve">«The Dangers of Post-hoc Interpretability: Unjustified Counterfactual Explanations»</w:t>
      </w:r>
      <w:r>
        <w:t xml:space="preserve">.</w:t>
      </w:r>
      <w:r>
        <w:t xml:space="preserve"> </w:t>
      </w:r>
      <w:r>
        <w:rPr>
          <w:i/>
          <w:iCs/>
        </w:rPr>
        <w:t xml:space="preserve">Proceedings of the Twenty-Eighth International Joint Conference on Artificial Intelligence</w:t>
      </w:r>
      <w:r>
        <w:t xml:space="preserve">, 2801-7.</w:t>
      </w:r>
      <w:r>
        <w:t xml:space="preserve"> </w:t>
      </w:r>
      <w:hyperlink ns5:id="rId332">
        <w:r>
          <w:rPr>
            <w:rStyle w:val="Hipervnculo"/>
          </w:rPr>
          <w:t xml:space="preserve">https://doi.org/10.24963/ijcai.2019/388</w:t>
        </w:r>
      </w:hyperlink>
      <w:r>
        <w:t xml:space="preserve">.</w:t>
      </w:r>
    </w:p>
    <w:bookmarkEnd w:id="333"/>
    <w:bookmarkStart w:id="334" w:name="ref-li2022"/>
    <w:p>
      <w:pPr>
        <w:pStyle w:val="Bibliography"/>
        <w:spacing w:line="360" w:lineRule="auto"/>
        <w:jc w:val="both"/>
      </w:pPr>
      <w:r>
        <w:t xml:space="preserve">Li, Xuhong, Haoyi Xiong, Xingjian Li, Xuanyu Wu, Zeyu Chen, y Dejing Dou. 2022.</w:t>
      </w:r>
      <w:r>
        <w:t xml:space="preserve"> </w:t>
      </w:r>
      <w:r>
        <w:t xml:space="preserve">«InterpretDL: Explaining Deep Models in PaddlePaddle»</w:t>
      </w:r>
      <w:r>
        <w:t xml:space="preserve">.</w:t>
      </w:r>
      <w:r>
        <w:t xml:space="preserve"> </w:t>
      </w:r>
      <w:r>
        <w:rPr>
          <w:i/>
          <w:iCs/>
        </w:rPr>
        <w:t xml:space="preserve">Journal of Machine Learning Research</w:t>
      </w:r>
      <w:r>
        <w:t xml:space="preserve"> </w:t>
      </w:r>
      <w:r>
        <w:t xml:space="preserve">23: 1-6.</w:t>
      </w:r>
    </w:p>
    <w:bookmarkEnd w:id="334"/>
    <w:bookmarkStart w:id="336"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w:t>
      </w:r>
      <w:r>
        <w:t xml:space="preserve"> </w:t>
      </w:r>
      <w:r>
        <w:rPr>
          <w:i/>
          <w:iCs/>
        </w:rPr>
        <w:t xml:space="preserve">Entropy</w:t>
      </w:r>
      <w:r>
        <w:t xml:space="preserve"> </w:t>
      </w:r>
      <w:r>
        <w:t xml:space="preserve">23 (1): 18.</w:t>
      </w:r>
      <w:r>
        <w:t xml:space="preserve"> </w:t>
      </w:r>
      <w:hyperlink ns5:id="rId335">
        <w:r>
          <w:rPr>
            <w:rStyle w:val="Hipervnculo"/>
          </w:rPr>
          <w:t xml:space="preserve">https://doi.org/10.3390/e23010018</w:t>
        </w:r>
      </w:hyperlink>
      <w:r>
        <w:t xml:space="preserve">.</w:t>
      </w:r>
    </w:p>
    <w:bookmarkEnd w:id="336"/>
    <w:bookmarkStart w:id="338" w:name="ref-lipton2018"/>
    <w:p>
      <w:pPr>
        <w:pStyle w:val="Bibliography"/>
        <w:spacing w:line="360" w:lineRule="auto"/>
        <w:jc w:val="both"/>
      </w:pPr>
      <w:r>
        <w:t xml:space="preserve">Lipton, Z. C. 2018.</w:t>
      </w:r>
      <w:r>
        <w:t xml:space="preserve"> </w:t>
      </w:r>
      <w:r>
        <w:t xml:space="preserve">«The mythos of model interpretability»</w:t>
      </w:r>
      <w:r>
        <w:t xml:space="preserve">.</w:t>
      </w:r>
      <w:r>
        <w:t xml:space="preserve"> </w:t>
      </w:r>
      <w:r>
        <w:rPr>
          <w:i/>
          <w:iCs/>
        </w:rPr>
        <w:t xml:space="preserve">Queue</w:t>
      </w:r>
      <w:r>
        <w:t xml:space="preserve"> </w:t>
      </w:r>
      <w:r>
        <w:t xml:space="preserve">16 (3): 31-57.</w:t>
      </w:r>
      <w:r>
        <w:t xml:space="preserve"> </w:t>
      </w:r>
      <w:hyperlink ns5:id="rId337">
        <w:r>
          <w:rPr>
            <w:rStyle w:val="Hipervnculo"/>
          </w:rPr>
          <w:t xml:space="preserve">https://doi.org/10.1145/3236386.3241340</w:t>
        </w:r>
      </w:hyperlink>
      <w:r>
        <w:t xml:space="preserve">.</w:t>
      </w:r>
    </w:p>
    <w:bookmarkEnd w:id="338"/>
    <w:bookmarkStart w:id="339"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39"/>
    <w:bookmarkStart w:id="340" w:name="ref-long2019"/>
    <w:p>
      <w:pPr>
        <w:pStyle w:val="Bibliography"/>
        <w:spacing w:line="360" w:lineRule="auto"/>
        <w:jc w:val="both"/>
      </w:pPr>
      <w:r>
        <w:t xml:space="preserve">Long, Bowen, Enjie Liu, Renxi Qiu, y Yanqing Duan. 2019.</w:t>
      </w:r>
      <w:r>
        <w:t xml:space="preserve"> </w:t>
      </w:r>
      <w:r>
        <w:rPr>
          <w:i/>
          <w:iCs/>
        </w:rPr>
        <w:t xml:space="preserve">Explainable AI: The Latest Advancements and New Trends</w:t>
      </w:r>
      <w:r>
        <w:t xml:space="preserve">.</w:t>
      </w:r>
    </w:p>
    <w:bookmarkEnd w:id="340"/>
    <w:bookmarkStart w:id="342"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w:t>
      </w:r>
      <w:r>
        <w:t xml:space="preserve"> </w:t>
      </w:r>
      <w:r>
        <w:rPr>
          <w:i/>
          <w:iCs/>
        </w:rPr>
        <w:t xml:space="preserve">Information Fusion</w:t>
      </w:r>
      <w:r>
        <w:t xml:space="preserve"> </w:t>
      </w:r>
      <w:r>
        <w:t xml:space="preserve">106: 102301.</w:t>
      </w:r>
      <w:r>
        <w:t xml:space="preserve"> </w:t>
      </w:r>
      <w:hyperlink ns5:id="rId341">
        <w:r>
          <w:rPr>
            <w:rStyle w:val="Hipervnculo"/>
          </w:rPr>
          <w:t xml:space="preserve">https://doi.org/10.1016/j.inffus.2024.102301</w:t>
        </w:r>
      </w:hyperlink>
      <w:r>
        <w:t xml:space="preserve">.</w:t>
      </w:r>
    </w:p>
    <w:bookmarkEnd w:id="342"/>
    <w:bookmarkStart w:id="344"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w:t>
      </w:r>
      <w:r>
        <w:t xml:space="preserve"> </w:t>
      </w:r>
      <w:r>
        <w:rPr>
          <w:i/>
          <w:iCs/>
        </w:rPr>
        <w:t xml:space="preserve">arXiv (Cornell University)</w:t>
      </w:r>
      <w:r>
        <w:t xml:space="preserve">, advance online publication.</w:t>
      </w:r>
      <w:r>
        <w:t xml:space="preserve"> </w:t>
      </w:r>
      <w:hyperlink ns5:id="rId343">
        <w:r>
          <w:rPr>
            <w:rStyle w:val="Hipervnculo"/>
          </w:rPr>
          <w:t xml:space="preserve">https://doi.org/10.48550/arxiv.1705.07874</w:t>
        </w:r>
      </w:hyperlink>
      <w:r>
        <w:t xml:space="preserve">.</w:t>
      </w:r>
    </w:p>
    <w:bookmarkEnd w:id="344"/>
    <w:bookmarkStart w:id="346"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w:t>
      </w:r>
      <w:r>
        <w:t xml:space="preserve"> </w:t>
      </w:r>
      <w:r>
        <w:rPr>
          <w:i/>
          <w:iCs/>
        </w:rPr>
        <w:t xml:space="preserve">ICIMMI ’23: Proceedings of the 5th International Conference on Information Management &amp; Machine Intelligence Article No.: 85, 1–9</w:t>
      </w:r>
      <w:r>
        <w:t xml:space="preserve">, advance online publication.</w:t>
      </w:r>
      <w:r>
        <w:t xml:space="preserve"> </w:t>
      </w:r>
      <w:hyperlink ns5:id="rId345">
        <w:r>
          <w:rPr>
            <w:rStyle w:val="Hipervnculo"/>
          </w:rPr>
          <w:t xml:space="preserve">https://doi.org/10.1145/3647444.3647912</w:t>
        </w:r>
      </w:hyperlink>
      <w:r>
        <w:t xml:space="preserve">.</w:t>
      </w:r>
    </w:p>
    <w:bookmarkEnd w:id="346"/>
    <w:bookmarkStart w:id="348"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w:t>
      </w:r>
      <w:r>
        <w:t xml:space="preserve"> </w:t>
      </w:r>
      <w:r>
        <w:rPr>
          <w:i/>
          <w:iCs/>
        </w:rPr>
        <w:t xml:space="preserve">Wiley Interdisciplinary Reviews Data Mining and Knowledge Discovery</w:t>
      </w:r>
      <w:r>
        <w:t xml:space="preserve"> </w:t>
      </w:r>
      <w:r>
        <w:t xml:space="preserve">13 (3).</w:t>
      </w:r>
      <w:r>
        <w:t xml:space="preserve"> </w:t>
      </w:r>
      <w:hyperlink ns5:id="rId347">
        <w:r>
          <w:rPr>
            <w:rStyle w:val="Hipervnculo"/>
          </w:rPr>
          <w:t xml:space="preserve">https://doi.org/10.1002/widm.1493</w:t>
        </w:r>
      </w:hyperlink>
      <w:r>
        <w:t xml:space="preserve">.</w:t>
      </w:r>
    </w:p>
    <w:bookmarkEnd w:id="348"/>
    <w:bookmarkStart w:id="350"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49">
        <w:r>
          <w:rPr>
            <w:rStyle w:val="Hipervnculo"/>
          </w:rPr>
          <w:t xml:space="preserve">https://doi.org/10.1007/978-3-031-75387-9_12</w:t>
        </w:r>
      </w:hyperlink>
      <w:r>
        <w:t xml:space="preserve">.</w:t>
      </w:r>
    </w:p>
    <w:bookmarkEnd w:id="350"/>
    <w:bookmarkStart w:id="352"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w:t>
      </w:r>
      <w:r>
        <w:t xml:space="preserve"> </w:t>
      </w:r>
      <w:r>
        <w:rPr>
          <w:i/>
          <w:iCs/>
        </w:rPr>
        <w:t xml:space="preserve">Artificial Intelligence</w:t>
      </w:r>
      <w:r>
        <w:t xml:space="preserve"> </w:t>
      </w:r>
      <w:r>
        <w:t xml:space="preserve">267: 1-38.</w:t>
      </w:r>
      <w:r>
        <w:t xml:space="preserve"> </w:t>
      </w:r>
      <w:hyperlink ns5:id="rId351">
        <w:r>
          <w:rPr>
            <w:rStyle w:val="Hipervnculo"/>
          </w:rPr>
          <w:t xml:space="preserve">https://doi.org/10.1016/j.artint.2018.07.007</w:t>
        </w:r>
      </w:hyperlink>
      <w:r>
        <w:t xml:space="preserve">.</w:t>
      </w:r>
    </w:p>
    <w:bookmarkEnd w:id="352"/>
    <w:bookmarkStart w:id="353" w:name="ref-mitchell2022"/>
    <w:p>
      <w:pPr>
        <w:pStyle w:val="Bibliography"/>
        <w:spacing w:line="360" w:lineRule="auto"/>
        <w:jc w:val="both"/>
      </w:pPr>
      <w:r>
        <w:t xml:space="preserve">Mitchell, Rory, Joshua Cooper, Eibe Frank, y Geoffrey Holmes. 2022.</w:t>
      </w:r>
      <w:r>
        <w:t xml:space="preserve"> </w:t>
      </w:r>
      <w:r>
        <w:t xml:space="preserve">«Sampling Permutations for Shapley Value Estimation»</w:t>
      </w:r>
      <w:r>
        <w:t xml:space="preserve">.</w:t>
      </w:r>
      <w:r>
        <w:t xml:space="preserve"> </w:t>
      </w:r>
      <w:r>
        <w:rPr>
          <w:i/>
          <w:iCs/>
        </w:rPr>
        <w:t xml:space="preserve">Journal of Machine Learning Research</w:t>
      </w:r>
      <w:r>
        <w:t xml:space="preserve"> </w:t>
      </w:r>
      <w:r>
        <w:t xml:space="preserve">23: 1-46.</w:t>
      </w:r>
    </w:p>
    <w:bookmarkEnd w:id="353"/>
    <w:bookmarkStart w:id="355"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w:t>
      </w:r>
      <w:r>
        <w:t xml:space="preserve"> </w:t>
      </w:r>
      <w:r>
        <w:rPr>
          <w:i/>
          <w:iCs/>
        </w:rPr>
        <w:t xml:space="preserve">Proceedings of the 2023 Fifteenth International Conference on Contemporary Computing</w:t>
      </w:r>
      <w:r>
        <w:t xml:space="preserve">, 537-44.</w:t>
      </w:r>
      <w:r>
        <w:t xml:space="preserve"> </w:t>
      </w:r>
      <w:hyperlink ns5:id="rId354">
        <w:r>
          <w:rPr>
            <w:rStyle w:val="Hipervnculo"/>
          </w:rPr>
          <w:t xml:space="preserve">https://doi.org/10.1145/3607947.3608059</w:t>
        </w:r>
      </w:hyperlink>
      <w:r>
        <w:t xml:space="preserve">.</w:t>
      </w:r>
    </w:p>
    <w:bookmarkEnd w:id="355"/>
    <w:bookmarkStart w:id="357" w:name="ref-mittelstadt2019"/>
    <w:p>
      <w:pPr>
        <w:pStyle w:val="Bibliography"/>
        <w:spacing w:line="360" w:lineRule="auto"/>
        <w:jc w:val="both"/>
      </w:pPr>
      <w:r>
        <w:t xml:space="preserve">Mittelstadt, Russell, B. 2019.</w:t>
      </w:r>
      <w:r>
        <w:t xml:space="preserve"> </w:t>
      </w:r>
      <w:r>
        <w:t xml:space="preserve">«Explaining Explanations in AI»</w:t>
      </w:r>
      <w:r>
        <w:t xml:space="preserve">.</w:t>
      </w:r>
      <w:r>
        <w:t xml:space="preserve"> </w:t>
      </w:r>
      <w:r>
        <w:rPr>
          <w:i/>
          <w:iCs/>
        </w:rPr>
        <w:t xml:space="preserve">FAT* ’19: Proceedings of the Conference on Fairness, Accountability, and Transparency, 279–288</w:t>
      </w:r>
      <w:r>
        <w:t xml:space="preserve">, advance online publication.</w:t>
      </w:r>
      <w:r>
        <w:t xml:space="preserve"> </w:t>
      </w:r>
      <w:hyperlink ns5:id="rId356">
        <w:r>
          <w:rPr>
            <w:rStyle w:val="Hipervnculo"/>
          </w:rPr>
          <w:t xml:space="preserve">https://doi.org/10.1145/3287560.3287574</w:t>
        </w:r>
      </w:hyperlink>
      <w:r>
        <w:t xml:space="preserve">.</w:t>
      </w:r>
    </w:p>
    <w:bookmarkEnd w:id="357"/>
    <w:bookmarkStart w:id="359" w:name="ref-mohseni2021"/>
    <w:p>
      <w:pPr>
        <w:pStyle w:val="Bibliography"/>
        <w:spacing w:line="360" w:lineRule="auto"/>
        <w:jc w:val="both"/>
      </w:pPr>
      <w:r>
        <w:t xml:space="preserve">Mohseni, Sina, Niloofar Zarei, y Eric D. Ragan. 2021.</w:t>
      </w:r>
      <w:r>
        <w:t xml:space="preserve"> </w:t>
      </w:r>
      <w:r>
        <w:t xml:space="preserve">«A Multidisciplinary Survey and Framework for Design and Evaluation of Explainable AI Systems»</w:t>
      </w:r>
      <w:r>
        <w:t xml:space="preserve">.</w:t>
      </w:r>
      <w:r>
        <w:t xml:space="preserve"> </w:t>
      </w:r>
      <w:r>
        <w:rPr>
          <w:i/>
          <w:iCs/>
        </w:rPr>
        <w:t xml:space="preserve">ACM Transactions on Interactive Intelligent Systems</w:t>
      </w:r>
      <w:r>
        <w:t xml:space="preserve"> </w:t>
      </w:r>
      <w:r>
        <w:t xml:space="preserve">11 (3-4): 1-45.</w:t>
      </w:r>
      <w:r>
        <w:t xml:space="preserve"> </w:t>
      </w:r>
      <w:hyperlink ns5:id="rId358">
        <w:r>
          <w:rPr>
            <w:rStyle w:val="Hipervnculo"/>
          </w:rPr>
          <w:t xml:space="preserve">https://doi.org/10.1145/3387166</w:t>
        </w:r>
      </w:hyperlink>
      <w:r>
        <w:t xml:space="preserve">.</w:t>
      </w:r>
    </w:p>
    <w:bookmarkEnd w:id="359"/>
    <w:bookmarkStart w:id="361" w:name="ref-molnar2020"/>
    <w:p>
      <w:pPr>
        <w:pStyle w:val="Bibliography"/>
        <w:spacing w:line="360" w:lineRule="auto"/>
        <w:jc w:val="both"/>
      </w:pPr>
      <w:r>
        <w:t xml:space="preserve">Molnar, Christoph, Giuseppe Casalicchio, y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0">
        <w:r>
          <w:rPr>
            <w:rStyle w:val="Hipervnculo"/>
          </w:rPr>
          <w:t xml:space="preserve">https://doi.org/10.1007/978-3-030-65965-3_28</w:t>
        </w:r>
      </w:hyperlink>
      <w:r>
        <w:t xml:space="preserve">.</w:t>
      </w:r>
    </w:p>
    <w:bookmarkEnd w:id="361"/>
    <w:bookmarkStart w:id="363" w:name="ref-morrison2023"/>
    <w:p>
      <w:pPr>
        <w:pStyle w:val="Bibliography"/>
        <w:spacing w:line="360" w:lineRule="auto"/>
        <w:jc w:val="both"/>
      </w:pPr>
      <w:r>
        <w:t xml:space="preserve">Morrison, Katelyn, Mayank Jain, Jessica Hammer, y Adam Perer. 2023.</w:t>
      </w:r>
      <w:r>
        <w:t xml:space="preserve"> </w:t>
      </w:r>
      <w:r>
        <w:t xml:space="preserve">«Eye into AI: Evaluating the Interpretability of Explainable AI Techniques through a Game with a Purpose»</w:t>
      </w:r>
      <w:r>
        <w:t xml:space="preserve">.</w:t>
      </w:r>
      <w:r>
        <w:t xml:space="preserve"> </w:t>
      </w:r>
      <w:r>
        <w:rPr>
          <w:i/>
          <w:iCs/>
        </w:rPr>
        <w:t xml:space="preserve">Proceedings of the ACM on Human-Computer Interaction</w:t>
      </w:r>
      <w:r>
        <w:t xml:space="preserve"> </w:t>
      </w:r>
      <w:r>
        <w:t xml:space="preserve">7 (CSCW2): 1-22.</w:t>
      </w:r>
      <w:r>
        <w:t xml:space="preserve"> </w:t>
      </w:r>
      <w:hyperlink ns5:id="rId362">
        <w:r>
          <w:rPr>
            <w:rStyle w:val="Hipervnculo"/>
          </w:rPr>
          <w:t xml:space="preserve">https://doi.org/10.1145/3610064</w:t>
        </w:r>
      </w:hyperlink>
      <w:r>
        <w:t xml:space="preserve">.</w:t>
      </w:r>
    </w:p>
    <w:bookmarkEnd w:id="363"/>
    <w:bookmarkStart w:id="365"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w:t>
      </w:r>
      <w:r>
        <w:t xml:space="preserve"> </w:t>
      </w:r>
      <w:r>
        <w:rPr>
          <w:i/>
          <w:iCs/>
        </w:rPr>
        <w:t xml:space="preserve">FAT* ’20: Proceedings of the 2020 Conference on Fairness, Accountability, and Transparency</w:t>
      </w:r>
      <w:r>
        <w:t xml:space="preserve">, advance online publication.</w:t>
      </w:r>
      <w:r>
        <w:t xml:space="preserve"> </w:t>
      </w:r>
      <w:hyperlink ns5:id="rId364">
        <w:r>
          <w:rPr>
            <w:rStyle w:val="Hipervnculo"/>
          </w:rPr>
          <w:t xml:space="preserve">https://doi.org/10.1145/3351095.3372850</w:t>
        </w:r>
      </w:hyperlink>
      <w:r>
        <w:t xml:space="preserve">.</w:t>
      </w:r>
    </w:p>
    <w:bookmarkEnd w:id="365"/>
    <w:bookmarkStart w:id="367" w:name="ref-muntasir2024"/>
    <w:p>
      <w:pPr>
        <w:pStyle w:val="Bibliography"/>
        <w:spacing w:line="360" w:lineRule="auto"/>
        <w:jc w:val="both"/>
      </w:pPr>
      <w:r>
        <w:t xml:space="preserve">Muntasir, Fahim, y Jannatun Noor. 2024.</w:t>
      </w:r>
      <w:r>
        <w:t xml:space="preserve"> </w:t>
      </w:r>
      <w:r>
        <w:t xml:space="preserve">«Explainable AI Discloses Gender Bias in Sexism Detection Algorithm»</w:t>
      </w:r>
      <w:r>
        <w:t xml:space="preserve">.</w:t>
      </w:r>
      <w:r>
        <w:t xml:space="preserve"> </w:t>
      </w:r>
      <w:r>
        <w:rPr>
          <w:i/>
          <w:iCs/>
        </w:rPr>
        <w:t xml:space="preserve">Proceedings of the 11th International Conference on Networking, Systems, and Security</w:t>
      </w:r>
      <w:r>
        <w:t xml:space="preserve">, 120-27.</w:t>
      </w:r>
      <w:r>
        <w:t xml:space="preserve"> </w:t>
      </w:r>
      <w:hyperlink ns5:id="rId366">
        <w:r>
          <w:rPr>
            <w:rStyle w:val="Hipervnculo"/>
          </w:rPr>
          <w:t xml:space="preserve">https://doi.org/10.1145/3704522.3704524</w:t>
        </w:r>
      </w:hyperlink>
      <w:r>
        <w:t xml:space="preserve">.</w:t>
      </w:r>
    </w:p>
    <w:bookmarkEnd w:id="367"/>
    <w:bookmarkStart w:id="369"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w:t>
      </w:r>
      <w:r>
        <w:t xml:space="preserve"> </w:t>
      </w:r>
      <w:r>
        <w:rPr>
          <w:i/>
          <w:iCs/>
        </w:rPr>
        <w:t xml:space="preserve">Proceedings of the National Academy of Sciences</w:t>
      </w:r>
      <w:r>
        <w:t xml:space="preserve"> </w:t>
      </w:r>
      <w:r>
        <w:t xml:space="preserve">116 (44): 22071-80.</w:t>
      </w:r>
      <w:r>
        <w:t xml:space="preserve"> </w:t>
      </w:r>
      <w:hyperlink ns5:id="rId368">
        <w:r>
          <w:rPr>
            <w:rStyle w:val="Hipervnculo"/>
          </w:rPr>
          <w:t xml:space="preserve">https://doi.org/10.1073/pnas.1900654116</w:t>
        </w:r>
      </w:hyperlink>
      <w:r>
        <w:t xml:space="preserve">.</w:t>
      </w:r>
    </w:p>
    <w:bookmarkEnd w:id="369"/>
    <w:bookmarkStart w:id="371" w:name="ref-nannini2024"/>
    <w:p>
      <w:pPr>
        <w:pStyle w:val="Bibliography"/>
        <w:spacing w:line="360" w:lineRule="auto"/>
        <w:jc w:val="both"/>
      </w:pPr>
      <w:r>
        <w:t xml:space="preserve">Nannini, Luca, Marta Marchiori Manerba, y Isacco Beretta. 2024.</w:t>
      </w:r>
      <w:r>
        <w:t xml:space="preserve"> </w:t>
      </w:r>
      <w:r>
        <w:t xml:space="preserve">«Mapping the landscape of ethical considerations in explainable AI research»</w:t>
      </w:r>
      <w:r>
        <w:t xml:space="preserve">.</w:t>
      </w:r>
      <w:r>
        <w:t xml:space="preserve"> </w:t>
      </w:r>
      <w:r>
        <w:rPr>
          <w:i/>
          <w:iCs/>
        </w:rPr>
        <w:t xml:space="preserve">Ethics and Information Technology</w:t>
      </w:r>
      <w:r>
        <w:t xml:space="preserve"> </w:t>
      </w:r>
      <w:r>
        <w:t xml:space="preserve">26 (3).</w:t>
      </w:r>
      <w:r>
        <w:t xml:space="preserve"> </w:t>
      </w:r>
      <w:hyperlink ns5:id="rId370">
        <w:r>
          <w:rPr>
            <w:rStyle w:val="Hipervnculo"/>
          </w:rPr>
          <w:t xml:space="preserve">https://doi.org/10.1007/s10676-024-09773-7</w:t>
        </w:r>
      </w:hyperlink>
      <w:r>
        <w:t xml:space="preserve">.</w:t>
      </w:r>
    </w:p>
    <w:bookmarkEnd w:id="371"/>
    <w:bookmarkStart w:id="373"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w:t>
      </w:r>
      <w:r>
        <w:t xml:space="preserve"> </w:t>
      </w:r>
      <w:r>
        <w:rPr>
          <w:i/>
          <w:iCs/>
        </w:rPr>
        <w:t xml:space="preserve">ACM Computing Surveys</w:t>
      </w:r>
      <w:r>
        <w:t xml:space="preserve"> </w:t>
      </w:r>
      <w:r>
        <w:t xml:space="preserve">55 (13s): 1-42.</w:t>
      </w:r>
      <w:r>
        <w:t xml:space="preserve"> </w:t>
      </w:r>
      <w:hyperlink ns5:id="rId372">
        <w:r>
          <w:rPr>
            <w:rStyle w:val="Hipervnculo"/>
          </w:rPr>
          <w:t xml:space="preserve">https://doi.org/10.1145/3583558</w:t>
        </w:r>
      </w:hyperlink>
      <w:r>
        <w:t xml:space="preserve">.</w:t>
      </w:r>
    </w:p>
    <w:bookmarkEnd w:id="373"/>
    <w:bookmarkStart w:id="375" w:name="ref-nemenyi1963"/>
    <w:p>
      <w:pPr>
        <w:pStyle w:val="Bibliography"/>
        <w:spacing w:line="360" w:lineRule="auto"/>
        <w:jc w:val="both"/>
      </w:pPr>
      <w:r>
        <w:t xml:space="preserve">Nemenyi, Peter Bjorn. 1963.</w:t>
      </w:r>
      <w:r>
        <w:t xml:space="preserve"> </w:t>
      </w:r>
      <w:r>
        <w:t xml:space="preserve">«Distribution-free Multiple Comparisons»</w:t>
      </w:r>
      <w:r>
        <w:t xml:space="preserve">. Tesis doctoral, Princeton University.</w:t>
      </w:r>
      <w:r>
        <w:t xml:space="preserve"> </w:t>
      </w:r>
      <w:hyperlink ns5:id="rId374">
        <w:r>
          <w:rPr>
            <w:rStyle w:val="Hipervnculo"/>
          </w:rPr>
          <w:t xml:space="preserve">https://catalog.princeton.edu/catalog/2081365</w:t>
        </w:r>
      </w:hyperlink>
      <w:r>
        <w:t xml:space="preserve">.</w:t>
      </w:r>
    </w:p>
    <w:bookmarkEnd w:id="375"/>
    <w:bookmarkStart w:id="377" w:name="ref-ngueajio2025"/>
    <w:p>
      <w:pPr>
        <w:pStyle w:val="Bibliography"/>
        <w:spacing w:line="360" w:lineRule="auto"/>
        <w:jc w:val="both"/>
      </w:pPr>
      <w:r>
        <w:t xml:space="preserve">Ngueajio, Mikel K., Saurav Aryal, Marcellin Atemkeng, Gloria Washington, y Danda Rawat. 2025.</w:t>
      </w:r>
      <w:r>
        <w:t xml:space="preserve"> </w:t>
      </w:r>
      <w:r>
        <w:t xml:space="preserve">«Decoding Fake News and Hate Speech: A Survey of Explainable AI Techniques»</w:t>
      </w:r>
      <w:r>
        <w:t xml:space="preserve">.</w:t>
      </w:r>
      <w:r>
        <w:t xml:space="preserve"> </w:t>
      </w:r>
      <w:r>
        <w:rPr>
          <w:i/>
          <w:iCs/>
        </w:rPr>
        <w:t xml:space="preserve">ACM Computing Surveys</w:t>
      </w:r>
      <w:r>
        <w:t xml:space="preserve"> </w:t>
      </w:r>
      <w:r>
        <w:t xml:space="preserve">57 (7): 1-37.</w:t>
      </w:r>
      <w:r>
        <w:t xml:space="preserve"> </w:t>
      </w:r>
      <w:hyperlink ns5:id="rId376">
        <w:r>
          <w:rPr>
            <w:rStyle w:val="Hipervnculo"/>
          </w:rPr>
          <w:t xml:space="preserve">https://doi.org/10.1145/3711123</w:t>
        </w:r>
      </w:hyperlink>
      <w:r>
        <w:t xml:space="preserve">.</w:t>
      </w:r>
    </w:p>
    <w:bookmarkEnd w:id="377"/>
    <w:bookmarkStart w:id="378" w:name="ref-nguyen2019"/>
    <w:p>
      <w:pPr>
        <w:pStyle w:val="Bibliography"/>
        <w:spacing w:line="360" w:lineRule="auto"/>
        <w:jc w:val="both"/>
      </w:pPr>
      <w:r>
        <w:t xml:space="preserve">Nguyen, An-phi, y Maria Rodriguez Martinez. 2019.</w:t>
      </w:r>
      <w:r>
        <w:t xml:space="preserve"> </w:t>
      </w:r>
      <w:r>
        <w:rPr>
          <w:i/>
          <w:iCs/>
        </w:rPr>
        <w:t xml:space="preserve">MonoNet: Towards Interpretable Models by Learning Monotonic Features</w:t>
      </w:r>
      <w:r>
        <w:t xml:space="preserve">.</w:t>
      </w:r>
    </w:p>
    <w:bookmarkEnd w:id="378"/>
    <w:bookmarkStart w:id="380" w:name="ref-nimmo2024"/>
    <w:p>
      <w:pPr>
        <w:pStyle w:val="Bibliography"/>
        <w:spacing w:line="360" w:lineRule="auto"/>
        <w:jc w:val="both"/>
      </w:pPr>
      <w:r>
        <w:t xml:space="preserve">Nimmo, Robert, Marios Constantinides, Ke Zhou, Daniele Quercia, y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79">
        <w:r>
          <w:rPr>
            <w:rStyle w:val="Hipervnculo"/>
          </w:rPr>
          <w:t xml:space="preserve">https://doi.org/10.1145/3613904.3642352</w:t>
        </w:r>
      </w:hyperlink>
      <w:r>
        <w:t xml:space="preserve">.</w:t>
      </w:r>
    </w:p>
    <w:bookmarkEnd w:id="380"/>
    <w:bookmarkStart w:id="381" w:name="ref-nizam2023"/>
    <w:p>
      <w:pPr>
        <w:pStyle w:val="Bibliography"/>
        <w:spacing w:line="360" w:lineRule="auto"/>
        <w:jc w:val="both"/>
      </w:pPr>
      <w:r>
        <w:t xml:space="preserve">Nizam, T., y S. Zafar. 2023.</w:t>
      </w:r>
      <w:r>
        <w:t xml:space="preserve"> </w:t>
      </w:r>
      <w:r>
        <w:t xml:space="preserve">«Towards a Standardised Evaluation Approach for Diverse XAI Methods»</w:t>
      </w:r>
      <w:r>
        <w:t xml:space="preserve">.</w:t>
      </w:r>
      <w:r>
        <w:t xml:space="preserve"> </w:t>
      </w:r>
      <w:r>
        <w:rPr>
          <w:i/>
          <w:iCs/>
        </w:rPr>
        <w:t xml:space="preserve">Explainable Artificial Intelligence (XAI): Conception, Visualization and Assessment</w:t>
      </w:r>
      <w:r>
        <w:t xml:space="preserve">.</w:t>
      </w:r>
    </w:p>
    <w:bookmarkEnd w:id="381"/>
    <w:bookmarkStart w:id="3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w:t>
      </w:r>
      <w:r>
        <w:t xml:space="preserve"> </w:t>
      </w:r>
      <w:r>
        <w:rPr>
          <w:i/>
          <w:iCs/>
        </w:rPr>
        <w:t xml:space="preserve">Nature Communications</w:t>
      </w:r>
      <w:r>
        <w:t xml:space="preserve"> </w:t>
      </w:r>
      <w:r>
        <w:t xml:space="preserve">13 (1).</w:t>
      </w:r>
      <w:r>
        <w:t xml:space="preserve"> </w:t>
      </w:r>
      <w:hyperlink ns5:id="rId382">
        <w:r>
          <w:rPr>
            <w:rStyle w:val="Hipervnculo"/>
          </w:rPr>
          <w:t xml:space="preserve">https://doi.org/10.1038/s41467-022-33417-3</w:t>
        </w:r>
      </w:hyperlink>
      <w:r>
        <w:t xml:space="preserve">.</w:t>
      </w:r>
    </w:p>
    <w:bookmarkEnd w:id="383"/>
    <w:bookmarkStart w:id="384" w:name="ref-olsen2022"/>
    <w:p>
      <w:pPr>
        <w:pStyle w:val="Bibliography"/>
        <w:spacing w:line="360" w:lineRule="auto"/>
        <w:jc w:val="both"/>
      </w:pPr>
      <w:r>
        <w:t xml:space="preserve">Olsen, Lars Henry Berge, Ingrid Kristine Glad, Martin Jullum, y Kjersti Aas. 2022.</w:t>
      </w:r>
      <w:r>
        <w:t xml:space="preserve"> </w:t>
      </w:r>
      <w:r>
        <w:t xml:space="preserve">«Using Shapley Values and Variational Autoencoders to Explain Predictive Models with Dependent Mixed Features»</w:t>
      </w:r>
      <w:r>
        <w:t xml:space="preserve">.</w:t>
      </w:r>
      <w:r>
        <w:t xml:space="preserve"> </w:t>
      </w:r>
      <w:r>
        <w:rPr>
          <w:i/>
          <w:iCs/>
        </w:rPr>
        <w:t xml:space="preserve">Journal of Machine Learning Research</w:t>
      </w:r>
      <w:r>
        <w:t xml:space="preserve"> </w:t>
      </w:r>
      <w:r>
        <w:t xml:space="preserve">23: 1-51.</w:t>
      </w:r>
    </w:p>
    <w:bookmarkEnd w:id="384"/>
    <w:bookmarkStart w:id="386"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w:t>
      </w:r>
      <w:r>
        <w:t xml:space="preserve"> </w:t>
      </w:r>
      <w:r>
        <w:rPr>
          <w:i/>
          <w:iCs/>
        </w:rPr>
        <w:t xml:space="preserve">Neurocomputing</w:t>
      </w:r>
      <w:r>
        <w:t xml:space="preserve"> </w:t>
      </w:r>
      <w:r>
        <w:t xml:space="preserve">602 (128282).</w:t>
      </w:r>
      <w:r>
        <w:t xml:space="preserve"> </w:t>
      </w:r>
      <w:hyperlink ns5:id="rId385">
        <w:r>
          <w:rPr>
            <w:rStyle w:val="Hipervnculo"/>
          </w:rPr>
          <w:t xml:space="preserve">https://doi.org/10.1016/j.neucom.2024.128282</w:t>
        </w:r>
      </w:hyperlink>
      <w:r>
        <w:t xml:space="preserve">.</w:t>
      </w:r>
    </w:p>
    <w:bookmarkEnd w:id="386"/>
    <w:bookmarkStart w:id="388" w:name="ref-peters2024"/>
    <w:p>
      <w:pPr>
        <w:pStyle w:val="Bibliography"/>
        <w:spacing w:line="360" w:lineRule="auto"/>
        <w:jc w:val="both"/>
      </w:pPr>
      <w:r>
        <w:t xml:space="preserve">Peters, Uwe, y Mary Carman. 2024.</w:t>
      </w:r>
      <w:r>
        <w:t xml:space="preserve"> </w:t>
      </w:r>
      <w:r>
        <w:t xml:space="preserve">«Cultural Bias in Explainable AI Research: A Systematic Analysis»</w:t>
      </w:r>
      <w:r>
        <w:t xml:space="preserve">.</w:t>
      </w:r>
      <w:r>
        <w:t xml:space="preserve"> </w:t>
      </w:r>
      <w:r>
        <w:rPr>
          <w:i/>
          <w:iCs/>
        </w:rPr>
        <w:t xml:space="preserve">Journal of Artificial Intelligence Research</w:t>
      </w:r>
      <w:r>
        <w:t xml:space="preserve"> </w:t>
      </w:r>
      <w:r>
        <w:t xml:space="preserve">79: 971-1000.</w:t>
      </w:r>
      <w:r>
        <w:t xml:space="preserve"> </w:t>
      </w:r>
      <w:hyperlink ns5:id="rId387">
        <w:r>
          <w:rPr>
            <w:rStyle w:val="Hipervnculo"/>
          </w:rPr>
          <w:t xml:space="preserve">https://doi.org/10.1613/jair.1.14888</w:t>
        </w:r>
      </w:hyperlink>
      <w:r>
        <w:t xml:space="preserve">.</w:t>
      </w:r>
    </w:p>
    <w:bookmarkEnd w:id="388"/>
    <w:bookmarkStart w:id="390"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w:t>
      </w:r>
      <w:r>
        <w:t xml:space="preserve"> </w:t>
      </w:r>
      <w:r>
        <w:rPr>
          <w:i/>
          <w:iCs/>
        </w:rPr>
        <w:t xml:space="preserve">Companion Publication of the 2024 Conference on Computer-Supported Cooperative Work and Social Computing</w:t>
      </w:r>
      <w:r>
        <w:t xml:space="preserve">, 43-46.</w:t>
      </w:r>
      <w:r>
        <w:t xml:space="preserve"> </w:t>
      </w:r>
      <w:hyperlink ns5:id="rId389">
        <w:r>
          <w:rPr>
            <w:rStyle w:val="Hipervnculo"/>
          </w:rPr>
          <w:t xml:space="preserve">https://doi.org/10.1145/3678884.3682046</w:t>
        </w:r>
      </w:hyperlink>
      <w:r>
        <w:t xml:space="preserve">.</w:t>
      </w:r>
    </w:p>
    <w:bookmarkEnd w:id="390"/>
    <w:bookmarkStart w:id="392" w:name="ref-poyiadzi2020"/>
    <w:p>
      <w:pPr>
        <w:pStyle w:val="Bibliography"/>
        <w:spacing w:line="360" w:lineRule="auto"/>
        <w:jc w:val="both"/>
      </w:pPr>
      <w:r>
        <w:t xml:space="preserve">Poyiadzi, Rafael, Kacper Sokol, Raul Santos-Rodriguez, Tijl De Bie, y Peter Flach. 2020.</w:t>
      </w:r>
      <w:r>
        <w:t xml:space="preserve"> </w:t>
      </w:r>
      <w:r>
        <w:t xml:space="preserve">«FACE: Feasible and Actionable Counterfactual Explanations»</w:t>
      </w:r>
      <w:r>
        <w:t xml:space="preserve">.</w:t>
      </w:r>
      <w:r>
        <w:t xml:space="preserve"> </w:t>
      </w:r>
      <w:r>
        <w:rPr>
          <w:i/>
          <w:iCs/>
        </w:rPr>
        <w:t xml:space="preserve">Proceedings of the AAAI/ACM Conference on AI, Ethics, and Society</w:t>
      </w:r>
      <w:r>
        <w:t xml:space="preserve">, 344-50.</w:t>
      </w:r>
      <w:r>
        <w:t xml:space="preserve"> </w:t>
      </w:r>
      <w:hyperlink ns5:id="rId391">
        <w:r>
          <w:rPr>
            <w:rStyle w:val="Hipervnculo"/>
          </w:rPr>
          <w:t xml:space="preserve">https://doi.org/10.1145/3375627.3375850</w:t>
        </w:r>
      </w:hyperlink>
      <w:r>
        <w:t xml:space="preserve">.</w:t>
      </w:r>
    </w:p>
    <w:bookmarkEnd w:id="392"/>
    <w:bookmarkStart w:id="393" w:name="ref-proszewska2025"/>
    <w:p>
      <w:pPr>
        <w:pStyle w:val="Bibliography"/>
        <w:spacing w:line="360" w:lineRule="auto"/>
        <w:jc w:val="both"/>
      </w:pPr>
      <w:r>
        <w:t xml:space="preserve">Proszewska, Magdalena, Tomasz Danel, y Dawid Rymarczyk. 2025.</w:t>
      </w:r>
      <w:r>
        <w:t xml:space="preserve"> </w:t>
      </w:r>
      <w:r>
        <w:rPr>
          <w:i/>
          <w:iCs/>
        </w:rPr>
        <w:t xml:space="preserve">B-XAIC Dataset: Benchmarking Explainable AI for Graph Neural Networks Using Chemical Data</w:t>
      </w:r>
      <w:r>
        <w:t xml:space="preserve">.</w:t>
      </w:r>
    </w:p>
    <w:bookmarkEnd w:id="393"/>
    <w:bookmarkStart w:id="394" w:name="ref-ramachandram2025"/>
    <w:p>
      <w:pPr>
        <w:pStyle w:val="Bibliography"/>
        <w:spacing w:line="360" w:lineRule="auto"/>
        <w:jc w:val="both"/>
      </w:pPr>
      <w:r>
        <w:t xml:space="preserve">Ramachandram, Dhanesh, Himanshu Joshi, Judy Zhu, Dhari Gandhi, Lucas Hartman, y Ananya Raval. 2025.</w:t>
      </w:r>
      <w:r>
        <w:t xml:space="preserve"> </w:t>
      </w:r>
      <w:r>
        <w:rPr>
          <w:i/>
          <w:iCs/>
        </w:rPr>
        <w:t xml:space="preserve">Transparent AI: The Case for Interpretability and Explainability</w:t>
      </w:r>
      <w:r>
        <w:t xml:space="preserve">. Vector Institute for Artificial Intelligence.</w:t>
      </w:r>
    </w:p>
    <w:bookmarkEnd w:id="394"/>
    <w:bookmarkStart w:id="396" w:name="ref-reif2025"/>
    <w:p>
      <w:pPr>
        <w:pStyle w:val="Bibliography"/>
        <w:spacing w:line="360" w:lineRule="auto"/>
        <w:jc w:val="both"/>
      </w:pPr>
      <w:r>
        <w:t xml:space="preserve">Reif, Jessica A., Richard P. Larrick, y Jack B. Soll. 2025.</w:t>
      </w:r>
      <w:r>
        <w:t xml:space="preserve"> </w:t>
      </w:r>
      <w:r>
        <w:t xml:space="preserve">«Evidence of a social evaluation penalty for using AI»</w:t>
      </w:r>
      <w:r>
        <w:t xml:space="preserve">.</w:t>
      </w:r>
      <w:r>
        <w:t xml:space="preserve"> </w:t>
      </w:r>
      <w:r>
        <w:rPr>
          <w:i/>
          <w:iCs/>
        </w:rPr>
        <w:t xml:space="preserve">Proceedings of the National Academy of Sciences</w:t>
      </w:r>
      <w:r>
        <w:t xml:space="preserve"> </w:t>
      </w:r>
      <w:r>
        <w:t xml:space="preserve">122 (19).</w:t>
      </w:r>
      <w:r>
        <w:t xml:space="preserve"> </w:t>
      </w:r>
      <w:hyperlink ns5:id="rId395">
        <w:r>
          <w:rPr>
            <w:rStyle w:val="Hipervnculo"/>
          </w:rPr>
          <w:t xml:space="preserve">https://doi.org/10.1073/pnas.2426766122</w:t>
        </w:r>
      </w:hyperlink>
      <w:r>
        <w:t xml:space="preserve">.</w:t>
      </w:r>
    </w:p>
    <w:bookmarkEnd w:id="396"/>
    <w:bookmarkStart w:id="39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w:t>
      </w:r>
      <w:r>
        <w:t xml:space="preserve"> </w:t>
      </w:r>
      <w:r>
        <w:rPr>
          <w:i/>
          <w:iCs/>
        </w:rPr>
        <w:t xml:space="preserve">arXiv preprint arXiv:1602.04938</w:t>
      </w:r>
      <w:r>
        <w:t xml:space="preserve">, advance online publication.</w:t>
      </w:r>
      <w:r>
        <w:t xml:space="preserve"> </w:t>
      </w:r>
      <w:hyperlink ns5:id="rId397">
        <w:r>
          <w:rPr>
            <w:rStyle w:val="Hipervnculo"/>
          </w:rPr>
          <w:t xml:space="preserve">https://doi.org/10.1145/2939672.2939778</w:t>
        </w:r>
      </w:hyperlink>
      <w:r>
        <w:t xml:space="preserve">.</w:t>
      </w:r>
    </w:p>
    <w:bookmarkEnd w:id="398"/>
    <w:bookmarkStart w:id="40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w:t>
      </w:r>
      <w:r>
        <w:t xml:space="preserve"> </w:t>
      </w:r>
      <w:r>
        <w:rPr>
          <w:i/>
          <w:iCs/>
        </w:rPr>
        <w:t xml:space="preserve">Proceedings of the AAAI Conference on Artificial Intelligence</w:t>
      </w:r>
      <w:r>
        <w:t xml:space="preserve"> </w:t>
      </w:r>
      <w:r>
        <w:t xml:space="preserve">32 (1).</w:t>
      </w:r>
      <w:r>
        <w:t xml:space="preserve"> </w:t>
      </w:r>
      <w:hyperlink ns5:id="rId399">
        <w:r>
          <w:rPr>
            <w:rStyle w:val="Hipervnculo"/>
          </w:rPr>
          <w:t xml:space="preserve">https://doi.org/10.1609/aaai.v32i1.11491</w:t>
        </w:r>
      </w:hyperlink>
      <w:r>
        <w:t xml:space="preserve">.</w:t>
      </w:r>
    </w:p>
    <w:bookmarkEnd w:id="400"/>
    <w:bookmarkStart w:id="402" w:name="ref-rodriguez2024"/>
    <w:p>
      <w:pPr>
        <w:pStyle w:val="Bibliography"/>
        <w:spacing w:line="360" w:lineRule="auto"/>
        <w:jc w:val="both"/>
      </w:pPr>
      <w:r>
        <w:t xml:space="preserve">Rodriguez, Sebastian, y John Thangarajah. 2024.</w:t>
      </w:r>
      <w:r>
        <w:t xml:space="preserve"> </w:t>
      </w:r>
      <w:r>
        <w:t xml:space="preserve">«Explainable Agents (XAg) by Design»</w:t>
      </w:r>
      <w:r>
        <w:t xml:space="preserve">.</w:t>
      </w:r>
      <w:r>
        <w:t xml:space="preserve"> </w:t>
      </w:r>
      <w:r>
        <w:rPr>
          <w:i/>
          <w:iCs/>
        </w:rPr>
        <w:t xml:space="preserve">International Joint Conference on Autonomous Agents and Multiagent Systems</w:t>
      </w:r>
      <w:r>
        <w:t xml:space="preserve">, 2712-16.</w:t>
      </w:r>
      <w:r>
        <w:t xml:space="preserve"> </w:t>
      </w:r>
      <w:hyperlink ns5:id="rId401">
        <w:r>
          <w:rPr>
            <w:rStyle w:val="Hipervnculo"/>
          </w:rPr>
          <w:t xml:space="preserve">https://doi.org/10.65109/vllw9552</w:t>
        </w:r>
      </w:hyperlink>
      <w:r>
        <w:t xml:space="preserve">.</w:t>
      </w:r>
    </w:p>
    <w:bookmarkEnd w:id="402"/>
    <w:bookmarkStart w:id="404"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w:t>
      </w:r>
      <w:r>
        <w:t xml:space="preserve"> </w:t>
      </w:r>
      <w:r>
        <w:rPr>
          <w:i/>
          <w:iCs/>
        </w:rPr>
        <w:t xml:space="preserve">IEEE Transactions on Pattern Analysis and Machine Intelligence</w:t>
      </w:r>
      <w:r>
        <w:t xml:space="preserve"> </w:t>
      </w:r>
      <w:r>
        <w:t xml:space="preserve">46 (4): 2104-22.</w:t>
      </w:r>
      <w:r>
        <w:t xml:space="preserve"> </w:t>
      </w:r>
      <w:hyperlink ns5:id="rId403">
        <w:r>
          <w:rPr>
            <w:rStyle w:val="Hipervnculo"/>
          </w:rPr>
          <w:t xml:space="preserve">https://doi.org/10.1109/TPAMI.2023.3331846</w:t>
        </w:r>
      </w:hyperlink>
      <w:r>
        <w:t xml:space="preserve">.</w:t>
      </w:r>
    </w:p>
    <w:bookmarkEnd w:id="404"/>
    <w:bookmarkStart w:id="406"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w:t>
      </w:r>
      <w:r>
        <w:t xml:space="preserve"> </w:t>
      </w:r>
      <w:r>
        <w:rPr>
          <w:i/>
          <w:iCs/>
        </w:rPr>
        <w:t xml:space="preserve">Statistics Surveys</w:t>
      </w:r>
      <w:r>
        <w:t xml:space="preserve"> </w:t>
      </w:r>
      <w:r>
        <w:t xml:space="preserve">16 (none).</w:t>
      </w:r>
      <w:r>
        <w:t xml:space="preserve"> </w:t>
      </w:r>
      <w:hyperlink ns5:id="rId405">
        <w:r>
          <w:rPr>
            <w:rStyle w:val="Hipervnculo"/>
          </w:rPr>
          <w:t xml:space="preserve">https://doi.org/10.1214/21-ss133</w:t>
        </w:r>
      </w:hyperlink>
      <w:r>
        <w:t xml:space="preserve">.</w:t>
      </w:r>
    </w:p>
    <w:bookmarkEnd w:id="406"/>
    <w:bookmarkStart w:id="408"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w:t>
      </w:r>
      <w:r>
        <w:t xml:space="preserve">1 (5): 206-15.</w:t>
      </w:r>
      <w:r>
        <w:t xml:space="preserve"> </w:t>
      </w:r>
      <w:hyperlink ns5:id="rId407">
        <w:r>
          <w:rPr>
            <w:rStyle w:val="Hipervnculo"/>
          </w:rPr>
          <w:t xml:space="preserve">https://doi.org/10.1038/s42256-019-0048-x</w:t>
        </w:r>
      </w:hyperlink>
      <w:r>
        <w:t xml:space="preserve">.</w:t>
      </w:r>
    </w:p>
    <w:bookmarkEnd w:id="408"/>
    <w:bookmarkStart w:id="410"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w:t>
      </w:r>
      <w:r>
        <w:t xml:space="preserve"> </w:t>
      </w:r>
      <w:r>
        <w:rPr>
          <w:i/>
          <w:iCs/>
        </w:rPr>
        <w:t xml:space="preserve">Applied Sciences</w:t>
      </w:r>
      <w:r>
        <w:t xml:space="preserve"> </w:t>
      </w:r>
      <w:r>
        <w:t xml:space="preserve">14 (19): 8884.</w:t>
      </w:r>
      <w:r>
        <w:t xml:space="preserve"> </w:t>
      </w:r>
      <w:hyperlink ns5:id="rId409">
        <w:r>
          <w:rPr>
            <w:rStyle w:val="Hipervnculo"/>
          </w:rPr>
          <w:t xml:space="preserve">https://doi.org/10.3390/app14198884</w:t>
        </w:r>
      </w:hyperlink>
      <w:r>
        <w:t xml:space="preserve">.</w:t>
      </w:r>
    </w:p>
    <w:bookmarkEnd w:id="410"/>
    <w:bookmarkStart w:id="412"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w:t>
      </w:r>
      <w:r>
        <w:t xml:space="preserve"> </w:t>
      </w:r>
      <w:r>
        <w:rPr>
          <w:i/>
          <w:iCs/>
        </w:rPr>
        <w:t xml:space="preserve">Knowledge-Based Systems</w:t>
      </w:r>
      <w:r>
        <w:t xml:space="preserve"> </w:t>
      </w:r>
      <w:r>
        <w:t xml:space="preserve">263: 110273.</w:t>
      </w:r>
      <w:r>
        <w:t xml:space="preserve"> </w:t>
      </w:r>
      <w:hyperlink ns5:id="rId411">
        <w:r>
          <w:rPr>
            <w:rStyle w:val="Hipervnculo"/>
          </w:rPr>
          <w:t xml:space="preserve">https://doi.org/10.1016/j.knosys.2023.110273</w:t>
        </w:r>
      </w:hyperlink>
      <w:r>
        <w:t xml:space="preserve">.</w:t>
      </w:r>
    </w:p>
    <w:bookmarkEnd w:id="412"/>
    <w:bookmarkStart w:id="414"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w:t>
      </w:r>
      <w:r>
        <w:t xml:space="preserve"> </w:t>
      </w:r>
      <w:r>
        <w:rPr>
          <w:i/>
          <w:iCs/>
        </w:rPr>
        <w:t xml:space="preserve">In Lecture notes in computer science</w:t>
      </w:r>
      <w:r>
        <w:t xml:space="preserve">, advance online publication.</w:t>
      </w:r>
      <w:r>
        <w:t xml:space="preserve"> </w:t>
      </w:r>
      <w:hyperlink ns5:id="rId413">
        <w:r>
          <w:rPr>
            <w:rStyle w:val="Hipervnculo"/>
          </w:rPr>
          <w:t xml:space="preserve">https://doi.org/10.1007/978-3-030-28954-6</w:t>
        </w:r>
      </w:hyperlink>
      <w:r>
        <w:t xml:space="preserve">.</w:t>
      </w:r>
    </w:p>
    <w:bookmarkEnd w:id="414"/>
    <w:bookmarkStart w:id="416" w:name="ref-saqib2024"/>
    <w:p>
      <w:pPr>
        <w:pStyle w:val="Bibliography"/>
        <w:spacing w:line="360" w:lineRule="auto"/>
        <w:jc w:val="both"/>
      </w:pPr>
      <w:r>
        <w:t xml:space="preserve">Saqib, Mohd, Samaneh Mahdavifar, Benjamin C. M. Fung, y Philippe Charland. 2024.</w:t>
      </w:r>
      <w:r>
        <w:t xml:space="preserve"> </w:t>
      </w:r>
      <w:r>
        <w:t xml:space="preserve">«A Comprehensive Analysis of Explainable AI for Malware Hunting»</w:t>
      </w:r>
      <w:r>
        <w:t xml:space="preserve">.</w:t>
      </w:r>
      <w:r>
        <w:t xml:space="preserve"> </w:t>
      </w:r>
      <w:r>
        <w:rPr>
          <w:i/>
          <w:iCs/>
        </w:rPr>
        <w:t xml:space="preserve">ACM Computing Surveys</w:t>
      </w:r>
      <w:r>
        <w:t xml:space="preserve"> </w:t>
      </w:r>
      <w:r>
        <w:t xml:space="preserve">56 (12): 1-40.</w:t>
      </w:r>
      <w:r>
        <w:t xml:space="preserve"> </w:t>
      </w:r>
      <w:hyperlink ns5:id="rId415">
        <w:r>
          <w:rPr>
            <w:rStyle w:val="Hipervnculo"/>
          </w:rPr>
          <w:t xml:space="preserve">https://doi.org/10.1145/3677374</w:t>
        </w:r>
      </w:hyperlink>
      <w:r>
        <w:t xml:space="preserve">.</w:t>
      </w:r>
    </w:p>
    <w:bookmarkEnd w:id="416"/>
    <w:bookmarkStart w:id="418"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w:t>
      </w:r>
      <w:r>
        <w:t xml:space="preserve"> </w:t>
      </w:r>
      <w:r>
        <w:rPr>
          <w:i/>
          <w:iCs/>
        </w:rPr>
        <w:t xml:space="preserve">Data Mining and Knowledge Discovery</w:t>
      </w:r>
      <w:r>
        <w:t xml:space="preserve"> </w:t>
      </w:r>
      <w:r>
        <w:t xml:space="preserve">38 (5): 3043-101.</w:t>
      </w:r>
      <w:r>
        <w:t xml:space="preserve"> </w:t>
      </w:r>
      <w:hyperlink ns5:id="rId417">
        <w:r>
          <w:rPr>
            <w:rStyle w:val="Hipervnculo"/>
          </w:rPr>
          <w:t xml:space="preserve">https://doi.org/10.1007/s10618-022-00867-8</w:t>
        </w:r>
      </w:hyperlink>
      <w:r>
        <w:t xml:space="preserve">.</w:t>
      </w:r>
    </w:p>
    <w:bookmarkEnd w:id="418"/>
    <w:bookmarkStart w:id="420"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19">
        <w:r>
          <w:rPr>
            <w:rStyle w:val="Hipervnculo"/>
          </w:rPr>
          <w:t xml:space="preserve">https://www.rand.org/pubs/papers/P0295.html</w:t>
        </w:r>
      </w:hyperlink>
      <w:r>
        <w:t xml:space="preserve">.</w:t>
      </w:r>
    </w:p>
    <w:bookmarkEnd w:id="420"/>
    <w:bookmarkStart w:id="422" w:name="ref-sithakoul2024"/>
    <w:p>
      <w:pPr>
        <w:pStyle w:val="Bibliography"/>
        <w:spacing w:line="360" w:lineRule="auto"/>
        <w:jc w:val="both"/>
      </w:pPr>
      <w:r>
        <w:t xml:space="preserve">Sithakoul, Samuel, Sara Meftah, y Clément Feutry. 2024.</w:t>
      </w:r>
      <w:r>
        <w:t xml:space="preserve"> </w:t>
      </w:r>
      <w:r>
        <w:rPr>
          <w:i/>
          <w:iCs/>
        </w:rPr>
        <w:t xml:space="preserve">BEExAI: Benchmark to Evaluate Explainable AI</w:t>
      </w:r>
      <w:r>
        <w:t xml:space="preserve">. Springer Nature Switzerland.</w:t>
      </w:r>
      <w:r>
        <w:t xml:space="preserve"> </w:t>
      </w:r>
      <w:hyperlink ns5:id="rId421">
        <w:r>
          <w:rPr>
            <w:rStyle w:val="Hipervnculo"/>
          </w:rPr>
          <w:t xml:space="preserve">https://doi.org/10.1007/978-3-031-63787-2_23</w:t>
        </w:r>
      </w:hyperlink>
      <w:r>
        <w:t xml:space="preserve">.</w:t>
      </w:r>
    </w:p>
    <w:bookmarkEnd w:id="422"/>
    <w:bookmarkStart w:id="424" w:name="ref-slack2020"/>
    <w:p>
      <w:pPr>
        <w:pStyle w:val="Bibliography"/>
        <w:spacing w:line="360" w:lineRule="auto"/>
        <w:jc w:val="both"/>
      </w:pPr>
      <w:r>
        <w:t xml:space="preserve">Slack, Dylan, Sophie Hilgard, Emily Jia, Sameer Singh, y Himabindu Lakkaraju. 2020.</w:t>
      </w:r>
      <w:r>
        <w:t xml:space="preserve"> </w:t>
      </w:r>
      <w:r>
        <w:t xml:space="preserve">«Fooling LIME and SHAP: Adversarial Attacks on Post Hoc Explanation Methods»</w:t>
      </w:r>
      <w:r>
        <w:t xml:space="preserve">.</w:t>
      </w:r>
      <w:r>
        <w:t xml:space="preserve"> </w:t>
      </w:r>
      <w:r>
        <w:rPr>
          <w:i/>
          <w:iCs/>
        </w:rPr>
        <w:t xml:space="preserve">Proceedings of the AAAI/ACM Conference on AI, Ethics, and Society</w:t>
      </w:r>
      <w:r>
        <w:t xml:space="preserve">, 180-86.</w:t>
      </w:r>
      <w:r>
        <w:t xml:space="preserve"> </w:t>
      </w:r>
      <w:hyperlink ns5:id="rId423">
        <w:r>
          <w:rPr>
            <w:rStyle w:val="Hipervnculo"/>
          </w:rPr>
          <w:t xml:space="preserve">https://doi.org/10.1145/3375627.3375830</w:t>
        </w:r>
      </w:hyperlink>
      <w:r>
        <w:t xml:space="preserve">.</w:t>
      </w:r>
    </w:p>
    <w:bookmarkEnd w:id="424"/>
    <w:bookmarkStart w:id="426" w:name="ref-sokol2020"/>
    <w:p>
      <w:pPr>
        <w:pStyle w:val="Bibliography"/>
        <w:spacing w:line="360" w:lineRule="auto"/>
        <w:jc w:val="both"/>
      </w:pPr>
      <w:r>
        <w:t xml:space="preserve">Sokol, Kacper, y Peter Flach. 2020.</w:t>
      </w:r>
      <w:r>
        <w:t xml:space="preserve"> </w:t>
      </w:r>
      <w:r>
        <w:t xml:space="preserve">«One Explanation Does Not Fit All: The Promise of Interactive Explanations for Machine Learning Transparency»</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5">
        <w:r>
          <w:rPr>
            <w:rStyle w:val="Hipervnculo"/>
          </w:rPr>
          <w:t xml:space="preserve">https://doi.org/10.1007/s13218-020-00637-y</w:t>
        </w:r>
      </w:hyperlink>
      <w:r>
        <w:t xml:space="preserve">.</w:t>
      </w:r>
    </w:p>
    <w:bookmarkEnd w:id="426"/>
    <w:bookmarkStart w:id="428" w:name="ref-tan2023"/>
    <w:p>
      <w:pPr>
        <w:pStyle w:val="Bibliography"/>
        <w:spacing w:line="360" w:lineRule="auto"/>
        <w:jc w:val="both"/>
      </w:pPr>
      <w:r>
        <w:t xml:space="preserve">Tan, Juntao, y Yongfeng Zhang. 2023.</w:t>
      </w:r>
      <w:r>
        <w:t xml:space="preserve"> </w:t>
      </w:r>
      <w:r>
        <w:t xml:space="preserve">«ExplainableFold: Understanding AlphaFold Prediction with Explainable AI»</w:t>
      </w:r>
      <w:r>
        <w:t xml:space="preserve">.</w:t>
      </w:r>
      <w:r>
        <w:t xml:space="preserve"> </w:t>
      </w:r>
      <w:r>
        <w:rPr>
          <w:i/>
          <w:iCs/>
        </w:rPr>
        <w:t xml:space="preserve">Proceedings of the 29th ACM SIGKDD Conference on Knowledge Discovery and Data Mining</w:t>
      </w:r>
      <w:r>
        <w:t xml:space="preserve">, 2166-76.</w:t>
      </w:r>
      <w:r>
        <w:t xml:space="preserve"> </w:t>
      </w:r>
      <w:hyperlink ns5:id="rId427">
        <w:r>
          <w:rPr>
            <w:rStyle w:val="Hipervnculo"/>
          </w:rPr>
          <w:t xml:space="preserve">https://doi.org/10.1145/3580305.3599337</w:t>
        </w:r>
      </w:hyperlink>
      <w:r>
        <w:t xml:space="preserve">.</w:t>
      </w:r>
    </w:p>
    <w:bookmarkEnd w:id="428"/>
    <w:bookmarkStart w:id="430" w:name="ref-tjoa2020"/>
    <w:p>
      <w:pPr>
        <w:pStyle w:val="Bibliography"/>
        <w:spacing w:line="360" w:lineRule="auto"/>
        <w:jc w:val="both"/>
      </w:pPr>
      <w:r>
        <w:t xml:space="preserve">Tjoa, Erico, y Cuntai Guan. 2021.</w:t>
      </w:r>
      <w:r>
        <w:t xml:space="preserve"> </w:t>
      </w:r>
      <w:r>
        <w:t xml:space="preserve">«A Survey on Explainable Artificial Intelligence (XAI): Toward Medical XAI»</w:t>
      </w:r>
      <w:r>
        <w:t xml:space="preserve">.</w:t>
      </w:r>
      <w:r>
        <w:t xml:space="preserve"> </w:t>
      </w:r>
      <w:r>
        <w:rPr>
          <w:i/>
          <w:iCs/>
        </w:rPr>
        <w:t xml:space="preserve">IEEE Transactions on Neural Networks and Learning Systems</w:t>
      </w:r>
      <w:r>
        <w:t xml:space="preserve"> </w:t>
      </w:r>
      <w:r>
        <w:t xml:space="preserve">32 (11): 4793-813.</w:t>
      </w:r>
      <w:r>
        <w:t xml:space="preserve"> </w:t>
      </w:r>
      <w:hyperlink ns5:id="rId429">
        <w:r>
          <w:rPr>
            <w:rStyle w:val="Hipervnculo"/>
          </w:rPr>
          <w:t xml:space="preserve">https://doi.org/10.1109/TNNLS.2020.3027314</w:t>
        </w:r>
      </w:hyperlink>
      <w:r>
        <w:t xml:space="preserve">.</w:t>
      </w:r>
    </w:p>
    <w:bookmarkEnd w:id="430"/>
    <w:bookmarkStart w:id="432" w:name="ref-tomsett2020"/>
    <w:p>
      <w:pPr>
        <w:pStyle w:val="Bibliography"/>
        <w:spacing w:line="360" w:lineRule="auto"/>
        <w:jc w:val="both"/>
      </w:pPr>
      <w:r>
        <w:t xml:space="preserve">Tomsett, Richard, Dan Harborne, Supriyo Chakraborty, Prudhvi Gurram, y Alun Preece. 2020.</w:t>
      </w:r>
      <w:r>
        <w:t xml:space="preserve"> </w:t>
      </w:r>
      <w:r>
        <w:t xml:space="preserve">«Sanity Checks for Saliency Metrics»</w:t>
      </w:r>
      <w:r>
        <w:t xml:space="preserve">.</w:t>
      </w:r>
      <w:r>
        <w:t xml:space="preserve"> </w:t>
      </w:r>
      <w:r>
        <w:rPr>
          <w:i/>
          <w:iCs/>
        </w:rPr>
        <w:t xml:space="preserve">Proceedings of the AAAI Conference on Artificial Intelligence</w:t>
      </w:r>
      <w:r>
        <w:t xml:space="preserve"> </w:t>
      </w:r>
      <w:r>
        <w:t xml:space="preserve">34 (04): 6021-29.</w:t>
      </w:r>
      <w:r>
        <w:t xml:space="preserve"> </w:t>
      </w:r>
      <w:hyperlink ns5:id="rId431">
        <w:r>
          <w:rPr>
            <w:rStyle w:val="Hipervnculo"/>
          </w:rPr>
          <w:t xml:space="preserve">https://doi.org/10.1609/aaai.v34i04.6064</w:t>
        </w:r>
      </w:hyperlink>
      <w:r>
        <w:t xml:space="preserve">.</w:t>
      </w:r>
    </w:p>
    <w:bookmarkEnd w:id="432"/>
    <w:bookmarkStart w:id="434"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w:t>
      </w:r>
      <w:r>
        <w:t xml:space="preserve"> </w:t>
      </w:r>
      <w:r>
        <w:rPr>
          <w:i/>
          <w:iCs/>
        </w:rPr>
        <w:t xml:space="preserve">In CRC Press eBooks</w:t>
      </w:r>
      <w:r>
        <w:t xml:space="preserve">, advance online publication.</w:t>
      </w:r>
      <w:r>
        <w:t xml:space="preserve"> </w:t>
      </w:r>
      <w:hyperlink ns5:id="rId433">
        <w:r>
          <w:rPr>
            <w:rStyle w:val="Hipervnculo"/>
          </w:rPr>
          <w:t xml:space="preserve">https://doi.org/10.1201/9781003442509</w:t>
        </w:r>
      </w:hyperlink>
      <w:r>
        <w:t xml:space="preserve">.</w:t>
      </w:r>
    </w:p>
    <w:bookmarkEnd w:id="434"/>
    <w:bookmarkStart w:id="435" w:name="ref-tsai2023"/>
    <w:p>
      <w:pPr>
        <w:pStyle w:val="Bibliography"/>
        <w:spacing w:line="360" w:lineRule="auto"/>
        <w:jc w:val="both"/>
      </w:pPr>
      <w:r>
        <w:t xml:space="preserve">Tsai, Che-Ping, Chih-Kuan Yeh, y Pradeep Ravikumar. 2023.</w:t>
      </w:r>
      <w:r>
        <w:t xml:space="preserve"> </w:t>
      </w:r>
      <w:r>
        <w:t xml:space="preserve">«Faith-Shap: The Faithful Shapley Interaction Index»</w:t>
      </w:r>
      <w:r>
        <w:t xml:space="preserve">.</w:t>
      </w:r>
      <w:r>
        <w:t xml:space="preserve"> </w:t>
      </w:r>
      <w:r>
        <w:rPr>
          <w:i/>
          <w:iCs/>
        </w:rPr>
        <w:t xml:space="preserve">Journal of Machine Learning Research</w:t>
      </w:r>
      <w:r>
        <w:t xml:space="preserve"> </w:t>
      </w:r>
      <w:r>
        <w:t xml:space="preserve">24: 1-42.</w:t>
      </w:r>
    </w:p>
    <w:bookmarkEnd w:id="435"/>
    <w:bookmarkStart w:id="437" w:name="ref-tsigos2024"/>
    <w:p>
      <w:pPr>
        <w:pStyle w:val="Bibliography"/>
        <w:spacing w:line="360" w:lineRule="auto"/>
        <w:jc w:val="both"/>
      </w:pPr>
      <w:r>
        <w:t xml:space="preserve">Tsigos, Konstantinos, Evlampios Apostolidis, Spyridon Baxevanakis, Symeon Papadopoulos, y Vasileios Mezaris. 2024.</w:t>
      </w:r>
      <w:r>
        <w:t xml:space="preserve"> </w:t>
      </w:r>
      <w:r>
        <w:t xml:space="preserve">«Towards Quantitative Evaluation of Explainable AI Methods for Deepfake Detection»</w:t>
      </w:r>
      <w:r>
        <w:t xml:space="preserve">.</w:t>
      </w:r>
      <w:r>
        <w:t xml:space="preserve"> </w:t>
      </w:r>
      <w:r>
        <w:rPr>
          <w:i/>
          <w:iCs/>
        </w:rPr>
        <w:t xml:space="preserve">3rd ACM International Workshop on Multimedia AI against Disinformation</w:t>
      </w:r>
      <w:r>
        <w:t xml:space="preserve">, 37-45.</w:t>
      </w:r>
      <w:r>
        <w:t xml:space="preserve"> </w:t>
      </w:r>
      <w:hyperlink ns5:id="rId436">
        <w:r>
          <w:rPr>
            <w:rStyle w:val="Hipervnculo"/>
          </w:rPr>
          <w:t xml:space="preserve">https://doi.org/10.1145/3643491.3660292</w:t>
        </w:r>
      </w:hyperlink>
      <w:r>
        <w:t xml:space="preserve">.</w:t>
      </w:r>
    </w:p>
    <w:bookmarkEnd w:id="437"/>
    <w:bookmarkStart w:id="439" w:name="ref-ullah2024"/>
    <w:p>
      <w:pPr>
        <w:pStyle w:val="Bibliography"/>
        <w:spacing w:line="360" w:lineRule="auto"/>
        <w:jc w:val="both"/>
      </w:pPr>
      <w:r>
        <w:t xml:space="preserve">Ullah, Naeem, Javed Ali Khan, Ivanoe De Falco, y Giovanna Sannino. 2024.</w:t>
      </w:r>
      <w:r>
        <w:t xml:space="preserve"> </w:t>
      </w:r>
      <w:r>
        <w:t xml:space="preserve">«Explainable Artificial Intelligence: Importance, Use Domains, Stages, Output Shapes, and Challenges»</w:t>
      </w:r>
      <w:r>
        <w:t xml:space="preserve">.</w:t>
      </w:r>
      <w:r>
        <w:t xml:space="preserve"> </w:t>
      </w:r>
      <w:r>
        <w:rPr>
          <w:i/>
          <w:iCs/>
        </w:rPr>
        <w:t xml:space="preserve">ACM Computing Surveys</w:t>
      </w:r>
      <w:r>
        <w:t xml:space="preserve"> </w:t>
      </w:r>
      <w:r>
        <w:t xml:space="preserve">57 (4): 1-36.</w:t>
      </w:r>
      <w:r>
        <w:t xml:space="preserve"> </w:t>
      </w:r>
      <w:hyperlink ns5:id="rId438">
        <w:r>
          <w:rPr>
            <w:rStyle w:val="Hipervnculo"/>
          </w:rPr>
          <w:t xml:space="preserve">https://doi.org/10.1145/3705724</w:t>
        </w:r>
      </w:hyperlink>
      <w:r>
        <w:t xml:space="preserve">.</w:t>
      </w:r>
    </w:p>
    <w:bookmarkEnd w:id="439"/>
    <w:bookmarkStart w:id="441"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w:t>
      </w:r>
      <w:r>
        <w:t xml:space="preserve"> </w:t>
      </w:r>
      <w:r>
        <w:rPr>
          <w:i/>
          <w:iCs/>
        </w:rPr>
        <w:t xml:space="preserve">ACM Transactions on Interactive Intelligent Systems</w:t>
      </w:r>
      <w:r>
        <w:t xml:space="preserve"> </w:t>
      </w:r>
      <w:r>
        <w:t xml:space="preserve">13 (4): 1-39.</w:t>
      </w:r>
      <w:r>
        <w:t xml:space="preserve"> </w:t>
      </w:r>
      <w:hyperlink ns5:id="rId440">
        <w:r>
          <w:rPr>
            <w:rStyle w:val="Hipervnculo"/>
          </w:rPr>
          <w:t xml:space="preserve">https://doi.org/10.1145/3599974</w:t>
        </w:r>
      </w:hyperlink>
      <w:r>
        <w:t xml:space="preserve">.</w:t>
      </w:r>
    </w:p>
    <w:bookmarkEnd w:id="441"/>
    <w:bookmarkStart w:id="443" w:name="ref-vandenbroeck2022"/>
    <w:p>
      <w:pPr>
        <w:pStyle w:val="Bibliography"/>
        <w:spacing w:line="360" w:lineRule="auto"/>
        <w:jc w:val="both"/>
      </w:pPr>
      <w:r>
        <w:t xml:space="preserve">Van den Broeck, Guy, Anton Lykov, Maximilian Schleich, y Dan Suciu. 2022.</w:t>
      </w:r>
      <w:r>
        <w:t xml:space="preserve"> </w:t>
      </w:r>
      <w:r>
        <w:t xml:space="preserve">«On the Tractability of SHAP Explanations»</w:t>
      </w:r>
      <w:r>
        <w:t xml:space="preserve">.</w:t>
      </w:r>
      <w:r>
        <w:t xml:space="preserve"> </w:t>
      </w:r>
      <w:r>
        <w:rPr>
          <w:i/>
          <w:iCs/>
        </w:rPr>
        <w:t xml:space="preserve">Journal of Artificial Intelligence Research</w:t>
      </w:r>
      <w:r>
        <w:t xml:space="preserve"> </w:t>
      </w:r>
      <w:r>
        <w:t xml:space="preserve">74: 851-86.</w:t>
      </w:r>
      <w:r>
        <w:t xml:space="preserve"> </w:t>
      </w:r>
      <w:hyperlink ns5:id="rId442">
        <w:r>
          <w:rPr>
            <w:rStyle w:val="Hipervnculo"/>
          </w:rPr>
          <w:t xml:space="preserve">https://doi.org/10.1613/jair.1.13283</w:t>
        </w:r>
      </w:hyperlink>
      <w:r>
        <w:t xml:space="preserve">.</w:t>
      </w:r>
    </w:p>
    <w:bookmarkEnd w:id="443"/>
    <w:bookmarkStart w:id="445" w:name="ref-voigt2017"/>
    <w:p>
      <w:pPr>
        <w:pStyle w:val="Bibliography"/>
        <w:spacing w:line="360" w:lineRule="auto"/>
        <w:jc w:val="both"/>
      </w:pPr>
      <w:r>
        <w:t xml:space="preserve">Voigt, Paul, y Axel von dem Bussche. 2017.</w:t>
      </w:r>
      <w:r>
        <w:t xml:space="preserve"> </w:t>
      </w:r>
      <w:r>
        <w:rPr>
          <w:i/>
          <w:iCs/>
        </w:rPr>
        <w:t xml:space="preserve">The EU General Data Protection Regulation (GDPR): A Practical Guide</w:t>
      </w:r>
      <w:r>
        <w:t xml:space="preserve">. Springer.</w:t>
      </w:r>
      <w:r>
        <w:t xml:space="preserve"> </w:t>
      </w:r>
      <w:hyperlink ns5:id="rId444">
        <w:r>
          <w:rPr>
            <w:rStyle w:val="Hipervnculo"/>
          </w:rPr>
          <w:t xml:space="preserve">https://doi.org/10.1007/978-3-319-57959-7</w:t>
        </w:r>
      </w:hyperlink>
      <w:r>
        <w:t xml:space="preserve">.</w:t>
      </w:r>
    </w:p>
    <w:bookmarkEnd w:id="445"/>
    <w:bookmarkStart w:id="44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w:t>
      </w:r>
      <w:r>
        <w:t xml:space="preserve"> </w:t>
      </w:r>
      <w:r>
        <w:rPr>
          <w:i/>
          <w:iCs/>
        </w:rPr>
        <w:t xml:space="preserve">SSRN Electronic Journal</w:t>
      </w:r>
      <w:r>
        <w:t xml:space="preserve">, advance online publication.</w:t>
      </w:r>
      <w:r>
        <w:t xml:space="preserve"> </w:t>
      </w:r>
      <w:hyperlink ns5:id="rId446">
        <w:r>
          <w:rPr>
            <w:rStyle w:val="Hipervnculo"/>
          </w:rPr>
          <w:t xml:space="preserve">https://doi.org/10.2139/ssrn.3063289</w:t>
        </w:r>
      </w:hyperlink>
      <w:r>
        <w:t xml:space="preserve">.</w:t>
      </w:r>
    </w:p>
    <w:bookmarkEnd w:id="447"/>
    <w:bookmarkStart w:id="448" w:name="ref-wang2025"/>
    <w:p>
      <w:pPr>
        <w:pStyle w:val="Bibliography"/>
        <w:spacing w:line="360" w:lineRule="auto"/>
        <w:jc w:val="both"/>
      </w:pPr>
      <w:r>
        <w:t xml:space="preserve">Wang, Zhanliang, y Kai Wang. 2025.</w:t>
      </w:r>
      <w:r>
        <w:t xml:space="preserve"> </w:t>
      </w:r>
      <w:r>
        <w:rPr>
          <w:i/>
          <w:iCs/>
        </w:rPr>
        <w:t xml:space="preserve">MultiSHAP: A Shapley-Based Framework for Explaining Cross-Modal Interactions in Multimodal AI Models</w:t>
      </w:r>
      <w:r>
        <w:t xml:space="preserve">.</w:t>
      </w:r>
    </w:p>
    <w:bookmarkEnd w:id="448"/>
    <w:bookmarkStart w:id="450" w:name="ref-wilcoxon1945"/>
    <w:p>
      <w:pPr>
        <w:pStyle w:val="Bibliography"/>
        <w:spacing w:line="360" w:lineRule="auto"/>
        <w:jc w:val="both"/>
      </w:pPr>
      <w:r>
        <w:t xml:space="preserve">Wilcoxon, Frank.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80-83.</w:t>
      </w:r>
      <w:r>
        <w:t xml:space="preserve"> </w:t>
      </w:r>
      <w:hyperlink ns5:id="rId449">
        <w:r>
          <w:rPr>
            <w:rStyle w:val="Hipervnculo"/>
          </w:rPr>
          <w:t xml:space="preserve">https://doi.org/10.2307/3001968</w:t>
        </w:r>
      </w:hyperlink>
      <w:r>
        <w:t xml:space="preserve">.</w:t>
      </w:r>
    </w:p>
    <w:bookmarkEnd w:id="450"/>
    <w:bookmarkStart w:id="452"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w:t>
      </w:r>
      <w:r>
        <w:t xml:space="preserve"> </w:t>
      </w:r>
      <w:r>
        <w:rPr>
          <w:i/>
          <w:iCs/>
        </w:rPr>
        <w:t xml:space="preserve">ICLR 2025 Proceedings</w:t>
      </w:r>
      <w:r>
        <w:t xml:space="preserve">.</w:t>
      </w:r>
      <w:r>
        <w:t xml:space="preserve"> </w:t>
      </w:r>
      <w:hyperlink ns5:id="rId451">
        <w:r>
          <w:rPr>
            <w:rStyle w:val="Hipervnculo"/>
          </w:rPr>
          <w:t xml:space="preserve">https://trustai4s-lab.github.io/ffidelity</w:t>
        </w:r>
      </w:hyperlink>
      <w:r>
        <w:t xml:space="preserve">.</w:t>
      </w:r>
    </w:p>
    <w:bookmarkEnd w:id="452"/>
    <w:bookmarkEnd w:id="453"/>
    <w:bookmarkEnd w:id="454"/>
    <w:bookmarkStart w:id="478" w:name="apéndices"/>
    <w:p>
      <w:pPr>
        <w:pStyle w:val="Ttulo1"/>
        <w:spacing w:line="360" w:lineRule="auto"/>
        <w:jc w:val="both"/>
      </w:pPr>
      <w:r>
        <w:t xml:space="preserve">Apéndices</w:t>
      </w:r>
    </w:p>
    <w:bookmarkStart w:id="456"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jc w:val="center"/>
        <w:tblLayout w:type="fixed"/>
        <w:tblLook w:firstRow="0" w:lastRow="0" w:firstColumn="0" w:lastColumn="0" w:noHBand="0" w:noVBand="0" w:val="0000"/>
      </w:tblPr>
      <w:tblGrid>
        <w:gridCol w:w="7920"/>
      </w:tblGrid>
      <w:tr>
        <w:tc>
          <w:tcPr/>
          <w:bookmarkStart w:id="455" w:name="tbl-appendix-dataset-schema"/>
          <w:p>
            <w:pPr>
              <w:pStyle w:val="ImageCaption"/>
              <w:spacing w:before="200" w:line="360" w:lineRule="auto"/>
              <w:jc w:val="center"/>
            </w:pPr>
            <w:r>
              <w:t xml:space="preserve">Tabla 6.5: Esquema resumido del conjunto Adult y transformaciones de preprocesamiento.</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Grupo</w:t>
                  </w:r>
                </w:p>
              </w:tc>
              <w:tc>
                <w:tcPr/>
                <w:p>
                  <w:pPr>
                    <w:pStyle w:val="Compact"/>
                    <w:jc w:val="both"/>
                    <w:jc w:val="center"/>
                    <w:spacing w:line="360" w:lineRule="auto"/>
                  </w:pPr>
                  <w:r>
                    <w:rPr>
                      <w:bCs/>
                      <w:b/>
                    </w:rPr>
                    <w:t xml:space="preserve">Características</w:t>
                  </w:r>
                </w:p>
              </w:tc>
              <w:tc>
                <w:tcPr/>
                <w:p>
                  <w:pPr>
                    <w:pStyle w:val="Compact"/>
                    <w:jc w:val="both"/>
                    <w:jc w:val="center"/>
                    <w:spacing w:line="360" w:lineRule="auto"/>
                  </w:pPr>
                  <w:r>
                    <w:rPr>
                      <w:bCs/>
                      <w:b/>
                    </w:rP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5"/>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6"/>
    <w:bookmarkStart w:id="458"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jc w:val="center"/>
        <w:tblLayout w:type="fixed"/>
        <w:tblLook w:firstRow="0" w:lastRow="0" w:firstColumn="0" w:lastColumn="0" w:noHBand="0" w:noVBand="0" w:val="0000"/>
      </w:tblPr>
      <w:tblGrid>
        <w:gridCol w:w="7920"/>
      </w:tblGrid>
      <w:tr>
        <w:tc>
          <w:tcPr/>
          <w:bookmarkStart w:id="457" w:name="tbl-appendix-models"/>
          <w:p>
            <w:pPr>
              <w:pStyle w:val="ImageCaption"/>
              <w:spacing w:before="200" w:line="360" w:lineRule="auto"/>
              <w:jc w:val="center"/>
            </w:pPr>
            <w:r>
              <w:t xml:space="preserve">Tabla 6.6: Modelos predictivos, justificación y ubicación de artefactos.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Rol metodológico</w:t>
                  </w:r>
                </w:p>
              </w:tc>
              <w:tc>
                <w:tcPr/>
                <w:p>
                  <w:pPr>
                    <w:pStyle w:val="Compact"/>
                    <w:jc w:val="both"/>
                    <w:jc w:val="center"/>
                    <w:spacing w:line="360" w:lineRule="auto"/>
                  </w:pPr>
                  <w:r>
                    <w:rPr>
                      <w:bCs/>
                      <w:b/>
                    </w:rPr>
                    <w:t xml:space="preserve">Artefacto principal</w:t>
                  </w:r>
                </w:p>
              </w:tc>
              <w:tc>
                <w:tcPr/>
                <w:p>
                  <w:pPr>
                    <w:pStyle w:val="Compact"/>
                    <w:jc w:val="both"/>
                    <w:jc w:val="center"/>
                    <w:spacing w:line="360" w:lineRule="auto"/>
                  </w:pPr>
                  <w:r>
                    <w:rPr>
                      <w:bCs/>
                      <w:b/>
                    </w:rP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7"/>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8"/>
    <w:bookmarkStart w:id="465"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jc w:val="center"/>
        <w:tblLayout w:type="fixed"/>
        <w:tblLook w:firstRow="0" w:lastRow="0" w:firstColumn="0" w:lastColumn="0" w:noHBand="0" w:noVBand="0" w:val="0000"/>
      </w:tblPr>
      <w:tblGrid>
        <w:gridCol w:w="7920"/>
      </w:tblGrid>
      <w:tr>
        <w:tc>
          <w:tcPr/>
          <w:bookmarkStart w:id="459" w:name="tbl-appendix-explainers"/>
          <w:p>
            <w:pPr>
              <w:pStyle w:val="ImageCaption"/>
              <w:spacing w:before="200" w:line="360" w:lineRule="auto"/>
              <w:jc w:val="center"/>
            </w:pPr>
            <w:r>
              <w:t xml:space="preserve">Tabla 6.7: Configuración de explicadores y caveats operativos.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Explicador</w:t>
                  </w:r>
                </w:p>
              </w:tc>
              <w:tc>
                <w:tcPr/>
                <w:p>
                  <w:pPr>
                    <w:pStyle w:val="Compact"/>
                    <w:jc w:val="both"/>
                    <w:jc w:val="center"/>
                    <w:spacing w:line="360" w:lineRule="auto"/>
                  </w:pPr>
                  <w:r>
                    <w:rPr>
                      <w:bCs/>
                      <w:b/>
                    </w:rPr>
                    <w:t xml:space="preserve">Configuración efectiva</w:t>
                  </w:r>
                </w:p>
              </w:tc>
              <w:tc>
                <w:tcPr/>
                <w:p>
                  <w:pPr>
                    <w:pStyle w:val="Compact"/>
                    <w:jc w:val="both"/>
                    <w:jc w:val="center"/>
                    <w:spacing w:line="360" w:lineRule="auto"/>
                  </w:pPr>
                  <w:r>
                    <w:rPr>
                      <w:bCs/>
                      <w:b/>
                    </w:rPr>
                    <w:t xml:space="preserve">Implementación</w:t>
                  </w:r>
                </w:p>
              </w:tc>
              <w:tc>
                <w:tcPr/>
                <w:p>
                  <w:pPr>
                    <w:pStyle w:val="Compact"/>
                    <w:jc w:val="both"/>
                    <w:jc w:val="center"/>
                    <w:spacing w:line="360" w:lineRule="auto"/>
                  </w:pPr>
                  <w:r>
                    <w:rPr>
                      <w:bCs/>
                      <w:b/>
                    </w:rP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59"/>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4"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jc w:val="center"/>
        <w:tblLayout w:type="fixed"/>
        <w:tblLook w:firstRow="0" w:lastRow="0" w:firstColumn="0" w:lastColumn="0" w:noHBand="0" w:noVBand="0" w:val="0000"/>
      </w:tblPr>
      <w:tblGrid>
        <w:gridCol w:w="7920"/>
      </w:tblGrid>
      <w:tr>
        <w:tc>
          <w:tcPr/>
          <w:bookmarkStart w:id="460" w:name="tbl-appendix-lime-sensitivity"/>
          <w:p>
            <w:pPr>
              <w:pStyle w:val="ImageCaption"/>
              <w:spacing w:before="200" w:line="360" w:lineRule="auto"/>
              <w:jc w:val="center"/>
            </w:pPr>
            <w:r>
              <w:t xml:space="preserve">Tabla 6.8: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Style w:val="VerbatimChar"/>
                    </w:rPr>
                    <w:t xml:space="preserve">num_samples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0"/>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Tabla 6.11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jc w:val="center"/>
        <w:tblLayout w:type="fixed"/>
        <w:tblLook w:firstRow="0" w:lastRow="0" w:firstColumn="0" w:lastColumn="0" w:noHBand="0" w:noVBand="0" w:val="0000"/>
      </w:tblPr>
      <w:tblGrid>
        <w:gridCol w:w="7920"/>
      </w:tblGrid>
      <w:tr>
        <w:tc>
          <w:tcPr/>
          <w:bookmarkStart w:id="461" w:name="tbl-appendix-shap-sensitivity"/>
          <w:p>
            <w:pPr>
              <w:pStyle w:val="ImageCaption"/>
              <w:spacing w:before="200" w:line="360" w:lineRule="auto"/>
              <w:jc w:val="center"/>
            </w:pPr>
            <w:r>
              <w:t xml:space="preserve">Tabla 6.9: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Referencia (</w:t>
                  </w:r>
                  <ns1:oMath>
                    <ns1:r>
                      <ns1:t>k</ns1:t>
                    </ns1:r>
                  </ns1:oMath>
                  <w:r>
                    <w:rPr>
                      <w:bCs/>
                      <w:b/>
                    </w:rPr>
                    <w:t xml:space="preserve">)</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1"/>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jc w:val="center"/>
        <w:tblLayout w:type="fixed"/>
        <w:tblLook w:firstRow="0" w:lastRow="0" w:firstColumn="0" w:lastColumn="0" w:noHBand="0" w:noVBand="0" w:val="0000"/>
      </w:tblPr>
      <w:tblGrid>
        <w:gridCol w:w="7920"/>
      </w:tblGrid>
      <w:tr>
        <w:tc>
          <w:tcPr/>
          <w:bookmarkStart w:id="462" w:name="tbl-appendix-anchors-sensitivity"/>
          <w:p>
            <w:pPr>
              <w:pStyle w:val="ImageCaption"/>
              <w:spacing w:before="200" w:line="360" w:lineRule="auto"/>
              <w:jc w:val="center"/>
            </w:pPr>
            <w:r>
              <w:t xml:space="preserve">Tabla 6.10: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Tabla 3.5</w:t>
              </w:r>
            </w:hyperlink>
            <w:r>
              <w:t xml:space="preserve">—, mientras que la fidelidad y el coste corresponden a la</w:t>
            </w:r>
            <w:r>
              <w:t xml:space="preserve"> </w:t>
            </w:r>
            <w:r>
              <w:t xml:space="preserve">condición de sondeo RF, semilla 42.</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rPr>
                      <w:bCs/>
                      <w:b/>
                    </w:rPr>
                    <w:t xml:space="preserve">Cobertura del diseño completo (75 celdas)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2"/>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3" w:name="tbl-appendix-lime-kw-sensitivity"/>
          <w:p>
            <w:pPr>
              <w:pStyle w:val="ImageCaption"/>
              <w:spacing w:before="200" w:line="360" w:lineRule="auto"/>
              <w:jc w:val="center"/>
            </w:pPr>
            <w:r>
              <w:t xml:space="preserve">Tabla 6.11: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Style w:val="VerbatimChar"/>
                    </w:rPr>
                    <w:t xml:space="preserve">kernel_width</w:t>
                  </w:r>
                </w:p>
              </w:tc>
              <w:tc>
                <w:tcPr/>
                <w:p>
                  <w:pPr>
                    <w:pStyle w:val="Compact"/>
                    <w:jc w:val="both"/>
                    <w:jc w:val="center"/>
                    <w:spacing w:line="360" w:lineRule="auto"/>
                  </w:pPr>
                  <w:r>
                    <w:rPr>
                      <w:bCs/>
                      <w:b/>
                    </w:rPr>
                    <w:t xml:space="preserve">Instancias válidas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3"/>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4"/>
    <w:bookmarkEnd w:id="465"/>
    <w:bookmarkStart w:id="473"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6" w:name="tbl-appendix-stat-outputs"/>
          <w:p>
            <w:pPr>
              <w:pStyle w:val="ImageCaption"/>
              <w:spacing w:before="200" w:line="360" w:lineRule="auto"/>
              <w:jc w:val="center"/>
            </w:pPr>
            <w:r>
              <w:t xml:space="preserve">Tabla 6.12: Salidas estadísticas principales y uso en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6"/>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8" w:name="Xe3909ed8b3f47a476ee07b1fbdd59a863fdc536"/>
    <w:p>
      <w:pPr>
        <w:pStyle w:val="Ttulo3"/>
        <w:spacing w:line="360" w:lineRule="auto"/>
        <w:jc w:val="both"/>
      </w:pPr>
      <w:r>
        <w:t xml:space="preserve">D.1 Resultados completos de la prueba de Friedman</w:t>
      </w:r>
    </w:p>
    <w:tbl>
      <w:tblPr>
        <w:tblStyle w:val="Table"/>
        <w:tblW w:type="pct" w:w="5000"/>
        <w:jc w:val="center"/>
        <w:tblLayout w:type="fixed"/>
        <w:tblLook w:firstRow="0" w:lastRow="0" w:firstColumn="0" w:lastColumn="0" w:noHBand="0" w:noVBand="0" w:val="0000"/>
      </w:tblPr>
      <w:tblGrid>
        <w:gridCol w:w="7920"/>
      </w:tblGrid>
      <w:tr>
        <w:tc>
          <w:tcPr/>
          <w:bookmarkStart w:id="467" w:name="tbl-appendix-friedman-full"/>
          <w:p>
            <w:pPr>
              <w:pStyle w:val="ImageCaption"/>
              <w:spacing w:before="200" w:line="360" w:lineRule="auto"/>
              <w:jc w:val="center"/>
            </w:pPr>
            <w:r>
              <w:t xml:space="preserve">Tabla 6.13: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r>
                      <ns1:t>n</ns1:t>
                    </ns1:r>
                  </ns1:oMath>
                  <w:r>
                    <w:rPr>
                      <w:bCs/>
                      <w:b/>
                    </w:rPr>
                    <w:t xml:space="preserve"> </w:t>
                  </w:r>
                  <w:r>
                    <w:rPr>
                      <w:bCs/>
                      <w:b/>
                    </w:rPr>
                    <w:t xml:space="preserve">bloques</w:t>
                  </w:r>
                </w:p>
              </w:tc>
              <w:tc>
                <w:tcPr/>
                <w:p>
                  <w:pPr>
                    <w:pStyle w:val="Compact"/>
                    <w:jc w:val="both"/>
                    <w:jc w:val="center"/>
                    <w:spacing w:line="360" w:lineRule="auto"/>
                  </w:pPr>
                  <ns1:oMath>
                    <ns1:r>
                      <ns1:t>k</ns1:t>
                    </ns1:r>
                  </ns1:oMath>
                  <w:r>
                    <w:rPr>
                      <w:bCs/>
                      <w:b/>
                    </w:rPr>
                    <w:t xml:space="preserve"> </w:t>
                  </w:r>
                  <w:r>
                    <w:rPr>
                      <w:bCs/>
                      <w:b/>
                    </w:rP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rPr>
                      <w:bCs/>
                      <w:b/>
                    </w:rPr>
                    <w:t xml:space="preserve"> </w:t>
                  </w:r>
                  <w:r>
                    <w:rPr>
                      <w:bCs/>
                      <w:b/>
                    </w:rP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Kendall</w:t>
                  </w:r>
                  <w:r>
                    <w:rPr>
                      <w:bCs/>
                      <w:b/>
                    </w:rPr>
                    <w:t xml:space="preserve"> </w:t>
                  </w:r>
                  <ns1:oMath>
                    <ns1:r>
                      <ns1:t>W</ns1:t>
                    </ns1:r>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7"/>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Tabla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8"/>
    <w:bookmarkStart w:id="470"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jc w:val="center"/>
        <w:tblLayout w:type="fixed"/>
        <w:tblLook w:firstRow="0" w:lastRow="0" w:firstColumn="0" w:lastColumn="0" w:noHBand="0" w:noVBand="0" w:val="0000"/>
      </w:tblPr>
      <w:tblGrid>
        <w:gridCol w:w="7920"/>
      </w:tblGrid>
      <w:tr>
        <w:tc>
          <w:tcPr/>
          <w:bookmarkStart w:id="469" w:name="tbl-appendix-nemenyi-full"/>
          <w:p>
            <w:pPr>
              <w:pStyle w:val="ImageCaption"/>
              <w:spacing w:before="200" w:line="360" w:lineRule="auto"/>
              <w:jc w:val="center"/>
            </w:pPr>
            <w:r>
              <w:t xml:space="preserve">Tabla 6.14: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(fidelidad)</w:t>
                  </w:r>
                </w:p>
              </w:tc>
              <w:tc>
                <w:tcPr/>
                <w:p>
                  <w:pPr>
                    <w:pStyle w:val="Compact"/>
                    <w:jc w:val="both"/>
                    <w:jc w:val="center"/>
                    <w:spacing w:line="360" w:lineRule="auto"/>
                  </w:pPr>
                  <w:r>
                    <w:rPr>
                      <w:bCs/>
                      <w:b/>
                    </w:rP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(estabilidad)</w:t>
                  </w:r>
                </w:p>
              </w:tc>
              <w:tc>
                <w:tcPr/>
                <w:p>
                  <w:pPr>
                    <w:pStyle w:val="Compact"/>
                    <w:jc w:val="both"/>
                    <w:jc w:val="center"/>
                    <w:spacing w:line="360" w:lineRule="auto"/>
                  </w:pPr>
                  <w:r>
                    <w:rPr>
                      <w:bCs/>
                      <w:b/>
                    </w:rP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69"/>
          <w:p>
            <w:pPr>
              <w:spacing w:line="360" w:lineRule="auto"/>
              <w:jc w:val="both"/>
            </w:pPr>
          </w:p>
        </w:tc>
      </w:tr>
    </w:tbl>
    <w:bookmarkEnd w:id="470"/>
    <w:bookmarkStart w:id="472"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jc w:val="center"/>
        <w:tblLayout w:type="fixed"/>
        <w:tblLook w:firstRow="0" w:lastRow="0" w:firstColumn="0" w:lastColumn="0" w:noHBand="0" w:noVBand="0" w:val="0000"/>
      </w:tblPr>
      <w:tblGrid>
        <w:gridCol w:w="7920"/>
      </w:tblGrid>
      <w:tr>
        <w:tc>
          <w:tcPr/>
          <w:bookmarkStart w:id="471" w:name="tbl-appendix-wilcoxon-full"/>
          <w:p>
            <w:pPr>
              <w:pStyle w:val="ImageCaption"/>
              <w:spacing w:before="200" w:line="360" w:lineRule="auto"/>
              <w:jc w:val="center"/>
            </w:pPr>
            <w:r>
              <w:t xml:space="preserve">Tabla 6.15: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acc>
                      <ns1:accPr>
                        <ns1:chr ns1:val="‾"/>
                      </ns1:accPr>
                      <ns1:e>
                        <ns1:r>
                          <ns1:t>d</ns1:t>
                        </ns1:r>
                      </ns1:e>
                    </ns1:acc>
                  </ns1:oMath>
                  <w:r>
                    <w:rPr>
                      <w:bCs/>
                      <w:b/>
                    </w:rPr>
                    <w:t xml:space="preserve"> </w:t>
                  </w:r>
                  <w:r>
                    <w:rPr>
                      <w:bCs/>
                      <w:b/>
                    </w:rPr>
                    <w:t xml:space="preserve">(SHAP</w:t>
                  </w:r>
                  <ns1:oMath>
                    <ns1:r>
                      <ns1:rPr>
                        <ns1:sty ns1:val="p"/>
                      </ns1:rPr>
                      <ns1:t>−</ns1:t>
                    </ns1:r>
                  </ns1:oMath>
                  <w:r>
                    <w:rPr>
                      <w:bCs/>
                      <w:b/>
                    </w:rP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rPr>
                      <w:bCs/>
                      <w:b/>
                    </w:rPr>
                    <w:t xml:space="preserve"> </w:t>
                  </w:r>
                  <w:r>
                    <w:rPr>
                      <w:bCs/>
                      <w:b/>
                    </w:rP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1"/>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Tabla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Tabla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2"/>
    <w:bookmarkEnd w:id="473"/>
    <w:bookmarkStart w:id="475"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jc w:val="center"/>
        <w:tblLayout w:type="fixed"/>
        <w:tblLook w:firstRow="0" w:lastRow="0" w:firstColumn="0" w:lastColumn="0" w:noHBand="0" w:noVBand="0" w:val="0000"/>
      </w:tblPr>
      <w:tblGrid>
        <w:gridCol w:w="7920"/>
      </w:tblGrid>
      <w:tr>
        <w:tc>
          <w:tcPr/>
          <w:bookmarkStart w:id="474" w:name="tbl-appendix-environment"/>
          <w:p>
            <w:pPr>
              <w:pStyle w:val="ImageCaption"/>
              <w:spacing w:before="200" w:line="360" w:lineRule="auto"/>
              <w:jc w:val="center"/>
            </w:pPr>
            <w:r>
              <w:t xml:space="preserve">Tabla 6.16: Archivos de entorno y reproducción.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4"/>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5"/>
    <w:bookmarkStart w:id="477"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w:t>
      </w:r>
      <w:hyperlink w:anchor="sec-exp4-diseno">
        <w:r>
          <w:rPr>
            <w:rStyle w:val="Hipervnculo"/>
          </w:rPr>
          <w:t xml:space="preserve">3.11.2</w:t>
        </w:r>
      </w:hyperlink>
      <w:r>
        <w:t xml:space="preserve">, Capítulo 3; resultados en</w:t>
      </w:r>
      <w:r>
        <w:t xml:space="preserve"> </w:t>
      </w:r>
      <w:r>
        <w:t xml:space="preserve">§</w:t>
      </w:r>
      <w:hyperlink w:anchor="sec-exp4-fiabilidad">
        <w:r>
          <w:rPr>
            <w:rStyle w:val="Hipervnculo"/>
          </w:rPr>
          <w:t xml:space="preserve">5.8</w:t>
        </w:r>
      </w:hyperlink>
      <w:r>
        <w:t xml:space="preserve">,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5.3</w:t>
        </w:r>
      </w:hyperlink>
      <w:r>
        <w:t xml:space="preserve"> </w:t>
      </w:r>
      <w:r>
        <w:t xml:space="preserve">del</w:t>
      </w:r>
      <w:r>
        <w:t xml:space="preserve"> </w:t>
      </w:r>
      <w:r>
        <w:t xml:space="preserve">Capítulo 5.</w:t>
      </w:r>
    </w:p>
    <w:tbl>
      <w:tblPr>
        <w:tblStyle w:val="Table"/>
        <w:tblW w:type="pct" w:w="5000"/>
        <w:jc w:val="center"/>
        <w:tblLayout w:type="fixed"/>
        <w:tblLook w:firstRow="0" w:lastRow="0" w:firstColumn="0" w:lastColumn="0" w:noHBand="0" w:noVBand="0" w:val="0000"/>
      </w:tblPr>
      <w:tblGrid>
        <w:gridCol w:w="7920"/>
      </w:tblGrid>
      <w:tr>
        <w:tc>
          <w:tcPr/>
          <w:bookmarkStart w:id="476" w:name="tbl-appendix-llm"/>
          <w:p>
            <w:pPr>
              <w:pStyle w:val="ImageCaption"/>
              <w:spacing w:before="200" w:line="360" w:lineRule="auto"/>
              <w:jc w:val="center"/>
            </w:pPr>
            <w:r>
              <w:t xml:space="preserve">Tabla 6.17: Artefactos de EXP4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Artefacto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bl>
          <w:bookmarkEnd w:id="476"/>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w:t>
      </w:r>
      <w:hyperlink w:anchor="sec-exp4-fiabilidad">
        <w:r>
          <w:rPr>
            <w:rStyle w:val="Hipervnculo"/>
          </w:rPr>
          <w:t xml:space="preserve">5.8</w:t>
        </w:r>
      </w:hyperlink>
      <w:r>
        <w:t xml:space="preserve"> </w:t>
      </w:r>
      <w:r>
        <w:t xml:space="preserve">y §</w:t>
      </w:r>
      <w:hyperlink w:anchor="sec-futuro">
        <w:r>
          <w:rPr>
            <w:rStyle w:val="Hipervnculo"/>
          </w:rPr>
          <w:t xml:space="preserve">6.6</w:t>
        </w:r>
      </w:hyperlink>
      <w:r>
        <w:t xml:space="preserve">).</w:t>
      </w:r>
    </w:p>
    <w:bookmarkEnd w:id="477"/>
    <w:bookmarkEnd w:id="478"/>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
    </w:rPr>
  </w:style>
  <w:style w:customStyle="1" w:styleId="Ttulo4Car" w:type="character">
    <w:name w:val="Título 4 Car"/>
    <w:basedOn w:val="Fuentedeprrafopredeter"/>
    <w:link w:val="Ttulo4"/>
    <w:uiPriority w:val="9"/>
    <w:rsid w:val="00AE0CE0"/>
    <w:rPr>
      <w:rFonts w:cstheme="majorBidi" w:eastAsiaTheme="majorEastAsia"/>
      <w:b/>
      <w:iCs/>
      <w:lang w:val="es"/>
    </w:rPr>
  </w:style>
  <w:style w:customStyle="1" w:styleId="Ttulo5Car" w:type="character">
    <w:name w:val="Título 5 Car"/>
    <w:basedOn w:val="Fuentedeprrafopredeter"/>
    <w:link w:val="Ttulo5"/>
    <w:uiPriority w:val="9"/>
    <w:rsid w:val="004323BF"/>
    <w:rPr>
      <w:rFonts w:cstheme="majorBidi" w:eastAsiaTheme="majorEastAsia"/>
      <w:b/>
      <w:i/>
      <w:lang w:val="es"/>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54" Target="media/rId154.png" /><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dc:language>es</dc:language>
  <cp:keywords/>
  <dcterms:created xsi:type="dcterms:W3CDTF">2026-08-31T23:54:55Z</dcterms:created>
  <dcterms:modified xsi:type="dcterms:W3CDTF">2026-08-31T23:54:55Z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Tabla de contenidos</vt:lpwstr>
  </property>
</Properties>
</file>