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3.png" ContentType="image/png"/>
  <Override PartName="/word/media/rId139.png" ContentType="image/png"/>
  <Override PartName="/word/media/rId135.png" ContentType="image/png"/>
  <Override PartName="/word/media/rId131.png" ContentType="image/png"/>
  <Override PartName="/word/media/rId147.png" ContentType="image/png"/>
  <Override PartName="/word/media/rId127.png" ContentType="image/png"/>
  <Override PartName="/word/media/rId151.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Title"/>
        <w:spacing w:line="360" w:lineRule="auto"/>
        <w:jc w:val="both"/>
      </w:pPr>
      <w:r>
        <w:t xml:space="preserve">Marco para la Evaluación Multinivel de la Explicabilidad en IA</w:t>
      </w:r>
    </w:p>
    <w:p>
      <w:pPr>
        <w:pStyle w:val="Subtitle"/>
        <w:spacing w:line="360" w:lineRule="auto"/>
        <w:jc w:val="both"/>
      </w:pPr>
      <w:r>
        <w:t xml:space="preserve">Integración de Benchmarking Técnico, Protocolo Reproducible (FOM-7) y Taxonomía de Métricas</w:t>
      </w:r>
    </w:p>
    <w:p>
      <w:pPr>
        <w:pStyle w:val="Author"/>
        <w:spacing w:line="360" w:lineRule="auto"/>
        <w:jc w:val="both"/>
      </w:pPr>
      <w:r>
        <w:t xml:space="preserve">J. Herrera</w:t>
      </w:r>
    </w:p>
    <w:p>
      <w:pPr>
        <w:pStyle w:val="Date"/>
        <w:spacing w:line="360" w:lineRule="auto"/>
        <w:jc w:val="both"/>
      </w:pPr>
      <w:r>
        <w:t xml:space="preserve">2026-04-19</w:t>
      </w:r>
    </w:p>
    <w:sdt>
      <w:sdtPr>
        <w:docPartObj>
          <w:docPartGallery w:val="Table of Contents"/>
          <w:docPartUnique/>
        </w:docPartObj>
      </w:sdtPr>
      <w:sdtContent>
        <w:p>
          <w:pPr>
            <w:pStyle w:val="TtulodeTDC"/>
            <w:spacing w:line="360" w:lineRule="auto"/>
            <w:jc w:val="both"/>
          </w:pPr>
          <w:r>
            <w:t xml:space="preserve">Table of contents</w:t>
          </w:r>
        </w:p>
        <w:p>
          <w:pPr>
            <w:spacing w:line="360" w:lineRule="auto"/>
            <w:jc w:val="both"/>
          </w:pPr>
          <w:r>
            <w:fldChar w:fldCharType="begin" w:dirty="true"/>
            <w:instrText xml:space="preserve">TOC \o "1-3" \h \z \u</w:instrText>
            <w:fldChar w:fldCharType="separate"/>
            <w:fldChar w:fldCharType="end"/>
          </w:r>
        </w:p>
      </w:sdtContent>
    </w:sdt>
    <w:bookmarkStart w:id="25" w:name="X9879de00516a950326abd0572f192803626eb50"/>
    <w:p>
      <w:pPr>
        <w:pStyle w:val="Ttulo1"/>
        <w:spacing w:line="360" w:lineRule="auto"/>
        <w:jc w:val="both"/>
      </w:pPr>
      <w:r>
        <w:t xml:space="preserve">Marco para la Evaluación Multinivel de la Explicabilidad en IA</w:t>
      </w:r>
    </w:p>
    <w:p>
      <w:pPr>
        <w:pStyle w:val="FirstParagraph"/>
        <w:spacing w:line="360" w:lineRule="auto"/>
        <w:jc w:val="both"/>
      </w:pPr>
      <w:r>
        <w:t xml:space="preserve">Integración de Benchmarking Técnico, Protocolo Reproducible (FOM-7) y</w:t>
      </w:r>
      <w:r>
        <w:t xml:space="preserve"> </w:t>
      </w:r>
      <w:r>
        <w:t xml:space="preserve">Taxonomía de Métricas</w:t>
      </w:r>
    </w:p>
    <w:p>
      <w:pPr>
        <w:pStyle w:val="Textoindependiente"/>
        <w:spacing w:line="360" w:lineRule="auto"/>
        <w:jc w:val="both"/>
      </w:pPr>
      <w:r>
        <w:br/>
      </w:r>
    </w:p>
    <w:bookmarkEnd w:id="25"/>
    <w:bookmarkStart w:id="26"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6"/>
    <w:bookmarkStart w:id="27"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7"/>
    <w:bookmarkStart w:id="28"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and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and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w:t>
      </w:r>
      <w:r>
        <w:t xml:space="preserve"> </w:t>
      </w:r>
      <w:r>
        <w:t xml:space="preserve">y 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 conjunto</w:t>
      </w:r>
      <w:r>
        <w:t xml:space="preserve"> </w:t>
      </w:r>
      <w:r>
        <w:t xml:space="preserve">de datos, el diseño factorial, la operacionalización de métricas, el análisis de</w:t>
      </w:r>
      <w:r>
        <w:t xml:space="preserve"> </w:t>
      </w:r>
      <w:r>
        <w:t xml:space="preserve">cobertura y el plan de inferencia estadística. El</w:t>
      </w:r>
      <w:r>
        <w:t xml:space="preserve"> </w:t>
      </w:r>
      <w:r>
        <w:rPr>
          <w:b/>
          <w:bCs/>
        </w:rPr>
        <w:t xml:space="preserve">Capítulo 4</w:t>
      </w:r>
      <w:r>
        <w:t xml:space="preserve"> </w:t>
      </w:r>
      <w:r>
        <w:t xml:space="preserve">expone y</w:t>
      </w:r>
      <w:r>
        <w:t xml:space="preserve"> </w:t>
      </w:r>
      <w:r>
        <w:t xml:space="preserve">discute los resultados empíricos de los Estudios A y B, con plena trazabilidad</w:t>
      </w:r>
      <w:r>
        <w:t xml:space="preserve"> </w:t>
      </w:r>
      <w:r>
        <w:t xml:space="preserve">de afirmaciones. El</w:t>
      </w:r>
      <w:r>
        <w:t xml:space="preserve"> </w:t>
      </w:r>
      <w:r>
        <w:rPr>
          <w:b/>
          <w:bCs/>
        </w:rPr>
        <w:t xml:space="preserve">Capítulo 5</w:t>
      </w:r>
      <w:r>
        <w:t xml:space="preserve"> </w:t>
      </w:r>
      <w:r>
        <w:t xml:space="preserve">desarrolla la taxonomía de métricas XAI como</w:t>
      </w:r>
      <w:r>
        <w:t xml:space="preserve"> </w:t>
      </w:r>
      <w:r>
        <w:t xml:space="preserve">contribución teórica autónoma. El</w:t>
      </w:r>
      <w:r>
        <w:t xml:space="preserve"> </w:t>
      </w:r>
      <w:r>
        <w:rPr>
          <w:b/>
          <w:bCs/>
        </w:rPr>
        <w:t xml:space="preserve">Capítulo 6</w:t>
      </w:r>
      <w:r>
        <w:t xml:space="preserve"> </w:t>
      </w:r>
      <w:r>
        <w:t xml:space="preserve">sintetiza las conclusiones,</w:t>
      </w:r>
      <w:r>
        <w:t xml:space="preserve"> </w:t>
      </w:r>
      <w:r>
        <w:t xml:space="preserve">separa las contribuciones de la literatura previa, reconoce las limitaciones y</w:t>
      </w:r>
      <w:r>
        <w:t xml:space="preserve"> </w:t>
      </w:r>
      <w:r>
        <w:t xml:space="preserve">propone líneas de investigación futura. Los apéndices documentan los datos,</w:t>
      </w:r>
      <w:r>
        <w:t xml:space="preserve"> </w:t>
      </w:r>
      <w:r>
        <w:t xml:space="preserve">modelos, configuraciones, salidas estadísticas y entorno de reproducción.</w:t>
      </w:r>
    </w:p>
    <w:bookmarkEnd w:id="28"/>
    <w:bookmarkStart w:id="43" w:name="X13574bcfb14bbd4e095f2c559ff6b33999e5b97"/>
    <w:p>
      <w:pPr>
        <w:pStyle w:val="Ttulo1"/>
        <w:spacing w:line="360" w:lineRule="auto"/>
        <w:jc w:val="both"/>
      </w:pP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29" w:name="problema-de-investigación"/>
    <w:p>
      <w:pPr>
        <w:pStyle w:val="Ttulo2"/>
        <w:spacing w:line="360" w:lineRule="auto"/>
        <w:jc w:val="both"/>
      </w:pP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2019a;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and Verbert 2024; Lipton 2018)</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and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and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29"/>
    <w:bookmarkStart w:id="30" w:name="justificación-científica-y-práctica"/>
    <w:p>
      <w:pPr>
        <w:pStyle w:val="Ttulo2"/>
        <w:spacing w:line="360" w:lineRule="auto"/>
        <w:jc w:val="both"/>
      </w:pP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and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bookmarkEnd w:id="30"/>
    <w:bookmarkStart w:id="34" w:name="objetivos-e-hipótesis"/>
    <w:p>
      <w:pPr>
        <w:pStyle w:val="Ttulo2"/>
        <w:spacing w:line="360" w:lineRule="auto"/>
        <w:jc w:val="both"/>
      </w:pPr>
      <w:r>
        <w:t xml:space="preserve">Objetivos e hipótesis</w:t>
      </w:r>
    </w:p>
    <w:bookmarkStart w:id="31" w:name="objetivo-general"/>
    <w:p>
      <w:pPr>
        <w:pStyle w:val="Ttulo3"/>
        <w:spacing w:line="360" w:lineRule="auto"/>
        <w:jc w:val="both"/>
      </w:pPr>
      <w:r>
        <w:t xml:space="preserve">Objetivo general</w:t>
      </w:r>
    </w:p>
    <w:p>
      <w:pPr>
        <w:pStyle w:val="FirstParagraph"/>
        <w:spacing w:line="360" w:lineRule="auto"/>
        <w:jc w:val="bot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1"/>
    <w:bookmarkStart w:id="32" w:name="objetivos-específicos"/>
    <w:p>
      <w:pPr>
        <w:pStyle w:val="Ttulo3"/>
        <w:spacing w:line="360" w:lineRule="auto"/>
        <w:jc w:val="both"/>
      </w:pP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r>
        <w:t xml:space="preserve"> </w:t>
      </w:r>
      <w:r>
        <w:t xml:space="preserve">(Canha et al. 2025; Hedström et al. 2023; Agarwal et al. 2022)</w:t>
      </w:r>
      <w:r>
        <w:t xml:space="preserv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r>
        <w:t xml:space="preserve"> </w:t>
      </w:r>
      <w:r>
        <w:t xml:space="preserve">(Lundberg 2017; Ribeiro 2016, 2018; Mothilal 2020; Wachter 2017; Kohavi and Becker 1996; Abdul Kadir et al. 2023; Bhattacharya and Verbert 2024)</w:t>
      </w:r>
    </w:p>
    <w:p>
      <w:pPr>
        <w:numPr>
          <w:ilvl w:val="0"/>
          <w:numId w:val="1001"/>
        </w:numPr>
        <w:spacing w:line="360" w:lineRule="auto"/>
        <w:jc w:val="both"/>
      </w:pPr>
      <w:r>
        <w:t xml:space="preserve">Cuantificar las diferencias en el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los Estudios A y B</w:t>
      </w:r>
      <w:r>
        <w:t xml:space="preserve"> </w:t>
      </w:r>
      <w:r>
        <w:t xml:space="preserve">(Abdul Kadir et al. 2023; Pawlicki et al. 2024; Nizam and Zafar 2023; Marcinkevičs 2023; Schwalbe 2023)</w:t>
      </w:r>
      <w:r>
        <w:t xml:space="preserve">.</w:t>
      </w:r>
    </w:p>
    <w:bookmarkEnd w:id="32"/>
    <w:bookmarkStart w:id="33" w:name="hipótesis-o-proposiciones-de-trabajo"/>
    <w:p>
      <w:pPr>
        <w:pStyle w:val="Ttulo3"/>
        <w:spacing w:line="360" w:lineRule="auto"/>
        <w:jc w:val="both"/>
      </w:pP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bookmarkEnd w:id="33"/>
    <w:bookmarkEnd w:id="34"/>
    <w:bookmarkStart w:id="42" w:name="metodología-general-de-la-investigación"/>
    <w:p>
      <w:pPr>
        <w:pStyle w:val="Ttulo2"/>
        <w:spacing w:line="360" w:lineRule="auto"/>
        <w:jc w:val="both"/>
      </w:pPr>
      <w:r>
        <w:t xml:space="preserve">Metodología general de la investigación</w:t>
      </w:r>
    </w:p>
    <w:bookmarkStart w:id="35" w:name="enfoque"/>
    <w:p>
      <w:pPr>
        <w:pStyle w:val="Ttulo3"/>
        <w:spacing w:line="360" w:lineRule="auto"/>
        <w:jc w:val="both"/>
      </w:pP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 los Estudios A y B descansa en el</w:t>
      </w:r>
      <w:r>
        <w:t xml:space="preserve"> </w:t>
      </w:r>
      <w:r>
        <w:t xml:space="preserve">análisis estadístico de métricas computadas sobre experimentos controlados y</w:t>
      </w:r>
      <w:r>
        <w:t xml:space="preserve"> </w:t>
      </w:r>
      <w:r>
        <w:t xml:space="preserve">reproducibles, siguiendo una lógica hipotético-deductiva. El componente</w:t>
      </w:r>
      <w:r>
        <w:t xml:space="preserve"> </w:t>
      </w:r>
      <w:r>
        <w:t xml:space="preserve">taxonómico del Estudio C —que actúa como puente conceptual integrador— adopta</w:t>
      </w:r>
      <w:r>
        <w:t xml:space="preserve"> </w:t>
      </w:r>
      <w:r>
        <w:t xml:space="preserve">una metodología de revisión estructurada con codificación explícita de</w:t>
      </w:r>
      <w:r>
        <w:t xml:space="preserve"> </w:t>
      </w:r>
      <w:r>
        <w:t xml:space="preserve">dimensiones, siguiendo protocolos de síntesis narrativa rigurosa</w:t>
      </w:r>
      <w:r>
        <w:t xml:space="preserve"> </w:t>
      </w:r>
      <w:r>
        <w:t xml:space="preserve">(Linardatos 2020; Gilpin 2018; Schwalbe 2023; Abdul Kadir et al. 2023)</w:t>
      </w:r>
      <w:r>
        <w:t xml:space="preserve">.</w:t>
      </w:r>
    </w:p>
    <w:bookmarkEnd w:id="35"/>
    <w:bookmarkStart w:id="36" w:name="tipo-de-investigación"/>
    <w:p>
      <w:pPr>
        <w:pStyle w:val="Ttulo3"/>
        <w:spacing w:line="360" w:lineRule="auto"/>
        <w:jc w:val="both"/>
      </w:pPr>
      <w:r>
        <w:t xml:space="preserve">Tipo de investigación</w:t>
      </w:r>
    </w:p>
    <w:p>
      <w:pPr>
        <w:pStyle w:val="FirstParagraph"/>
        <w:spacing w:line="360" w:lineRule="auto"/>
        <w:jc w:val="both"/>
      </w:pPr>
      <w:r>
        <w:t xml:space="preserve">Los Estudios A y B corresponden a investigación comparativa-experimental no</w:t>
      </w:r>
      <w:r>
        <w:t xml:space="preserve"> </w:t>
      </w:r>
      <w:r>
        <w:t xml:space="preserve">intervencional: los métodos XAI son los factores de tratamiento, los modelos</w:t>
      </w:r>
      <w:r>
        <w:t xml:space="preserve"> </w:t>
      </w:r>
      <w:r>
        <w:t xml:space="preserve">predictivos son el contexto experimental y las métricas de calidad son las</w:t>
      </w:r>
      <w:r>
        <w:t xml:space="preserve"> </w:t>
      </w:r>
      <w:r>
        <w:t xml:space="preserve">variables de resultado. El Estudio C corresponde a una revisión sistemática</w:t>
      </w:r>
      <w:r>
        <w:t xml:space="preserve"> </w:t>
      </w:r>
      <w:r>
        <w:t xml:space="preserve">estructurada con propósito taxonómico y de síntesis de brechas de constructo en</w:t>
      </w:r>
      <w:r>
        <w:t xml:space="preserve"> </w:t>
      </w:r>
      <w:r>
        <w:t xml:space="preserve">el campo de la evaluación XAI.</w:t>
      </w:r>
    </w:p>
    <w:bookmarkEnd w:id="36"/>
    <w:bookmarkStart w:id="37" w:name="universo-y-contexto-experimental"/>
    <w:p>
      <w:pPr>
        <w:pStyle w:val="Ttulo3"/>
        <w:spacing w:line="360" w:lineRule="auto"/>
        <w:jc w:val="both"/>
      </w:pP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and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37"/>
    <w:bookmarkStart w:id="38" w:name="Xdcd1be9d99c262f87a75615ad9164d40f630ac9"/>
    <w:p>
      <w:pPr>
        <w:pStyle w:val="Ttulo3"/>
        <w:spacing w:line="360" w:lineRule="auto"/>
        <w:jc w:val="both"/>
      </w:pP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A)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análisis pareado LIME-SHAP (Estudio B) opera sobre 75 celdas</w:t>
      </w:r>
      <w:r>
        <w:t xml:space="preserve"> </w:t>
      </w:r>
      <w:r>
        <w:t xml:space="preserve">coincidentes.</w:t>
      </w:r>
    </w:p>
    <w:bookmarkEnd w:id="38"/>
    <w:bookmarkStart w:id="39" w:name="criterios-de-inclusión-y-exclusión"/>
    <w:p>
      <w:pPr>
        <w:pStyle w:val="Ttulo3"/>
        <w:spacing w:line="360" w:lineRule="auto"/>
        <w:jc w:val="both"/>
      </w:pP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análisis pareado del Estudio B.</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39"/>
    <w:bookmarkStart w:id="40" w:name="variables-dimensiones-y-métricas"/>
    <w:p>
      <w:pPr>
        <w:pStyle w:val="Ttulo3"/>
        <w:spacing w:line="360" w:lineRule="auto"/>
        <w:jc w:val="both"/>
      </w:pP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and Verbert 2024; Canha et al. 2025; Zheng et al. 2025)</w:t>
      </w:r>
      <w:r>
        <w:t xml:space="preserve">.</w:t>
      </w:r>
    </w:p>
    <w:bookmarkEnd w:id="40"/>
    <w:bookmarkStart w:id="41" w:name="estrategia-procedimental"/>
    <w:p>
      <w:pPr>
        <w:pStyle w:val="Ttulo3"/>
        <w:spacing w:line="360" w:lineRule="auto"/>
        <w:jc w:val="both"/>
      </w:pP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1"/>
    <w:bookmarkEnd w:id="42"/>
    <w:bookmarkEnd w:id="43"/>
    <w:bookmarkStart w:id="59" w:name="X5df853d312351836bad75f10c25fdcfe7ebc358"/>
    <w:p>
      <w:pPr>
        <w:pStyle w:val="Ttulo1"/>
        <w:spacing w:line="360" w:lineRule="auto"/>
        <w:jc w:val="both"/>
      </w:pPr>
      <w:r>
        <w:t xml:space="preserve">Marco teórico específico / fundamentos conceptuales</w:t>
      </w:r>
    </w:p>
    <w:bookmarkStart w:id="44" w:name="propósito-del-capítulo"/>
    <w:p>
      <w:pPr>
        <w:pStyle w:val="Ttulo2"/>
        <w:spacing w:line="360" w:lineRule="auto"/>
        <w:jc w:val="both"/>
      </w:pP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4"/>
    <w:bookmarkStart w:id="45" w:name="Xe6760546a452d6306b93a783545f3c51ee07c22"/>
    <w:p>
      <w:pPr>
        <w:pStyle w:val="Ttulo2"/>
        <w:spacing w:line="360" w:lineRule="auto"/>
        <w:jc w:val="both"/>
      </w:pP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2019a)</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2019a;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2019a;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2019a)</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2019a; Hedström et al. 2023)</w:t>
      </w:r>
      <w:r>
        <w:t xml:space="preserve">.</w:t>
      </w:r>
    </w:p>
    <w:p>
      <w:pPr>
        <w:pStyle w:val="Textoindependiente"/>
        <w:spacing w:line="360" w:lineRule="auto"/>
        <w:jc w:val="both"/>
      </w:pPr>
      <w:r>
        <w:t xml:space="preserve">La literatura también distingue métodos agnósticos y específicos del modelo</w:t>
      </w:r>
      <w:r>
        <w:t xml:space="preserve"> </w:t>
      </w:r>
      <w:r>
        <w:t xml:space="preserve">(Arrieta 2019a;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2019a;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2019a;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5"/>
    <w:bookmarkStart w:id="46" w:name="distinciones-conceptuales-fundamentales"/>
    <w:p>
      <w:pPr>
        <w:pStyle w:val="Ttulo2"/>
        <w:spacing w:line="360" w:lineRule="auto"/>
        <w:jc w:val="both"/>
      </w:pP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2019a;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2019a;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6"/>
    <w:bookmarkStart w:id="51" w:name="Xa854bcdfe02171eee67e88340a3233edf48569f"/>
    <w:p>
      <w:pPr>
        <w:pStyle w:val="Ttulo2"/>
        <w:spacing w:line="360" w:lineRule="auto"/>
        <w:jc w:val="both"/>
      </w:pPr>
      <w:r>
        <w:t xml:space="preserve">Métodos de explicación evaluados en esta tesis</w:t>
      </w:r>
    </w:p>
    <w:bookmarkStart w:id="47" w:name="Xbbcfa782e2d35f160f8750f56befcd9ee8cf14e"/>
    <w:p>
      <w:pPr>
        <w:pStyle w:val="Ttulo3"/>
        <w:spacing w:line="360" w:lineRule="auto"/>
        <w:jc w:val="both"/>
      </w:pP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47"/>
    <w:bookmarkStart w:id="48" w:name="X187de0a2f0f332efaa60a19888eaffd7cc2e7b5"/>
    <w:p>
      <w:pPr>
        <w:pStyle w:val="Ttulo3"/>
        <w:spacing w:line="360" w:lineRule="auto"/>
        <w:jc w:val="both"/>
      </w:pP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(Lundberg 2017)</w:t>
      </w:r>
      <w:r>
        <w:t xml:space="preserve">. La predicción se</w:t>
      </w:r>
      <w:r>
        <w:t xml:space="preserve"> </w:t>
      </w:r>
      <w:r>
        <w:t xml:space="preserve">expresa como una suma de contribuciones atribuibles a cada característica, bajo</w:t>
      </w:r>
      <w:r>
        <w:t xml:space="preserve"> </w:t>
      </w:r>
      <w:r>
        <w:t xml:space="preserve">un conjunto de propiedades deseables para explicaciones aditivas.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48"/>
    <w:bookmarkStart w:id="49" w:name="X029215b3a63b0848a75a7aa70454b1144c0f31f"/>
    <w:p>
      <w:pPr>
        <w:pStyle w:val="Ttulo3"/>
        <w:spacing w:line="360" w:lineRule="auto"/>
        <w:jc w:val="both"/>
      </w:pP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49"/>
    <w:bookmarkStart w:id="50" w:name="Xd196f32f12fd1cc1850af93995e5a1615dfcb83"/>
    <w:p>
      <w:pPr>
        <w:pStyle w:val="Ttulo3"/>
        <w:spacing w:line="360" w:lineRule="auto"/>
        <w:jc w:val="both"/>
      </w:pP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0"/>
    <w:bookmarkEnd w:id="51"/>
    <w:bookmarkStart w:id="55" w:name="marcos-y-protocolos-de-evaluación-xai"/>
    <w:p>
      <w:pPr>
        <w:pStyle w:val="Ttulo2"/>
        <w:spacing w:line="360" w:lineRule="auto"/>
        <w:jc w:val="both"/>
      </w:pPr>
      <w:r>
        <w:t xml:space="preserve">Marcos y protocolos de evaluación XAI</w:t>
      </w:r>
    </w:p>
    <w:p>
      <w:pPr>
        <w:pStyle w:val="FirstParagraph"/>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and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Table 3.1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tblLayout w:type="fixed"/>
        <w:tblLook w:firstRow="0" w:lastRow="0" w:firstColumn="0" w:lastColumn="0" w:noHBand="0" w:noVBand="0" w:val="0000"/>
      </w:tblPr>
      <w:tblGrid>
        <w:gridCol w:w="7920"/>
      </w:tblGrid>
      <w:tr>
        <w:tc>
          <w:tcPr/>
          <w:bookmarkStart w:id="52" w:name="tbl-framework-comparison"/>
          <w:p>
            <w:pPr>
              <w:jc w:val="both"/>
              <w:spacing w:line="360" w:lineRule="auto"/>
            </w:pPr>
            <w:pPr>
              <w:jc w:val="left"/>
              <w:spacing w:before="200"/>
              <w:pStyle w:val="ImageCaption"/>
            </w:pPr>
            <w:r>
              <w:t xml:space="preserve">Table 3.1: Comparación de marcos de evaluación XAI según cobertura, reproducibilidad, gobernanza y tipo de evaluación.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Marco / protocolo</w:t>
                  </w:r>
                </w:p>
              </w:tc>
              <w:tc>
                <w:tcPr/>
                <w:p>
                  <w:pPr>
                    <w:pStyle w:val="Compact"/>
                    <w:jc w:val="both"/>
                    <w:jc w:val="center"/>
                    <w:spacing w:line="360" w:lineRule="auto"/>
                  </w:pPr>
                  <w:r>
                    <w:t xml:space="preserve">Cobertura de métricas</w:t>
                  </w:r>
                </w:p>
              </w:tc>
              <w:tc>
                <w:tcPr/>
                <w:p>
                  <w:pPr>
                    <w:pStyle w:val="Compact"/>
                    <w:jc w:val="both"/>
                    <w:jc w:val="center"/>
                    <w:spacing w:line="360" w:lineRule="auto"/>
                  </w:pPr>
                  <w:r>
                    <w:t xml:space="preserve">Soporte a reproducibilidad</w:t>
                  </w:r>
                </w:p>
              </w:tc>
              <w:tc>
                <w:tcPr/>
                <w:p>
                  <w:pPr>
                    <w:pStyle w:val="Compact"/>
                    <w:jc w:val="both"/>
                    <w:jc w:val="center"/>
                    <w:spacing w:line="360" w:lineRule="auto"/>
                  </w:pPr>
                  <w:r>
                    <w:t xml:space="preserve">Protocolo de gobernanza</w:t>
                  </w:r>
                </w:p>
              </w:tc>
              <w:tc>
                <w:tcPr/>
                <w:p>
                  <w:pPr>
                    <w:pStyle w:val="Compact"/>
                    <w:jc w:val="both"/>
                    <w:jc w:val="center"/>
                    <w:spacing w:line="360" w:lineRule="auto"/>
                  </w:pPr>
                  <w: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2"/>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and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and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3" w:name="X900f39c64f84f209bdf33df61ada6c5cfa8ef2d"/>
    <w:p>
      <w:pPr>
        <w:pStyle w:val="Ttulo3"/>
        <w:spacing w:line="360" w:lineRule="auto"/>
        <w:jc w:val="both"/>
      </w:pPr>
      <w:r>
        <w:t xml:space="preserve">Evaluación human-centered: usuarios, tareas y calidad explicativa</w:t>
      </w:r>
    </w:p>
    <w:p>
      <w:pPr>
        <w:pStyle w:val="FirstParagraph"/>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and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and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3"/>
    <w:bookmarkStart w:id="54" w:name="Xcb28a5da8e0ee4c37a7111d109b1f7262846e3e"/>
    <w:p>
      <w:pPr>
        <w:pStyle w:val="Ttulo3"/>
        <w:spacing w:line="360" w:lineRule="auto"/>
        <w:jc w:val="both"/>
      </w:pP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4"/>
    <w:bookmarkEnd w:id="55"/>
    <w:bookmarkStart w:id="56" w:name="X1ac049df9037bab7d9ddedb9eb6dfc246d0f001"/>
    <w:p>
      <w:pPr>
        <w:pStyle w:val="Ttulo2"/>
        <w:spacing w:line="360" w:lineRule="auto"/>
        <w:jc w:val="both"/>
      </w:pPr>
      <w:r>
        <w:t xml:space="preserve">Taxonomias de métricas y brechas de constructo</w:t>
      </w:r>
    </w:p>
    <w:p>
      <w:pPr>
        <w:pStyle w:val="FirstParagraph"/>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and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t xml:space="preserve">Método</w:t>
            </w:r>
          </w:p>
        </w:tc>
        <w:tc>
          <w:tcPr/>
          <w:p>
            <w:pPr>
              <w:pStyle w:val="Compact"/>
              <w:spacing w:line="360" w:lineRule="auto"/>
              <w:jc w:val="both"/>
            </w:pPr>
            <w:r>
              <w:t xml:space="preserve">Objeto explicativo principal</w:t>
            </w:r>
          </w:p>
        </w:tc>
        <w:tc>
          <w:tcPr/>
          <w:p>
            <w:pPr>
              <w:pStyle w:val="Compact"/>
              <w:spacing w:line="360" w:lineRule="auto"/>
              <w:jc w:val="both"/>
            </w:pPr>
            <w:r>
              <w:t xml:space="preserve">Constructos naturalmente alineados</w:t>
            </w:r>
          </w:p>
        </w:tc>
        <w:tc>
          <w:tcPr/>
          <w:p>
            <w:pPr>
              <w:pStyle w:val="Compact"/>
              <w:spacing w:line="360" w:lineRule="auto"/>
              <w:jc w:val="both"/>
            </w:pPr>
            <w:r>
              <w:t xml:space="preserve">Riesgos de evaluación</w:t>
            </w:r>
          </w:p>
        </w:tc>
        <w:tc>
          <w:tcPr/>
          <w:p>
            <w:pPr>
              <w:pStyle w:val="Compact"/>
              <w:spacing w:line="360" w:lineRule="auto"/>
              <w:jc w:val="both"/>
            </w:pPr>
            <w: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6"/>
    <w:bookmarkStart w:id="57" w:name="X56f8700cbeeed185eff27b2505360753d99a361"/>
    <w:p>
      <w:pPr>
        <w:pStyle w:val="Ttulo2"/>
        <w:spacing w:line="360" w:lineRule="auto"/>
        <w:jc w:val="both"/>
      </w:pP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57"/>
    <w:bookmarkStart w:id="58" w:name="síntesis-crítica-justificación-de-fom-7"/>
    <w:p>
      <w:pPr>
        <w:pStyle w:val="Ttulo2"/>
        <w:spacing w:line="360" w:lineRule="auto"/>
        <w:jc w:val="both"/>
      </w:pP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and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58"/>
    <w:bookmarkEnd w:id="59"/>
    <w:bookmarkStart w:id="102" w:name="marco-empírico-y-diseño-experimental"/>
    <w:p>
      <w:pPr>
        <w:pStyle w:val="Ttulo1"/>
        <w:spacing w:line="360" w:lineRule="auto"/>
        <w:jc w:val="both"/>
      </w:pP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(Estudio A, Paper A) y la comparación pareada enfocada entre LIME y SHAP</w:t>
      </w:r>
      <w:r>
        <w:t xml:space="preserve"> </w:t>
      </w:r>
      <w:r>
        <w:t xml:space="preserve">(Estudio B, Paper B). Ambos estudios comparten el mismo pipeline experimental,</w:t>
      </w:r>
      <w:r>
        <w:t xml:space="preserve"> </w:t>
      </w:r>
      <w:r>
        <w:t xml:space="preserve">el mismo conjunto de datos y los mismos artefactos de modelo, y se distinguen</w:t>
      </w:r>
      <w:r>
        <w:t xml:space="preserve"> </w:t>
      </w:r>
      <w:r>
        <w:t xml:space="preserve">por el alcance del análisis inferencial: Estudio A evalúa los cuatro métodos</w:t>
      </w:r>
      <w:r>
        <w:t xml:space="preserve"> </w:t>
      </w:r>
      <w:r>
        <w:t xml:space="preserve">sobre el diseño factorial completo; Estudio B restringe la inferencia</w:t>
      </w:r>
      <w:r>
        <w:t xml:space="preserve"> </w:t>
      </w:r>
      <w:r>
        <w:t xml:space="preserve">confirmativa al subconjunto pareado LIME-SHAP. El capítulo se organiza en ocho</w:t>
      </w:r>
      <w:r>
        <w:t xml:space="preserve"> </w:t>
      </w:r>
      <w:r>
        <w:t xml:space="preserve">secciones: las dos fases experimentales (EXP1 y EXP2), el conjunto de datos y</w:t>
      </w:r>
      <w:r>
        <w:t xml:space="preserve"> </w:t>
      </w:r>
      <w:r>
        <w:t xml:space="preserve">el protocolo de preprocesamiento, el diseño factorial, las configuraciones de</w:t>
      </w:r>
      <w:r>
        <w:t xml:space="preserve"> </w:t>
      </w:r>
      <w:r>
        <w:t xml:space="preserve">los explicadores, la operacionalización de las métricas, el protocolo FOM-7,</w:t>
      </w:r>
      <w:r>
        <w:t xml:space="preserve"> </w:t>
      </w:r>
      <w:r>
        <w:t xml:space="preserve">el análisis de cobertura de artefactos, y el plan de inferencia estadística.</w:t>
      </w:r>
      <w:r>
        <w:t xml:space="preserve"> </w:t>
      </w:r>
      <w:r>
        <w:t xml:space="preserve">Las amenazas a la validez y el inventario de recursos de reproducibilidad</w:t>
      </w:r>
      <w:r>
        <w:t xml:space="preserve"> </w:t>
      </w:r>
      <w:r>
        <w:t xml:space="preserve">figuran 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3" w:name="fases-experimentales-exp1-y-exp2"/>
    <w:p>
      <w:pPr>
        <w:pStyle w:val="Ttulo2"/>
        <w:spacing w:line="360" w:lineRule="auto"/>
        <w:jc w:val="both"/>
      </w:pP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1" w:name="X32cac70d6076bcfbcdceb21da7e13d3984b2a1d"/>
    <w:p>
      <w:pPr>
        <w:pStyle w:val="Ttulo3"/>
        <w:spacing w:line="360" w:lineRule="auto"/>
        <w:jc w:val="both"/>
      </w:pP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tblLayout w:type="fixed"/>
        <w:tblLook w:firstRow="0" w:lastRow="0" w:firstColumn="0" w:lastColumn="0" w:noHBand="0" w:noVBand="0" w:val="0000"/>
      </w:tblPr>
      <w:tblGrid>
        <w:gridCol w:w="7920"/>
      </w:tblGrid>
      <w:tr>
        <w:tc>
          <w:tcPr/>
          <w:bookmarkStart w:id="60" w:name="tbl-model-performance"/>
          <w:p>
            <w:pPr>
              <w:jc w:val="both"/>
              <w:spacing w:line="360" w:lineRule="auto"/>
            </w:pPr>
            <w:pPr>
              <w:jc w:val="left"/>
              <w:spacing w:before="200"/>
              <w:pStyle w:val="ImageCaption"/>
            </w:pPr>
            <w:r>
              <w:t xml:space="preserve">Table 4.1: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Exactitud</w:t>
                  </w:r>
                </w:p>
              </w:tc>
              <w:tc>
                <w:tcPr/>
                <w:p>
                  <w:pPr>
                    <w:pStyle w:val="Compact"/>
                    <w:jc w:val="both"/>
                    <w:jc w:val="center"/>
                    <w:spacing w:line="360" w:lineRule="auto"/>
                  </w:pPr>
                  <w:r>
                    <w:t xml:space="preserve">Precisión</w:t>
                  </w:r>
                </w:p>
              </w:tc>
              <w:tc>
                <w:tcPr/>
                <w:p>
                  <w:pPr>
                    <w:pStyle w:val="Compact"/>
                    <w:jc w:val="both"/>
                    <w:jc w:val="center"/>
                    <w:spacing w:line="360" w:lineRule="auto"/>
                  </w:pPr>
                  <w:r>
                    <w:t xml:space="preserve">Recall</w:t>
                  </w:r>
                </w:p>
              </w:tc>
              <w:tc>
                <w:tcPr/>
                <w:p>
                  <w:pPr>
                    <w:pStyle w:val="Compact"/>
                    <w:jc w:val="both"/>
                    <w:jc w:val="center"/>
                    <w:spacing w:line="360" w:lineRule="auto"/>
                  </w:pPr>
                  <w:r>
                    <w:t xml:space="preserve">F1</w:t>
                  </w:r>
                </w:p>
              </w:tc>
              <w:tc>
                <w:tcPr/>
                <w:p>
                  <w:pPr>
                    <w:pStyle w:val="Compact"/>
                    <w:jc w:val="both"/>
                    <w:jc w:val="center"/>
                    <w:spacing w:line="360" w:lineRule="auto"/>
                  </w:pPr>
                  <w: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0"/>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1"/>
    <w:bookmarkStart w:id="62" w:name="X88dee61532cae681dfa2cfeee2779c5c9929176"/>
    <w:p>
      <w:pPr>
        <w:pStyle w:val="Ttulo3"/>
        <w:spacing w:line="360" w:lineRule="auto"/>
        <w:jc w:val="both"/>
      </w:pP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 los Estudios A y B.</w:t>
      </w:r>
    </w:p>
    <w:bookmarkEnd w:id="62"/>
    <w:bookmarkEnd w:id="63"/>
    <w:bookmarkStart w:id="67" w:name="Xb179eb5e9b7cbdb0e78e991d72b8aeee41d8932"/>
    <w:p>
      <w:pPr>
        <w:pStyle w:val="Ttulo2"/>
        <w:spacing w:line="360" w:lineRule="auto"/>
        <w:jc w:val="both"/>
      </w:pPr>
      <w:r>
        <w:t xml:space="preserve">Conjunto de datos y protocolo de preprocesamiento</w:t>
      </w:r>
    </w:p>
    <w:bookmarkStart w:id="64" w:name="descripción-del-conjunto-de-datos"/>
    <w:p>
      <w:pPr>
        <w:pStyle w:val="Ttulo3"/>
        <w:spacing w:line="360" w:lineRule="auto"/>
        <w:jc w:val="both"/>
      </w:pP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and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4"/>
    <w:bookmarkStart w:id="65" w:name="carga-limpieza-y-partición"/>
    <w:p>
      <w:pPr>
        <w:pStyle w:val="Ttulo3"/>
        <w:spacing w:line="360" w:lineRule="auto"/>
        <w:jc w:val="both"/>
      </w:pP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5"/>
    <w:bookmarkStart w:id="66" w:name="controles-de-fuga-de-datos"/>
    <w:p>
      <w:pPr>
        <w:pStyle w:val="Ttulo3"/>
        <w:spacing w:line="360" w:lineRule="auto"/>
        <w:jc w:val="both"/>
      </w:pP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6"/>
    <w:bookmarkEnd w:id="67"/>
    <w:bookmarkStart w:id="69" w:name="X810bf4db8899260d734480c9f59b02e6a2182a3"/>
    <w:p>
      <w:pPr>
        <w:pStyle w:val="Ttulo2"/>
        <w:spacing w:line="360" w:lineRule="auto"/>
        <w:jc w:val="both"/>
      </w:pP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68" w:name="X7f3be01e797123bdbedac923d646584591998bc"/>
    <w:p>
      <w:pPr>
        <w:pStyle w:val="Ttulo3"/>
        <w:spacing w:line="360" w:lineRule="auto"/>
        <w:jc w:val="both"/>
      </w:pP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B es la</w:t>
      </w:r>
      <w:r>
        <w:t xml:space="preserve"> </w:t>
      </w:r>
      <w:r>
        <w:rPr>
          <w:b/>
          <w:bCs/>
        </w:rPr>
        <w:t xml:space="preserve">celda 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 calificados de</w:t>
      </w:r>
      <w:r>
        <w:t xml:space="preserve"> </w:t>
      </w:r>
      <w:r>
        <w:t xml:space="preserve">SHAP y LIME con coordenadas idénticas.</w:t>
      </w:r>
    </w:p>
    <w:bookmarkEnd w:id="68"/>
    <w:bookmarkEnd w:id="69"/>
    <w:bookmarkStart w:id="72" w:name="Xa1b63f5b80ef9314faeb5aae6b8d7e743e4217a"/>
    <w:p>
      <w:pPr>
        <w:pStyle w:val="Ttulo2"/>
        <w:spacing w:line="360" w:lineRule="auto"/>
        <w:jc w:val="both"/>
      </w:pPr>
      <w:r>
        <w:t xml:space="preserve">Protocolo de muestreo de instancias y configuración de explicadores</w:t>
      </w:r>
    </w:p>
    <w:bookmarkStart w:id="70" w:name="X22a27531824c8c7d79a9c6abca6e13f987fd35c"/>
    <w:p>
      <w:pPr>
        <w:pStyle w:val="Ttulo3"/>
        <w:spacing w:line="360" w:lineRule="auto"/>
        <w:jc w:val="both"/>
      </w:pP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0"/>
    <w:bookmarkStart w:id="71" w:name="configuración-de-los-explicadores"/>
    <w:p>
      <w:pPr>
        <w:pStyle w:val="Ttulo3"/>
        <w:spacing w:line="360" w:lineRule="auto"/>
        <w:jc w:val="both"/>
      </w:pP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1"/>
    <w:bookmarkEnd w:id="72"/>
    <w:bookmarkStart w:id="80" w:name="operacionalización-de-las-métricas"/>
    <w:p>
      <w:pPr>
        <w:pStyle w:val="Ttulo2"/>
        <w:spacing w:line="360" w:lineRule="auto"/>
        <w:jc w:val="both"/>
      </w:pP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3" w:name="fidelidad"/>
    <w:p>
      <w:pPr>
        <w:pStyle w:val="Ttulo3"/>
        <w:spacing w:line="360" w:lineRule="auto"/>
        <w:jc w:val="both"/>
      </w:pP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3"/>
    <w:bookmarkStart w:id="74" w:name="estabilidad"/>
    <w:p>
      <w:pPr>
        <w:pStyle w:val="Ttulo3"/>
        <w:spacing w:line="360" w:lineRule="auto"/>
        <w:jc w:val="both"/>
      </w:pP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4"/>
    <w:bookmarkStart w:id="75" w:name="parsimonia"/>
    <w:p>
      <w:pPr>
        <w:pStyle w:val="Ttulo3"/>
        <w:spacing w:line="360" w:lineRule="auto"/>
        <w:jc w:val="both"/>
      </w:pP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5"/>
    <w:bookmarkStart w:id="76" w:name="brecha-de-fidelidad"/>
    <w:p>
      <w:pPr>
        <w:pStyle w:val="Ttulo3"/>
        <w:spacing w:line="360" w:lineRule="auto"/>
        <w:jc w:val="both"/>
      </w:pP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6"/>
    <w:bookmarkStart w:id="77" w:name="coste-computacional"/>
    <w:p>
      <w:pPr>
        <w:pStyle w:val="Ttulo3"/>
        <w:spacing w:line="360" w:lineRule="auto"/>
        <w:jc w:val="both"/>
      </w:pP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77"/>
    <w:bookmarkStart w:id="79" w:name="resumen-de-métricas-primarias"/>
    <w:p>
      <w:pPr>
        <w:pStyle w:val="Ttulo3"/>
        <w:spacing w:line="360" w:lineRule="auto"/>
        <w:jc w:val="both"/>
      </w:pPr>
      <w:r>
        <w:t xml:space="preserve">Resumen de métricas primarias</w:t>
      </w:r>
    </w:p>
    <w:tbl>
      <w:tblPr>
        <w:tblStyle w:val="Table"/>
        <w:tblW w:type="pct" w:w="5000"/>
        <w:tblLayout w:type="fixed"/>
        <w:tblLook w:firstRow="0" w:lastRow="0" w:firstColumn="0" w:lastColumn="0" w:noHBand="0" w:noVBand="0" w:val="0000"/>
      </w:tblPr>
      <w:tblGrid>
        <w:gridCol w:w="7920"/>
      </w:tblGrid>
      <w:tr>
        <w:tc>
          <w:tcPr/>
          <w:bookmarkStart w:id="78" w:name="tbl-metrics"/>
          <w:p>
            <w:pPr>
              <w:jc w:val="both"/>
              <w:spacing w:line="360" w:lineRule="auto"/>
            </w:pPr>
            <w:pPr>
              <w:jc w:val="left"/>
              <w:spacing w:before="200"/>
              <w:pStyle w:val="ImageCaption"/>
            </w:pPr>
            <w:r>
              <w:t xml:space="preserve">Table 4.2: Métricas primarias del benchmark con unidades y direcciones.</w:t>
            </w: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Símbolo</w:t>
                  </w:r>
                </w:p>
              </w:tc>
              <w:tc>
                <w:tcPr/>
                <w:p>
                  <w:pPr>
                    <w:pStyle w:val="Compact"/>
                    <w:jc w:val="both"/>
                    <w:jc w:val="center"/>
                    <w:spacing w:line="360" w:lineRule="auto"/>
                  </w:pPr>
                  <w:r>
                    <w:t xml:space="preserve">Unidad</w:t>
                  </w:r>
                </w:p>
              </w:tc>
              <w:tc>
                <w:tcPr/>
                <w:p>
                  <w:pPr>
                    <w:pStyle w:val="Compact"/>
                    <w:jc w:val="both"/>
                    <w:jc w:val="center"/>
                    <w:spacing w:line="360" w:lineRule="auto"/>
                  </w:pPr>
                  <w: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78"/>
          <w:p>
            <w:pPr>
              <w:spacing w:line="360" w:lineRule="auto"/>
              <w:jc w:val="both"/>
            </w:pPr>
          </w:p>
        </w:tc>
      </w:tr>
    </w:tbl>
    <w:bookmarkEnd w:id="79"/>
    <w:bookmarkEnd w:id="80"/>
    <w:bookmarkStart w:id="82" w:name="protocolo-de-operación-fom-7"/>
    <w:p>
      <w:pPr>
        <w:pStyle w:val="Ttulo2"/>
        <w:spacing w:line="360" w:lineRule="auto"/>
        <w:jc w:val="both"/>
      </w:pP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Table 4.3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tblLayout w:type="fixed"/>
        <w:tblLook w:firstRow="0" w:lastRow="0" w:firstColumn="0" w:lastColumn="0" w:noHBand="0" w:noVBand="0" w:val="0000"/>
      </w:tblPr>
      <w:tblGrid>
        <w:gridCol w:w="7920"/>
      </w:tblGrid>
      <w:tr>
        <w:tc>
          <w:tcPr/>
          <w:bookmarkStart w:id="81" w:name="tbl-fom7-gates"/>
          <w:p>
            <w:pPr>
              <w:jc w:val="both"/>
              <w:spacing w:line="360" w:lineRule="auto"/>
            </w:pPr>
            <w:pPr>
              <w:jc w:val="left"/>
              <w:spacing w:before="200"/>
              <w:pStyle w:val="ImageCaption"/>
            </w:pPr>
            <w:r>
              <w:t xml:space="preserve">Table 4.3: Puertas FOM-7, artefactos y modos de fallo controlados.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Puerta</w:t>
                  </w:r>
                </w:p>
              </w:tc>
              <w:tc>
                <w:tcPr/>
                <w:p>
                  <w:pPr>
                    <w:pStyle w:val="Compact"/>
                    <w:jc w:val="both"/>
                    <w:jc w:val="center"/>
                    <w:spacing w:line="360" w:lineRule="auto"/>
                  </w:pPr>
                  <w:r>
                    <w:t xml:space="preserve">Propósito</w:t>
                  </w:r>
                </w:p>
              </w:tc>
              <w:tc>
                <w:tcPr/>
                <w:p>
                  <w:pPr>
                    <w:pStyle w:val="Compact"/>
                    <w:jc w:val="both"/>
                    <w:jc w:val="center"/>
                    <w:spacing w:line="360" w:lineRule="auto"/>
                  </w:pPr>
                  <w:r>
                    <w:t xml:space="preserve">Artefacto de entrada</w:t>
                  </w:r>
                </w:p>
              </w:tc>
              <w:tc>
                <w:tcPr/>
                <w:p>
                  <w:pPr>
                    <w:pStyle w:val="Compact"/>
                    <w:jc w:val="both"/>
                    <w:jc w:val="center"/>
                    <w:spacing w:line="360" w:lineRule="auto"/>
                  </w:pPr>
                  <w:r>
                    <w:t xml:space="preserve">Artefacto de salida</w:t>
                  </w:r>
                </w:p>
              </w:tc>
              <w:tc>
                <w:tcPr/>
                <w:p>
                  <w:pPr>
                    <w:pStyle w:val="Compact"/>
                    <w:jc w:val="both"/>
                    <w:jc w:val="center"/>
                    <w:spacing w:line="360" w:lineRule="auto"/>
                  </w:pPr>
                  <w:r>
                    <w:t xml:space="preserve">Fallo controlado</w:t>
                  </w:r>
                </w:p>
              </w:tc>
              <w:tc>
                <w:tcPr/>
                <w:p>
                  <w:pPr>
                    <w:pStyle w:val="Compact"/>
                    <w:jc w:val="both"/>
                    <w:jc w:val="center"/>
                    <w:spacing w:line="360" w:lineRule="auto"/>
                  </w:pPr>
                  <w: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Table 5.1</w:t>
                    </w:r>
                  </w:hyperlink>
                  <w:r>
                    <w:t xml:space="preserve"> </w:t>
                  </w:r>
                  <w:r>
                    <w:t xml:space="preserve">y</w:t>
                  </w:r>
                  <w:r>
                    <w:t xml:space="preserve"> </w:t>
                  </w:r>
                  <w:hyperlink w:anchor="tbl-claim-traceability">
                    <w:r>
                      <w:rPr>
                        <w:rStyle w:val="Hipervnculo"/>
                      </w:rPr>
                      <w:t xml:space="preserve">Table 5.7</w:t>
                    </w:r>
                  </w:hyperlink>
                </w:p>
              </w:tc>
            </w:tr>
          </w:tbl>
          <w:bookmarkEnd w:id="81"/>
          <w:p>
            <w:pPr>
              <w:spacing w:line="360" w:lineRule="auto"/>
              <w:jc w:val="both"/>
            </w:pPr>
          </w:p>
        </w:tc>
      </w:tr>
    </w:tbl>
    <w:bookmarkEnd w:id="82"/>
    <w:bookmarkStart w:id="87" w:name="X70736bc07e73377e919d2c60f119994d057bf14"/>
    <w:p>
      <w:pPr>
        <w:pStyle w:val="Ttulo2"/>
        <w:spacing w:line="360" w:lineRule="auto"/>
        <w:jc w:val="both"/>
      </w:pPr>
      <w:r>
        <w:t xml:space="preserve">Cobertura de artefactos y análisis del impacto de datos faltantes</w:t>
      </w:r>
    </w:p>
    <w:bookmarkStart w:id="85" w:name="inventario-de-cobertura"/>
    <w:p>
      <w:pPr>
        <w:pStyle w:val="Ttulo3"/>
        <w:spacing w:line="360" w:lineRule="auto"/>
        <w:jc w:val="both"/>
      </w:pP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tblLayout w:type="fixed"/>
        <w:tblLook w:firstRow="0" w:lastRow="0" w:firstColumn="0" w:lastColumn="0" w:noHBand="0" w:noVBand="0" w:val="0000"/>
      </w:tblPr>
      <w:tblGrid>
        <w:gridCol w:w="7920"/>
      </w:tblGrid>
      <w:tr>
        <w:tc>
          <w:tcPr/>
          <w:bookmarkStart w:id="83" w:name="tbl-coverage"/>
          <w:p>
            <w:pPr>
              <w:jc w:val="both"/>
              <w:spacing w:line="360" w:lineRule="auto"/>
            </w:pPr>
            <w:pPr>
              <w:jc w:val="left"/>
              <w:spacing w:before="200"/>
              <w:pStyle w:val="ImageCaption"/>
            </w:pPr>
            <w:r>
              <w:t xml:space="preserve">Table 4.4: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Cohorte</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Presentes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3"/>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tblLayout w:type="fixed"/>
        <w:tblLook w:firstRow="0" w:lastRow="0" w:firstColumn="0" w:lastColumn="0" w:noHBand="0" w:noVBand="0" w:val="0000"/>
      </w:tblPr>
      <w:tblGrid>
        <w:gridCol w:w="7920"/>
      </w:tblGrid>
      <w:tr>
        <w:tc>
          <w:tcPr/>
          <w:bookmarkStart w:id="84" w:name="tbl-coverage-method"/>
          <w:p>
            <w:pPr>
              <w:jc w:val="both"/>
              <w:spacing w:line="360" w:lineRule="auto"/>
            </w:pPr>
            <w:pPr>
              <w:jc w:val="left"/>
              <w:spacing w:before="200"/>
              <w:pStyle w:val="ImageCaption"/>
            </w:pPr>
            <w:r>
              <w:t xml:space="preserve">Table 4.5: Cobertura analítica por método. SHAP incluye la superposición de</w:t>
            </w:r>
            <w:r>
              <w:t xml:space="preserve"> </w:t>
            </w:r>
            <w:r>
              <w:t xml:space="preserve">recuperación.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Método</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4"/>
          <w:p>
            <w:pPr>
              <w:spacing w:line="360" w:lineRule="auto"/>
              <w:jc w:val="both"/>
            </w:pPr>
          </w:p>
        </w:tc>
      </w:tr>
    </w:tbl>
    <w:bookmarkEnd w:id="85"/>
    <w:bookmarkStart w:id="86" w:name="Xcb4396ffd8bf23e7b418105a9e8d3fef7075c0b"/>
    <w:p>
      <w:pPr>
        <w:pStyle w:val="Ttulo3"/>
        <w:spacing w:line="360" w:lineRule="auto"/>
        <w:jc w:val="both"/>
      </w:pP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análisis pareado del Estudio B.</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A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 encima del</w:t>
      </w:r>
      <w:r>
        <w:t xml:space="preserve"> </w:t>
      </w:r>
      <w:r>
        <w:t xml:space="preserve">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Para acotar el margen de forma explícita se aplica una prueba de esfuerzo</w:t>
      </w:r>
      <w:r>
        <w:t xml:space="preserve"> </w:t>
      </w:r>
      <w:r>
        <w:t xml:space="preserve">deliberadamente severa sobre la métrica menos favorable: se divide por dos el</w:t>
      </w:r>
      <w:r>
        <w:t xml:space="preserve"> </w:t>
      </w:r>
      <w:r>
        <w:t xml:space="preserve">estadístico observado de Coste, una degradación que excede con holgura la</w:t>
      </w:r>
      <w:r>
        <w:t xml:space="preserve"> </w:t>
      </w:r>
      <w:r>
        <w:t xml:space="preserve">inflación de varianza calculada de 1.47. El resultado sigue siendo significativo:</w:t>
      </w:r>
    </w:p>
    <w:p>
      <w:pPr>
        <w:pStyle w:val="Textoindependiente"/>
        <w:spacing w:line="360" w:lineRule="auto"/>
        <w:jc w:val="both"/>
      </w:pPr>
      <ns1:oMathPara>
        <ns1:oMathParaPr>
          <ns1:jc ns1:val="center"/>
        </ns1:oMathParaPr>
        <ns1:oMath>
          <ns1:sSubSup>
            <ns1:e>
              <ns1:r>
                <ns1:t>χ</ns1:t>
              </ns1:r>
            </ns1:e>
            <ns1:sub>
              <ns1:r>
                <ns1:rPr>
                  <ns1:nor/>
                  <ns1:sty ns1:val="p"/>
                </ns1:rPr>
                <ns1:t>estrés</ns1:t>
              </ns1:r>
            </ns1:sub>
            <ns1:sup>
              <ns1:r>
                <ns1:t>2</ns1:t>
              </ns1:r>
            </ns1:sup>
          </ns1:sSubSup>
          <ns1:r>
            <ns1:rPr>
              <ns1:sty ns1:val="p"/>
            </ns1:rPr>
            <ns1:t>=</ns1:t>
          </ns1:r>
          <ns1:f>
            <ns1:fPr>
              <ns1:type ns1:val="bar"/>
            </ns1:fPr>
            <ns1:num>
              <ns1:r>
                <ns1:t>30.44</ns1:t>
              </ns1:r>
            </ns1:num>
            <ns1:den>
              <ns1:r>
                <ns1:t>2</ns1:t>
              </ns1:r>
            </ns1:den>
          </ns1:f>
          <ns1:r>
            <ns1:rPr>
              <ns1:sty ns1:val="p"/>
            </ns1:rPr>
            <ns1:t>=</ns1:t>
          </ns1:r>
          <ns1:r>
            <ns1:t>15.22</ns1:t>
          </ns1:r>
          <ns1:r>
            <ns1:t> </ns1:t>
          </ns1:r>
          <ns1:r>
            <ns1:rPr>
              <ns1:sty ns1:val="p"/>
            </ns1:rPr>
            <ns1:t>⇒</ns1:t>
          </ns1:r>
          <ns1:r>
            <ns1:t> </ns1:t>
          </ns1:r>
          <ns1:r>
            <ns1:t>p</ns1:t>
          </ns1:r>
          <ns1:r>
            <ns1:rPr>
              <ns1:sty ns1:val="p"/>
            </ns1:rPr>
            <ns1:t>=</ns1:t>
          </ns1:r>
          <ns1:r>
            <ns1:t>P</ns1:t>
          </ns1:r>
          <ns1:r>
            <ns1:t>​</ns1:t>
          </ns1:r>
          <ns1:d>
            <ns1:dPr>
              <ns1:begChr ns1:val="("/>
              <ns1:sepChr ns1:val=""/>
              <ns1:endChr ns1:val=")"/>
              <ns1:grow/>
            </ns1:dPr>
            <ns1:e>
              <ns1:sSubSup>
                <ns1:e>
                  <ns1:r>
                    <ns1:t>χ</ns1:t>
                  </ns1:r>
                </ns1:e>
                <ns1:sub>
                  <ns1:r>
                    <ns1:t>3</ns1:t>
                  </ns1:r>
                </ns1:sub>
                <ns1:sup>
                  <ns1:r>
                    <ns1:t>2</ns1:t>
                  </ns1:r>
                </ns1:sup>
              </ns1:sSubSup>
              <ns1:r>
                <ns1:rPr>
                  <ns1:sty ns1:val="p"/>
                </ns1:rPr>
                <ns1:t>&gt;</ns1:t>
              </ns1:r>
              <ns1:r>
                <ns1:t>15.22</ns1:t>
              </ns1:r>
            </ns1:e>
          </ns1:d>
          <ns1:r>
            <ns1:rPr>
              <ns1:sty ns1:val="p"/>
            </ns1:rPr>
            <ns1:t>=</ns1:t>
          </ns1:r>
          <ns1:r>
            <ns1:t>0.0016</ns1:t>
          </ns1:r>
          <ns1:r>
            <ns1:rPr>
              <ns1:sty ns1:val="p"/>
            </ns1:rPr>
            <ns1:t>&lt;</ns1:t>
          </ns1:r>
          <ns1:r>
            <ns1:t>0.05</ns1:t>
          </ns1:r>
        </ns1:oMath>
      </ns1:oMathPara>
    </w:p>
    <w:p>
      <w:pPr>
        <w:pStyle w:val="FirstParagraph"/>
        <w:spacing w:line="360" w:lineRule="auto"/>
        <w:jc w:val="both"/>
      </w:pPr>
      <w:r>
        <w:t xml:space="preserve">Conviene precisar qué operación es esta y qué no es. Dividir el estadístico por</w:t>
      </w:r>
      <w:r>
        <w:t xml:space="preserve"> </w:t>
      </w:r>
      <w:r>
        <w:t xml:space="preserve">dos no equivale a una reducción del poder del 50%: es una degradación directa de</w:t>
      </w:r>
      <w:r>
        <w:t xml:space="preserve"> </w:t>
      </w:r>
      <w:r>
        <w:t xml:space="preserve">la evidencia observada, aplicada como cota inferior conservadora. Bajo la</w:t>
      </w:r>
      <w:r>
        <w:t xml:space="preserve"> </w:t>
      </w:r>
      <w:r>
        <w:t xml:space="preserve">interpretación alternativa —reducir a la mitad el parámetro de no centralidad</w:t>
      </w:r>
      <w:r>
        <w:t xml:space="preserve"> </w:t>
      </w:r>
      <ns1:oMath>
        <ns1:r>
          <ns1:t>λ</ns1:t>
        </ns1:r>
        <ns1:r>
          <ns1:rPr>
            <ns1:sty ns1:val="p"/>
          </ns1:rPr>
          <ns1:t>=</ns1:t>
        </ns1:r>
        <ns1:sSubSup>
          <ns1:e>
            <ns1:r>
              <ns1:t>χ</ns1:t>
            </ns1:r>
          </ns1:e>
          <ns1:sub>
            <ns1:r>
              <ns1:t>F</ns1:t>
            </ns1:r>
          </ns1:sub>
          <ns1:sup>
            <ns1:r>
              <ns1:t>2</ns1:t>
            </ns1:r>
          </ns1:sup>
        </ns1:sSubSup>
        <ns1:r>
          <ns1:rPr>
            <ns1:sty ns1:val="p"/>
          </ns1:rPr>
          <ns1:t>−</ns1:t>
        </ns1:r>
        <ns1:r>
          <ns1:t>g</ns1:t>
        </ns1:r>
        <ns1:r>
          <ns1:t>l</ns1:t>
        </ns1:r>
        <ns1:r>
          <ns1:rPr>
            <ns1:sty ns1:val="p"/>
          </ns1:rPr>
          <ns1:t>=</ns1:t>
        </ns1:r>
        <ns1:r>
          <ns1:t>27.44</ns1:t>
        </ns1:r>
      </ns1:oMath>
      <w:r>
        <w:t xml:space="preserve">, de modo que</w:t>
      </w:r>
      <w:r>
        <w:t xml:space="preserve"> </w:t>
      </w:r>
      <ns1:oMath>
        <ns1:r>
          <ns1:rPr>
            <ns1:scr ns1:val="double-struck"/>
            <ns1:sty ns1:val="p"/>
          </ns1:rPr>
          <ns1:t>E</ns1:t>
        </ns1:r>
        <ns1:r>
          <ns1:rPr>
            <ns1:sty ns1:val="p"/>
          </ns1:rPr>
          <ns1:t>[</ns1:t>
        </ns1:r>
        <ns1:sSup>
          <ns1:e>
            <ns1:r>
              <ns1:t>χ</ns1:t>
            </ns1:r>
          </ns1:e>
          <ns1:sup>
            <ns1:r>
              <ns1:t>2</ns1:t>
            </ns1:r>
          </ns1:sup>
        </ns1:sSup>
        <ns1:r>
          <ns1:rPr>
            <ns1:sty ns1:val="p"/>
          </ns1:rPr>
          <ns1:t>]</ns1:t>
        </ns1:r>
        <ns1:r>
          <ns1:rPr>
            <ns1:sty ns1:val="p"/>
          </ns1:rPr>
          <ns1:t>=</ns1:t>
        </ns1:r>
        <ns1:r>
          <ns1:t>g</ns1:t>
        </ns1:r>
        <ns1:r>
          <ns1:t>l</ns1:t>
        </ns1:r>
        <ns1:r>
          <ns1:rPr>
            <ns1:sty ns1:val="p"/>
          </ns1:rPr>
          <ns1:t>+</ns1:t>
        </ns1:r>
        <ns1:r>
          <ns1:t>λ</ns1:t>
        </ns1:r>
        <ns1:r>
          <ns1:rPr>
            <ns1:sty ns1:val="p"/>
          </ns1:rPr>
          <ns1:t>/</ns1:t>
        </ns1:r>
        <ns1:r>
          <ns1:t>2</ns1:t>
        </ns1:r>
        <ns1:r>
          <ns1:rPr>
            <ns1:sty ns1:val="p"/>
          </ns1:rPr>
          <ns1:t>=</ns1:t>
        </ns1:r>
        <ns1:r>
          <ns1:t>16.72</ns1:t>
        </ns1:r>
      </ns1:oMath>
      <w:r>
        <w:t xml:space="preserve">— la conclusión es todavía más holgada (</w:t>
      </w:r>
      <ns1:oMath>
        <ns1:r>
          <ns1:t>p</ns1:t>
        </ns1:r>
        <ns1:r>
          <ns1:rPr>
            <ns1:sty ns1:val="p"/>
          </ns1:rPr>
          <ns1:t>=</ns1:t>
        </ns1:r>
        <ns1:r>
          <ns1:t>0.0008</ns1:t>
        </ns1:r>
      </ns1:oMath>
      <w:r>
        <w:t xml:space="preserve">). Ambas</w:t>
      </w:r>
      <w:r>
        <w:t xml:space="preserve"> </w:t>
      </w:r>
      <w:r>
        <w:t xml:space="preserve">lecturas dejan el estadístico por 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7.815</ns1:t>
        </ns1:r>
      </ns1:oMath>
      <w:r>
        <w:t xml:space="preserve">, de modo que la significación de Coste no depende de</w:t>
      </w:r>
      <w:r>
        <w:t xml:space="preserve"> </w:t>
      </w:r>
      <w:r>
        <w:t xml:space="preserve">cuál de las dos se adopte.</w:t>
      </w:r>
    </w:p>
    <w:p>
      <w:pPr>
        <w:pStyle w:val="Textoindependiente"/>
        <w:spacing w:line="360" w:lineRule="auto"/>
        <w:jc w:val="both"/>
      </w:pPr>
      <w:r>
        <w:rPr>
          <w:b/>
          <w:bCs/>
        </w:rPr>
        <w:t xml:space="preserve">Integridad del análisis pareado del Estudio B.</w:t>
      </w:r>
      <w:r>
        <w:t xml:space="preserve"> </w:t>
      </w:r>
      <w:r>
        <w:t xml:space="preserve">Con cobertura completa de</w:t>
      </w:r>
      <w:r>
        <w:t xml:space="preserve"> </w:t>
      </w:r>
      <w:r>
        <w:t xml:space="preserve">SHAP (75/75) y LIME (75/75), la cobertura pareada del Estudio B es del 100%.</w:t>
      </w:r>
      <w:r>
        <w:t xml:space="preserve"> </w:t>
      </w:r>
      <w:r>
        <w:t xml:space="preserve">Los datos faltantes de Anchors y DiCE</w:t>
      </w:r>
      <w:r>
        <w:t xml:space="preserve"> </w:t>
      </w:r>
      <w:r>
        <w:rPr>
          <w:b/>
          <w:bCs/>
        </w:rPr>
        <w:t xml:space="preserve">no afectan</w:t>
      </w:r>
      <w:r>
        <w:t xml:space="preserve"> </w:t>
      </w:r>
      <w:r>
        <w:t xml:space="preserve">al Estudio B.</w:t>
      </w:r>
    </w:p>
    <w:p>
      <w:pPr>
        <w:pStyle w:val="Textoindependiente"/>
        <w:spacing w:line="360" w:lineRule="auto"/>
        <w:jc w:val="both"/>
      </w:pPr>
      <w:r>
        <w:rPr>
          <w:b/>
          <w:bCs/>
        </w:rPr>
        <w:t xml:space="preserve">Dirección del sesgo de selección en Anchors.</w:t>
      </w:r>
      <w:r>
        <w:t xml:space="preserve"> </w:t>
      </w:r>
      <w:r>
        <w:t xml:space="preserve">El análisis anterior cuantifica</w:t>
      </w:r>
      <w:r>
        <w:t xml:space="preserve"> </w:t>
      </w:r>
      <w:r>
        <w:t xml:space="preserve">el efecto de la cobertura reducida sobre la</w:t>
      </w:r>
      <w:r>
        <w:t xml:space="preserve"> </w:t>
      </w:r>
      <w:r>
        <w:rPr>
          <w:i/>
          <w:iCs/>
        </w:rPr>
        <w:t xml:space="preserve">varianza</w:t>
      </w:r>
      <w:r>
        <w:t xml:space="preserve"> </w:t>
      </w:r>
      <w:r>
        <w:t xml:space="preserve">de los estimadores, pero</w:t>
      </w:r>
      <w:r>
        <w:t xml:space="preserve"> </w:t>
      </w:r>
      <w:r>
        <w:t xml:space="preserve">la ausencia de datos en Anchors no es aleatoria y exige además una consideración</w:t>
      </w:r>
      <w:r>
        <w:t xml:space="preserve"> </w:t>
      </w:r>
      <w:r>
        <w:t xml:space="preserve">sobre el</w:t>
      </w:r>
      <w:r>
        <w:t xml:space="preserve"> </w:t>
      </w:r>
      <w:r>
        <w:rPr>
          <w:i/>
          <w:iCs/>
        </w:rPr>
        <w:t xml:space="preserve">sesgo</w:t>
      </w:r>
      <w:r>
        <w:t xml:space="preserve">. Las 18 celdas ausentes lo están porque el algoritmo no</w:t>
      </w:r>
      <w:r>
        <w:t xml:space="preserve"> </w:t>
      </w:r>
      <w:r>
        <w:t xml:space="preserve">convergió a una regla con precisión</w:t>
      </w:r>
      <w:r>
        <w:t xml:space="preserve"> </w:t>
      </w:r>
      <ns1:oMath>
        <ns1:r>
          <ns1:rPr>
            <ns1:sty ns1:val="p"/>
          </ns1:rPr>
          <ns1:t>≥</ns1:t>
        </ns1:r>
        <ns1:r>
          <ns1:t>τ</ns1:t>
        </ns1:r>
      </ns1:oMath>
      <w:r>
        <w:t xml:space="preserve"> </w:t>
      </w:r>
      <w:r>
        <w:t xml:space="preserve">dentro del límite de búsqueda:</w:t>
      </w:r>
      <w:r>
        <w:t xml:space="preserve"> </w:t>
      </w:r>
      <w:r>
        <w:t xml:space="preserve">la ausencia depende del resultado que se habría observado, es decir, es</w:t>
      </w:r>
      <w:r>
        <w:t xml:space="preserve"> </w:t>
      </w:r>
      <w:r>
        <w:rPr>
          <w:i/>
          <w:iCs/>
        </w:rPr>
        <w:t xml:space="preserve">missing not at random</w:t>
      </w:r>
      <w:r>
        <w:t xml:space="preserve"> </w:t>
      </w:r>
      <w:r>
        <w:t xml:space="preserve">(MNAR) y se concentra en los estratos de mayor</w:t>
      </w:r>
      <w:r>
        <w:t xml:space="preserve"> </w:t>
      </w:r>
      <w:r>
        <w:t xml:space="preserve">incertidumbre local, precisamente aquellos en los que Anchors habría obtenido</w:t>
      </w:r>
      <w:r>
        <w:t xml:space="preserve"> </w:t>
      </w:r>
      <w:r>
        <w:t xml:space="preserve">previsiblemente sus peores métricas. La consecuencia es direccional: las medias</w:t>
      </w:r>
      <w:r>
        <w:t xml:space="preserve"> </w:t>
      </w:r>
      <w:r>
        <w:t xml:space="preserve">de calidad reportadas para Anchors son, con toda probabilidad,</w:t>
      </w:r>
      <w:r>
        <w:t xml:space="preserve"> </w:t>
      </w:r>
      <w:r>
        <w:rPr>
          <w:b/>
          <w:bCs/>
        </w:rPr>
        <w:t xml:space="preserve">optimistas</w:t>
      </w:r>
      <w:r>
        <w:t xml:space="preserve"> </w:t>
      </w:r>
      <w:r>
        <w:t xml:space="preserve">respecto a su rendimiento sobre el conjunto completo de celdas intentadas.</w:t>
      </w:r>
    </w:p>
    <w:p>
      <w:pPr>
        <w:pStyle w:val="Textoindependiente"/>
        <w:spacing w:line="360" w:lineRule="auto"/>
        <w:jc w:val="both"/>
      </w:pPr>
      <w:r>
        <w:t xml:space="preserve">El análisis de sensibilidad al umbral (</w:t>
      </w:r>
      <w:hyperlink w:anchor="tbl-appendix-anchors-sensitivity">
        <w:r>
          <w:rPr>
            <w:rStyle w:val="Hipervnculo"/>
          </w:rPr>
          <w:t xml:space="preserve">Table 7.10</w:t>
        </w:r>
      </w:hyperlink>
      <w:r>
        <w:t xml:space="preserve">) ofrece</w:t>
      </w:r>
      <w:r>
        <w:t xml:space="preserve"> </w:t>
      </w:r>
      <w:r>
        <w:t xml:space="preserve">una estimación empírica de la magnitud de este efecto. Al relajar</w:t>
      </w:r>
      <w:r>
        <w:t xml:space="preserve"> </w:t>
      </w:r>
      <ns1:oMath>
        <ns1:r>
          <ns1:t>τ</ns1:t>
        </ns1:r>
      </ns1:oMath>
      <w:r>
        <w:t xml:space="preserve"> </w:t>
      </w:r>
      <w:r>
        <w:t xml:space="preserve">de 0.95</w:t>
      </w:r>
      <w:r>
        <w:t xml:space="preserve"> </w:t>
      </w:r>
      <w:r>
        <w:t xml:space="preserve">a 0.90, la cobertura asciende de 57/75 (76%) a 72/75 (96%) y la fidelidad media</w:t>
      </w:r>
      <w:r>
        <w:t xml:space="preserve"> </w:t>
      </w:r>
      <w:r>
        <w:rPr>
          <w:i/>
          <w:iCs/>
        </w:rPr>
        <w:t xml:space="preserve">aumenta</w:t>
      </w:r>
      <w:r>
        <w:t xml:space="preserve"> </w:t>
      </w:r>
      <w:r>
        <w:t xml:space="preserve">de 0.386 a 0.421 —no disminuye—, lo que confirma que las celdas</w:t>
      </w:r>
      <w:r>
        <w:t xml:space="preserve"> </w:t>
      </w:r>
      <w:r>
        <w:t xml:space="preserve">recuperadas al relajar el criterio no son las de peor calidad bajo la métrica de</w:t>
      </w:r>
      <w:r>
        <w:t xml:space="preserve"> </w:t>
      </w:r>
      <w:r>
        <w:t xml:space="preserve">correlación de importancias, sino que el umbral y la métrica de fidelidad no</w:t>
      </w:r>
      <w:r>
        <w:t xml:space="preserve"> </w:t>
      </w:r>
      <w:r>
        <w:t xml:space="preserve">están alineados. El sesgo existe, por tanto, pero su magnitud es moderada y su</w:t>
      </w:r>
      <w:r>
        <w:t xml:space="preserve"> </w:t>
      </w:r>
      <w:r>
        <w:t xml:space="preserve">dirección no invalida la posición de Anchors en el ordenamiento: el método ya</w:t>
      </w:r>
      <w:r>
        <w:t xml:space="preserve"> </w:t>
      </w:r>
      <w:r>
        <w:t xml:space="preserve">ocupa la tercera o cuarta posición incluso bajo esta estimación potencialmente</w:t>
      </w:r>
      <w:r>
        <w:t xml:space="preserve"> </w:t>
      </w:r>
      <w:r>
        <w:t xml:space="preserve">favorable. Esta consideración refuerza —no debilita— la cautela con la que el</w:t>
      </w:r>
      <w:r>
        <w:t xml:space="preserve"> </w:t>
      </w:r>
      <w:r>
        <w:t xml:space="preserve">Capítulo 6 recomienda el uso de Anchors.</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análisis pareado del Estudio B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6"/>
    <w:bookmarkEnd w:id="87"/>
    <w:bookmarkStart w:id="95" w:name="plan-de-inferencia-estadística"/>
    <w:p>
      <w:pPr>
        <w:pStyle w:val="Ttulo2"/>
        <w:spacing w:line="360" w:lineRule="auto"/>
        <w:jc w:val="both"/>
      </w:pPr>
      <w:r>
        <w:t xml:space="preserve">Plan de inferencia estadística</w:t>
      </w:r>
    </w:p>
    <w:bookmarkStart w:id="88" w:name="estudio-a-test-omnibus-de-friedman"/>
    <w:p>
      <w:pPr>
        <w:pStyle w:val="Ttulo3"/>
        <w:spacing w:line="360" w:lineRule="auto"/>
        <w:jc w:val="both"/>
      </w:pPr>
      <w:r>
        <w:t xml:space="preserve">Estudio A: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88"/>
    <w:bookmarkStart w:id="89" w:name="localización-post-hoc-nemenyi"/>
    <w:p>
      <w:pPr>
        <w:pStyle w:val="Ttulo3"/>
        <w:spacing w:line="360" w:lineRule="auto"/>
        <w:jc w:val="both"/>
      </w:pP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89"/>
    <w:bookmarkStart w:id="90" w:name="X82a710d830240cc18776e0ef609d9e71b3f53e7"/>
    <w:p>
      <w:pPr>
        <w:pStyle w:val="Ttulo3"/>
        <w:spacing w:line="360" w:lineRule="auto"/>
        <w:jc w:val="both"/>
      </w:pP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0"/>
    <w:bookmarkStart w:id="92" w:name="control-de-multiplicidad"/>
    <w:p>
      <w:pPr>
        <w:pStyle w:val="Ttulo3"/>
        <w:spacing w:line="360" w:lineRule="auto"/>
        <w:jc w:val="both"/>
      </w:pP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tblLayout w:type="fixed"/>
        <w:tblLook w:firstRow="0" w:lastRow="0" w:firstColumn="0" w:lastColumn="0" w:noHBand="0" w:noVBand="0" w:val="0000"/>
      </w:tblPr>
      <w:tblGrid>
        <w:gridCol w:w="7920"/>
      </w:tblGrid>
      <w:tr>
        <w:tc>
          <w:tcPr/>
          <w:bookmarkStart w:id="91" w:name="tbl-stat-plan"/>
          <w:p>
            <w:pPr>
              <w:jc w:val="both"/>
              <w:spacing w:line="360" w:lineRule="auto"/>
            </w:pPr>
            <w:pPr>
              <w:jc w:val="left"/>
              <w:spacing w:before="200"/>
              <w:pStyle w:val="ImageCaption"/>
            </w:pPr>
            <w:r>
              <w:t xml:space="preserve">Table 4.6: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Corrección</w:t>
                  </w:r>
                </w:p>
              </w:tc>
            </w:tr>
            <w:tr>
              <w:tc>
                <w:tcPr/>
                <w:p>
                  <w:pPr>
                    <w:pStyle w:val="Compact"/>
                    <w:jc w:val="both"/>
                    <w:jc w:val="center"/>
                    <w:spacing w:line="360" w:lineRule="auto"/>
                  </w:pPr>
                  <w:r>
                    <w:t xml:space="preserve">Friedman (Estudio A)</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A)</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(Estudios A y B)</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1"/>
          <w:p>
            <w:pPr>
              <w:spacing w:line="360" w:lineRule="auto"/>
              <w:jc w:val="both"/>
            </w:pPr>
          </w:p>
        </w:tc>
      </w:tr>
    </w:tbl>
    <w:bookmarkEnd w:id="92"/>
    <w:bookmarkStart w:id="94" w:name="X8d8a6fe44143f1c1b581a8bcb7389a6bd938df3"/>
    <w:p>
      <w:pPr>
        <w:pStyle w:val="Ttulo3"/>
        <w:spacing w:line="360" w:lineRule="auto"/>
        <w:jc w:val="both"/>
      </w:pPr>
      <w:r>
        <w:t xml:space="preserve">Resumen del plan estadístico por hipótesis</w:t>
      </w:r>
    </w:p>
    <w:tbl>
      <w:tblPr>
        <w:tblStyle w:val="Table"/>
        <w:tblW w:type="pct" w:w="5000"/>
        <w:tblLayout w:type="fixed"/>
        <w:tblLook w:firstRow="0" w:lastRow="0" w:firstColumn="0" w:lastColumn="0" w:noHBand="0" w:noVBand="0" w:val="0000"/>
      </w:tblPr>
      <w:tblGrid>
        <w:gridCol w:w="7920"/>
      </w:tblGrid>
      <w:tr>
        <w:tc>
          <w:tcPr/>
          <w:bookmarkStart w:id="93" w:name="tbl-hypo-plan"/>
          <w:p>
            <w:pPr>
              <w:jc w:val="both"/>
              <w:spacing w:line="360" w:lineRule="auto"/>
            </w:pPr>
            <w:pPr>
              <w:jc w:val="left"/>
              <w:spacing w:before="200"/>
              <w:pStyle w:val="ImageCaption"/>
            </w:pPr>
            <w:r>
              <w:t xml:space="preserve">Table 4.7: Plan de decisiones estadísticas por hipótesis.</w:t>
            </w:r>
          </w:p>
          <w:tbl>
            <w:tblPr>
              <w:tblStyle w:val="Table"/>
              <w:tblW w:type="pct" w:w="5000"/>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t xml:space="preserve">Hipótesis</w:t>
                  </w:r>
                </w:p>
              </w:tc>
              <w:tc>
                <w:tcPr/>
                <w:p>
                  <w:pPr>
                    <w:pStyle w:val="Compact"/>
                    <w:jc w:val="both"/>
                    <w:jc w:val="center"/>
                    <w:spacing w:line="360" w:lineRule="auto"/>
                  </w:pPr>
                  <w: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3"/>
          <w:p>
            <w:pPr>
              <w:spacing w:line="360" w:lineRule="auto"/>
              <w:jc w:val="both"/>
            </w:pPr>
          </w:p>
        </w:tc>
      </w:tr>
    </w:tbl>
    <w:bookmarkEnd w:id="94"/>
    <w:bookmarkEnd w:id="95"/>
    <w:bookmarkStart w:id="97" w:name="amenazas-a-la-validez"/>
    <w:p>
      <w:pPr>
        <w:pStyle w:val="Ttulo2"/>
        <w:spacing w:line="360" w:lineRule="auto"/>
        <w:jc w:val="both"/>
      </w:pP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tblLayout w:type="fixed"/>
        <w:tblLook w:firstRow="0" w:lastRow="0" w:firstColumn="0" w:lastColumn="0" w:noHBand="0" w:noVBand="0" w:val="0000"/>
      </w:tblPr>
      <w:tblGrid>
        <w:gridCol w:w="7920"/>
      </w:tblGrid>
      <w:tr>
        <w:tc>
          <w:tcPr/>
          <w:bookmarkStart w:id="96" w:name="tbl-validity-threats"/>
          <w:p>
            <w:pPr>
              <w:jc w:val="both"/>
              <w:spacing w:line="360" w:lineRule="auto"/>
            </w:pPr>
            <w:pPr>
              <w:jc w:val="left"/>
              <w:spacing w:before="200"/>
              <w:pStyle w:val="ImageCaption"/>
            </w:pPr>
            <w:r>
              <w:t xml:space="preserve">Table 4.8: Amenazas a la validez, controles y riesgo residual.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Amenaza principal</w:t>
                  </w:r>
                </w:p>
              </w:tc>
              <w:tc>
                <w:tcPr/>
                <w:p>
                  <w:pPr>
                    <w:pStyle w:val="Compact"/>
                    <w:jc w:val="both"/>
                    <w:jc w:val="center"/>
                    <w:spacing w:line="360" w:lineRule="auto"/>
                  </w:pPr>
                  <w:r>
                    <w:t xml:space="preserve">Control aplicado</w:t>
                  </w:r>
                </w:p>
              </w:tc>
              <w:tc>
                <w:tcPr/>
                <w:p>
                  <w:pPr>
                    <w:pStyle w:val="Compact"/>
                    <w:jc w:val="both"/>
                    <w:jc w:val="center"/>
                    <w:spacing w:line="360" w:lineRule="auto"/>
                  </w:pPr>
                  <w: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96"/>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97"/>
    <w:bookmarkStart w:id="98" w:name="trazabilidad-y-reproducibilidad"/>
    <w:p>
      <w:pPr>
        <w:pStyle w:val="Ttulo2"/>
        <w:spacing w:line="360" w:lineRule="auto"/>
        <w:jc w:val="both"/>
      </w:pP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98"/>
    <w:bookmarkStart w:id="101" w:name="sec-estudios-complementarios"/>
    <w:p>
      <w:pPr>
        <w:pStyle w:val="Ttulo2"/>
        <w:spacing w:line="360" w:lineRule="auto"/>
        <w:jc w:val="both"/>
      </w:pP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99" w:name="sec-exp3-diseno"/>
    <w:p>
      <w:pPr>
        <w:pStyle w:val="Ttulo3"/>
        <w:spacing w:line="360" w:lineRule="auto"/>
        <w:jc w:val="both"/>
      </w:pP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and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and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99"/>
    <w:bookmarkStart w:id="100" w:name="sec-exp4-diseno"/>
    <w:p>
      <w:pPr>
        <w:pStyle w:val="Ttulo3"/>
        <w:spacing w:line="360" w:lineRule="auto"/>
        <w:jc w:val="both"/>
      </w:pP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§sec-taxonomia-brechas: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Table 6.3</w:t>
        </w:r>
      </w:hyperlink>
      <w:r>
        <w:t xml:space="preserve"> </w:t>
      </w:r>
      <w:r>
        <w:t xml:space="preserve">del Capítulo 5).</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 El umbral de fiabilidad aceptable es</w:t>
      </w:r>
      <w:r>
        <w:t xml:space="preserve"> </w:t>
      </w:r>
      <ns1:oMath>
        <ns1:r>
          <ns1:rPr>
            <ns1:sty ns1:val="p"/>
          </ns1:rPr>
          <ns1:t>≥</ns1:t>
        </ns1:r>
        <ns1:r>
          <ns1:t>0.75</ns1:t>
        </ns1:r>
      </ns1:oMath>
      <w:r>
        <w:t xml:space="preserve"> </w:t>
      </w:r>
      <w:r>
        <w:t xml:space="preserve">(Koo and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and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(Capítulo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0"/>
    <w:bookmarkEnd w:id="101"/>
    <w:bookmarkEnd w:id="102"/>
    <w:bookmarkStart w:id="160" w:name="resultados-y-discusión"/>
    <w:p>
      <w:pPr>
        <w:pStyle w:val="Ttulo1"/>
        <w:spacing w:line="360" w:lineRule="auto"/>
        <w:jc w:val="both"/>
      </w:pPr>
      <w:r>
        <w:t xml:space="preserve">Resultados y discusión</w:t>
      </w:r>
    </w:p>
    <w:p>
      <w:pPr>
        <w:pStyle w:val="FirstParagraph"/>
        <w:spacing w:line="360" w:lineRule="auto"/>
        <w:jc w:val="both"/>
      </w:pPr>
      <w:r>
        <w:t xml:space="preserve">Este capítulo presenta los resultados empíricos de los Estudios A y B del</w:t>
      </w:r>
      <w:r>
        <w:t xml:space="preserve"> </w:t>
      </w:r>
      <w:r>
        <w:t xml:space="preserve">benchmark XAI, organizados conforme a las hipótesis y proposición de trabajo</w:t>
      </w:r>
      <w:r>
        <w:t xml:space="preserve"> </w:t>
      </w:r>
      <w:r>
        <w:t xml:space="preserve">establecidas en el Capítulo 1. La exposición sigue la secuencia lógica del</w:t>
      </w:r>
      <w:r>
        <w:t xml:space="preserve"> </w:t>
      </w:r>
      <w:r>
        <w:t xml:space="preserve">protocolo FOM-7: primero se documentan los resultados del análisis omnibus</w:t>
      </w:r>
      <w:r>
        <w:t xml:space="preserve"> </w:t>
      </w:r>
      <w:r>
        <w:t xml:space="preserve">(Estudio A), luego el análisis pareado SHAP-LIME (Estudio B), y finalmente</w:t>
      </w:r>
      <w:r>
        <w:t xml:space="preserve"> </w:t>
      </w:r>
      <w:r>
        <w:t xml:space="preserve">la verificación de la proposición de reproducibilidad (P1). La discusión</w:t>
      </w:r>
      <w:r>
        <w:t xml:space="preserve"> </w:t>
      </w:r>
      <w:r>
        <w:t xml:space="preserve">integradora al final del capítulo articula los hallazgos con la literatura y</w:t>
      </w:r>
      <w:r>
        <w:t xml:space="preserve"> </w:t>
      </w:r>
      <w:r>
        <w:t xml:space="preserve">deriva criterios operativos de selección de 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4" w:name="X265f56e886428ba30debc49e85dcc5a7469d3ae"/>
    <w:p>
      <w:pPr>
        <w:pStyle w:val="Ttulo2"/>
        <w:spacing w:line="360" w:lineRule="auto"/>
        <w:jc w:val="both"/>
      </w:pP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Table 5.1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tblLayout w:type="fixed"/>
        <w:tblLook w:firstRow="0" w:lastRow="0" w:firstColumn="0" w:lastColumn="0" w:noHBand="0" w:noVBand="0" w:val="0000"/>
      </w:tblPr>
      <w:tblGrid>
        <w:gridCol w:w="7920"/>
      </w:tblGrid>
      <w:tr>
        <w:tc>
          <w:tcPr/>
          <w:bookmarkStart w:id="103" w:name="tbl-results-overview"/>
          <w:p>
            <w:pPr>
              <w:jc w:val="both"/>
              <w:spacing w:line="360" w:lineRule="auto"/>
            </w:pPr>
            <w:pPr>
              <w:jc w:val="left"/>
              <w:spacing w:before="200"/>
              <w:pStyle w:val="ImageCaption"/>
            </w:pPr>
            <w:r>
              <w:t xml:space="preserve">Table 5.1: Resumen auditable de hipótesis, pruebas y decisiones.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Test</w:t>
                  </w:r>
                </w:p>
              </w:tc>
              <w:tc>
                <w:tcPr/>
                <w:p>
                  <w:pPr>
                    <w:pStyle w:val="Compact"/>
                    <w:jc w:val="both"/>
                    <w:jc w:val="center"/>
                    <w:spacing w:line="360" w:lineRule="auto"/>
                  </w:pPr>
                  <w:r>
                    <w:t xml:space="preserve">Unidad /</w:t>
                  </w:r>
                  <w:r>
                    <w:t xml:space="preserve"> </w:t>
                  </w:r>
                  <ns1:oMath>
                    <ns1:r>
                      <ns1:t>n</ns1:t>
                    </ns1:r>
                  </ns1:oMath>
                </w:p>
              </w:tc>
              <w:tc>
                <w:tcPr/>
                <w:p>
                  <w:pPr>
                    <w:pStyle w:val="Compact"/>
                    <w:jc w:val="both"/>
                    <w:jc w:val="center"/>
                    <w:spacing w:line="360" w:lineRule="auto"/>
                  </w:pPr>
                  <w: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Efecto</w:t>
                  </w:r>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el estrato replicado</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3"/>
          <w:p>
            <w:pPr>
              <w:spacing w:line="360" w:lineRule="auto"/>
              <w:jc w:val="both"/>
            </w:pPr>
          </w:p>
        </w:tc>
      </w:tr>
    </w:tbl>
    <w:bookmarkEnd w:id="104"/>
    <w:bookmarkStart w:id="110" w:name="sec-estudio-a"/>
    <w:p>
      <w:pPr>
        <w:pStyle w:val="Ttulo2"/>
        <w:spacing w:line="360" w:lineRule="auto"/>
        <w:jc w:val="both"/>
      </w:pPr>
      <w:r>
        <w:t xml:space="preserve">Estudio A: Análisis omnibus multimétrico (H1 y H2)</w:t>
      </w:r>
    </w:p>
    <w:bookmarkStart w:id="107" w:name="X41be5df394949178755daa825e68dc45d5470c0"/>
    <w:p>
      <w:pPr>
        <w:pStyle w:val="Ttulo3"/>
        <w:spacing w:line="360" w:lineRule="auto"/>
        <w:jc w:val="both"/>
      </w:pP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tblLayout w:type="fixed"/>
        <w:tblLook w:firstRow="0" w:lastRow="0" w:firstColumn="0" w:lastColumn="0" w:noHBand="0" w:noVBand="0" w:val="0000"/>
      </w:tblPr>
      <w:tblGrid>
        <w:gridCol w:w="7920"/>
      </w:tblGrid>
      <w:tr>
        <w:tc>
          <w:tcPr/>
          <w:bookmarkStart w:id="105" w:name="tbl-friedman-fidelity"/>
          <w:p>
            <w:pPr>
              <w:jc w:val="both"/>
              <w:spacing w:line="360" w:lineRule="auto"/>
            </w:pPr>
            <w:pPr>
              <w:jc w:val="left"/>
              <w:spacing w:before="200"/>
              <w:pStyle w:val="ImageCaption"/>
            </w:pPr>
            <w:r>
              <w:t xml:space="preserve">Table 5.2: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5"/>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tblLayout w:type="fixed"/>
        <w:tblLook w:firstRow="0" w:lastRow="0" w:firstColumn="0" w:lastColumn="0" w:noHBand="0" w:noVBand="0" w:val="0000"/>
      </w:tblPr>
      <w:tblGrid>
        <w:gridCol w:w="7920"/>
      </w:tblGrid>
      <w:tr>
        <w:tc>
          <w:tcPr/>
          <w:bookmarkStart w:id="106" w:name="tbl-nemenyi-fidelity"/>
          <w:p>
            <w:pPr>
              <w:jc w:val="both"/>
              <w:spacing w:line="360" w:lineRule="auto"/>
            </w:pPr>
            <w:pPr>
              <w:jc w:val="left"/>
              <w:spacing w:before="200"/>
              <w:pStyle w:val="ImageCaption"/>
            </w:pPr>
            <w:r>
              <w:t xml:space="preserve">Table 5.3: Comparaciones post-hoc de Nemenyi para fidelidad.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t xml:space="preserve">CD</w:t>
                  </w:r>
                </w:p>
              </w:tc>
              <w:tc>
                <w:tcPr/>
                <w:p>
                  <w:pPr>
                    <w:pStyle w:val="Compact"/>
                    <w:jc w:val="both"/>
                    <w:spacing w:line="360" w:lineRule="auto"/>
                  </w:pPr>
                  <w: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06"/>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 pareado</w:t>
      </w:r>
      <w:r>
        <w:t xml:space="preserve"> </w:t>
      </w:r>
      <w:r>
        <w:t xml:space="preserve">SHAP–LIME del Estudio B.</w:t>
      </w:r>
    </w:p>
    <w:bookmarkEnd w:id="107"/>
    <w:bookmarkStart w:id="109" w:name="X117d71016dd8839ee57c9e60cc09d0400ac5f3d"/>
    <w:p>
      <w:pPr>
        <w:pStyle w:val="Ttulo3"/>
        <w:spacing w:line="360" w:lineRule="auto"/>
        <w:jc w:val="both"/>
      </w:pP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tblLayout w:type="fixed"/>
        <w:tblLook w:firstRow="0" w:lastRow="0" w:firstColumn="0" w:lastColumn="0" w:noHBand="0" w:noVBand="0" w:val="0000"/>
      </w:tblPr>
      <w:tblGrid>
        <w:gridCol w:w="7920"/>
      </w:tblGrid>
      <w:tr>
        <w:tc>
          <w:tcPr/>
          <w:bookmarkStart w:id="108" w:name="tbl-friedman-stability"/>
          <w:p>
            <w:pPr>
              <w:jc w:val="both"/>
              <w:spacing w:line="360" w:lineRule="auto"/>
            </w:pPr>
            <w:pPr>
              <w:jc w:val="left"/>
              <w:spacing w:before="200"/>
              <w:pStyle w:val="ImageCaption"/>
            </w:pPr>
            <w:r>
              <w:t xml:space="preserve">Table 5.4: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08"/>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09"/>
    <w:bookmarkEnd w:id="110"/>
    <w:bookmarkStart w:id="114" w:name="sec-estudio-b"/>
    <w:p>
      <w:pPr>
        <w:pStyle w:val="Ttulo2"/>
        <w:spacing w:line="360" w:lineRule="auto"/>
        <w:jc w:val="both"/>
      </w:pPr>
      <w:r>
        <w:t xml:space="preserve">Estudio B: Análisis pareado SHAP-LIME y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2" w:name="diferencias-en-métricas-de-calidad"/>
    <w:p>
      <w:pPr>
        <w:pStyle w:val="Ttulo3"/>
        <w:spacing w:line="360" w:lineRule="auto"/>
        <w:jc w:val="both"/>
      </w:pP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tblLayout w:type="fixed"/>
        <w:tblLook w:firstRow="0" w:lastRow="0" w:firstColumn="0" w:lastColumn="0" w:noHBand="0" w:noVBand="0" w:val="0000"/>
      </w:tblPr>
      <w:tblGrid>
        <w:gridCol w:w="7920"/>
      </w:tblGrid>
      <w:tr>
        <w:tc>
          <w:tcPr/>
          <w:bookmarkStart w:id="111" w:name="tbl-paired-shap-lime"/>
          <w:p>
            <w:pPr>
              <w:jc w:val="both"/>
              <w:spacing w:line="360" w:lineRule="auto"/>
            </w:pPr>
            <w:pPr>
              <w:jc w:val="left"/>
              <w:spacing w:before="200"/>
              <w:pStyle w:val="ImageCaption"/>
            </w:pPr>
            <w:r>
              <w:t xml:space="preserve">Table 5.5: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t xml:space="preserve">Pos.</w:t>
                  </w:r>
                </w:p>
              </w:tc>
              <w:tc>
                <w:tcPr/>
                <w:p>
                  <w:pPr>
                    <w:pStyle w:val="Compact"/>
                    <w:jc w:val="both"/>
                    <w:spacing w:line="360" w:lineRule="auto"/>
                  </w:pPr>
                  <w: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1"/>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2"/>
    <w:bookmarkStart w:id="113" w:name="X2c15e0a178907c68bf437d0d85cae845d1c590b"/>
    <w:p>
      <w:pPr>
        <w:pStyle w:val="Ttulo3"/>
        <w:spacing w:line="360" w:lineRule="auto"/>
        <w:jc w:val="both"/>
      </w:pP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3"/>
    <w:bookmarkEnd w:id="114"/>
    <w:bookmarkStart w:id="116" w:name="sec-p1"/>
    <w:p>
      <w:pPr>
        <w:pStyle w:val="Ttulo2"/>
        <w:spacing w:line="360" w:lineRule="auto"/>
        <w:jc w:val="both"/>
      </w:pP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tblLayout w:type="fixed"/>
        <w:tblLook w:firstRow="0" w:lastRow="0" w:firstColumn="0" w:lastColumn="0" w:noHBand="0" w:noVBand="0" w:val="0000"/>
      </w:tblPr>
      <w:tblGrid>
        <w:gridCol w:w="7920"/>
      </w:tblGrid>
      <w:tr>
        <w:tc>
          <w:tcPr/>
          <w:bookmarkStart w:id="115" w:name="tbl-cv-p1"/>
          <w:p>
            <w:pPr>
              <w:jc w:val="both"/>
              <w:spacing w:line="360" w:lineRule="auto"/>
            </w:pPr>
            <w:pPr>
              <w:jc w:val="left"/>
              <w:spacing w:before="200"/>
              <w:pStyle w:val="ImageCaption"/>
            </w:pPr>
            <w:r>
              <w:t xml:space="preserve">Table 5.6: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Métrica</w:t>
                  </w:r>
                </w:p>
              </w:tc>
              <w:tc>
                <w:tcPr/>
                <w:p>
                  <w:pPr>
                    <w:pStyle w:val="Compact"/>
                    <w:jc w:val="both"/>
                    <w:spacing w:line="360" w:lineRule="auto"/>
                  </w:pPr>
                  <w:r>
                    <w:t xml:space="preserve">Media</w:t>
                  </w:r>
                </w:p>
              </w:tc>
              <w:tc>
                <w:tcPr/>
                <w:p>
                  <w:pPr>
                    <w:pStyle w:val="Compact"/>
                    <w:jc w:val="both"/>
                    <w:spacing w:line="360" w:lineRule="auto"/>
                  </w:pPr>
                  <w:r>
                    <w:t xml:space="preserve">Desv. típica</w:t>
                  </w:r>
                </w:p>
              </w:tc>
              <w:tc>
                <w:tcPr/>
                <w:p>
                  <w:pPr>
                    <w:pStyle w:val="Compact"/>
                    <w:jc w:val="both"/>
                    <w:spacing w:line="360" w:lineRule="auto"/>
                  </w:pPr>
                  <w:r>
                    <w:t xml:space="preserve">CV (%)</w:t>
                  </w:r>
                </w:p>
              </w:tc>
              <w:tc>
                <w:tcPr/>
                <w:p>
                  <w:pPr>
                    <w:pStyle w:val="Compact"/>
                    <w:jc w:val="both"/>
                    <w:spacing w:line="360" w:lineRule="auto"/>
                  </w:pPr>
                  <w: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5"/>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estructural del método, no</w:t>
      </w:r>
      <w:r>
        <w:t xml:space="preserve"> </w:t>
      </w:r>
      <w:r>
        <w:t xml:space="preserve">de la irreproducibilidad del protocolo.</w:t>
      </w:r>
    </w:p>
    <w:p>
      <w:pPr>
        <w:pStyle w:val="Textoindependiente"/>
        <w:spacing w:line="360" w:lineRule="auto"/>
        <w:jc w:val="both"/>
      </w:pPr>
      <w:r>
        <w:t xml:space="preserve">Para la generalización global, el CV en fidelidad agrupando todas las</w:t>
      </w:r>
      <w:r>
        <w:t xml:space="preserve"> </w:t>
      </w:r>
      <w:r>
        <w:t xml:space="preserve">ejecuciones calificadas de cada método es de 11.4% (SHAP) y 12.0% (LIME) —es</w:t>
      </w:r>
      <w:r>
        <w:t xml:space="preserve"> </w:t>
      </w:r>
      <w:r>
        <w:t xml:space="preserve">decir, SHAP es además el más reproducible de los dos, no el más disperso—,</w:t>
      </w:r>
      <w:r>
        <w:t xml:space="preserve"> </w:t>
      </w:r>
      <w:r>
        <w:t xml:space="preserve">confirmando que la variabilidad métrica debida a la aleatoriedad de la semilla</w:t>
      </w:r>
      <w:r>
        <w:t xml:space="preserve"> </w:t>
      </w:r>
      <w:r>
        <w:t xml:space="preserve">es controlada y uniforme, y que ambos valores quedan por debajo del umbral del</w:t>
      </w:r>
      <w:r>
        <w:t xml:space="preserve"> </w:t>
      </w:r>
      <w:r>
        <w:t xml:space="preserve">15% fijado en P1.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16"/>
    <w:bookmarkStart w:id="121" w:name="sec-perfiles"/>
    <w:p>
      <w:pPr>
        <w:pStyle w:val="Ttulo2"/>
        <w:spacing w:line="360" w:lineRule="auto"/>
        <w:jc w:val="both"/>
      </w:pP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17" w:name="shap"/>
    <w:p>
      <w:pPr>
        <w:pStyle w:val="Ttulo3"/>
        <w:spacing w:line="360" w:lineRule="auto"/>
        <w:jc w:val="both"/>
      </w:pP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(§sec-metricas),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17"/>
    <w:bookmarkStart w:id="118" w:name="lime"/>
    <w:p>
      <w:pPr>
        <w:pStyle w:val="Ttulo3"/>
        <w:spacing w:line="360" w:lineRule="auto"/>
        <w:jc w:val="both"/>
      </w:pP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estructural de LIME es su estabilidad casi nula (0.014).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and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18"/>
    <w:bookmarkStart w:id="119" w:name="anchors"/>
    <w:p>
      <w:pPr>
        <w:pStyle w:val="Ttulo3"/>
        <w:spacing w:line="360" w:lineRule="auto"/>
        <w:jc w:val="both"/>
      </w:pP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las 57</w:t>
      </w:r>
      <w:r>
        <w:t xml:space="preserve"> </w:t>
      </w:r>
      <w:r>
        <w:t xml:space="preserve">ejecuciones calificadas, la fidelidad media es 0.388 y la estabilidad 0.052,</w:t>
      </w:r>
      <w:r>
        <w:t xml:space="preserve"> </w:t>
      </w:r>
      <w:r>
        <w:t xml:space="preserve">ambas inferiores a las de SHAP y LIME. Estos valores son medias a nivel de</w:t>
      </w:r>
      <w:r>
        <w:t xml:space="preserve"> </w:t>
      </w:r>
      <w:r>
        <w:t xml:space="preserve">ejecución; las medias a nivel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que alimentan el test de</w:t>
      </w:r>
      <w:r>
        <w:t xml:space="preserve"> </w:t>
      </w:r>
      <w:r>
        <w:t xml:space="preserve">Friedman son 0.389 y 0.043 (</w:t>
      </w:r>
      <w:hyperlink w:anchor="tbl-friedman-fidelity">
        <w:r>
          <w:rPr>
            <w:rStyle w:val="Hipervnculo"/>
          </w:rPr>
          <w:t xml:space="preserve">Table 5.2</w:t>
        </w:r>
      </w:hyperlink>
      <w:r>
        <w:t xml:space="preserve">,</w:t>
      </w:r>
      <w:r>
        <w:t xml:space="preserve"> </w:t>
      </w:r>
      <w:hyperlink w:anchor="tbl-friedman-stability">
        <w:r>
          <w:rPr>
            <w:rStyle w:val="Hipervnculo"/>
          </w:rPr>
          <w:t xml:space="preserve">Table 5.4</w:t>
        </w:r>
      </w:hyperlink>
      <w:r>
        <w:t xml:space="preserve">). La</w:t>
      </w:r>
      <w:r>
        <w:t xml:space="preserve"> </w:t>
      </w:r>
      <w:r>
        <w:t xml:space="preserve">discrepancia en estabilidad —0.052 frente a 0.043— es específica de Anchors y</w:t>
      </w:r>
      <w:r>
        <w:t xml:space="preserve"> </w:t>
      </w:r>
      <w:r>
        <w:t xml:space="preserve">refleja que su cobertura se distribuye de forma desigual entre bloques, de modo</w:t>
      </w:r>
      <w:r>
        <w:t xml:space="preserve"> </w:t>
      </w:r>
      <w:r>
        <w:t xml:space="preserve">que promediar ejecuciones y promediar bloques no son operaciones equivalentes;</w:t>
      </w:r>
      <w:r>
        <w:t xml:space="preserve"> </w:t>
      </w:r>
      <w:r>
        <w:t xml:space="preserve">para SHAP y LIME, con cobertura completa, ambas agregaciones coinciden.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19"/>
    <w:bookmarkStart w:id="120" w:name="dice"/>
    <w:p>
      <w:pPr>
        <w:pStyle w:val="Ttulo3"/>
        <w:spacing w:line="360" w:lineRule="auto"/>
        <w:jc w:val="both"/>
      </w:pP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0"/>
    <w:bookmarkEnd w:id="121"/>
    <w:bookmarkStart w:id="124" w:name="sec-transversal"/>
    <w:p>
      <w:pPr>
        <w:pStyle w:val="Ttulo2"/>
        <w:spacing w:line="360" w:lineRule="auto"/>
        <w:jc w:val="both"/>
      </w:pPr>
      <w:r>
        <w:t xml:space="preserve">Análisis transversal: efecto del modelo base y del tamaño de muestra</w:t>
      </w:r>
    </w:p>
    <w:bookmarkStart w:id="122" w:name="Xd0dc4cebb30e80d859f681a41b6366a7a2cd5a6"/>
    <w:p>
      <w:pPr>
        <w:pStyle w:val="Ttulo3"/>
        <w:spacing w:line="360" w:lineRule="auto"/>
        <w:jc w:val="both"/>
      </w:pP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Table 7.9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2"/>
    <w:bookmarkStart w:id="123" w:name="X4b1cce5291d3b83ee4e2fe33ac88be27315f5a8"/>
    <w:p>
      <w:pPr>
        <w:pStyle w:val="Ttulo3"/>
        <w:spacing w:line="360" w:lineRule="auto"/>
        <w:jc w:val="both"/>
      </w:pP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3"/>
    <w:bookmarkEnd w:id="124"/>
    <w:bookmarkStart w:id="126" w:name="sec-trazabilidad-resultados"/>
    <w:p>
      <w:pPr>
        <w:pStyle w:val="Ttulo2"/>
        <w:spacing w:line="360" w:lineRule="auto"/>
        <w:jc w:val="both"/>
      </w:pP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Table 5.7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tblLayout w:type="fixed"/>
        <w:tblLook w:firstRow="0" w:lastRow="0" w:firstColumn="0" w:lastColumn="0" w:noHBand="0" w:noVBand="0" w:val="0000"/>
      </w:tblPr>
      <w:tblGrid>
        <w:gridCol w:w="7920"/>
      </w:tblGrid>
      <w:tr>
        <w:tc>
          <w:tcPr/>
          <w:bookmarkStart w:id="125" w:name="tbl-claim-traceability"/>
          <w:p>
            <w:pPr>
              <w:jc w:val="both"/>
              <w:spacing w:line="360" w:lineRule="auto"/>
            </w:pPr>
            <w:pPr>
              <w:jc w:val="left"/>
              <w:spacing w:before="200"/>
              <w:pStyle w:val="ImageCaption"/>
            </w:pPr>
            <w:r>
              <w:t xml:space="preserve">Table 5.7: Trazabilidad de claims, artefactos y alcance inferencial.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Evidencia en tesis</w:t>
                  </w:r>
                </w:p>
              </w:tc>
              <w:tc>
                <w:tcPr/>
                <w:p>
                  <w:pPr>
                    <w:pStyle w:val="Compact"/>
                    <w:jc w:val="both"/>
                    <w:jc w:val="center"/>
                    <w:spacing w:line="360" w:lineRule="auto"/>
                  </w:pPr>
                  <w:r>
                    <w:t xml:space="preserve">Artefacto fuente</w:t>
                  </w:r>
                </w:p>
              </w:tc>
              <w:tc>
                <w:tcPr/>
                <w:p>
                  <w:pPr>
                    <w:pStyle w:val="Compact"/>
                    <w:jc w:val="both"/>
                    <w:jc w:val="center"/>
                    <w:spacing w:line="360" w:lineRule="auto"/>
                  </w:pPr>
                  <w:r>
                    <w:t xml:space="preserve">Script / proceso</w:t>
                  </w:r>
                </w:p>
              </w:tc>
              <w:tc>
                <w:tcPr/>
                <w:p>
                  <w:pPr>
                    <w:pStyle w:val="Compact"/>
                    <w:jc w:val="both"/>
                    <w:jc w:val="center"/>
                    <w:spacing w:line="360" w:lineRule="auto"/>
                  </w:pPr>
                  <w: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Table 5.2</w:t>
                    </w:r>
                  </w:hyperlink>
                  <w:r>
                    <w:t xml:space="preserve"> </w:t>
                  </w:r>
                  <w:r>
                    <w:t xml:space="preserve">y</w:t>
                  </w:r>
                  <w:r>
                    <w:t xml:space="preserve"> </w:t>
                  </w:r>
                  <w:hyperlink w:anchor="tbl-nemenyi-fidelity">
                    <w:r>
                      <w:rPr>
                        <w:rStyle w:val="Hipervnculo"/>
                      </w:rPr>
                      <w:t xml:space="preserve">Table 5.3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Table 5.4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Table 5.5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Table 5.6</w:t>
                    </w:r>
                  </w:hyperlink>
                </w:p>
              </w:tc>
              <w:tc>
                <w:tcPr/>
                <w:p>
                  <w:pPr>
                    <w:pStyle w:val="Compact"/>
                    <w:jc w:val="both"/>
                    <w:jc w:val="center"/>
                    <w:spacing w:line="360" w:lineRule="auto"/>
                  </w:pPr>
                  <w:r>
                    <w:rPr>
                      <w:rStyle w:val="VerbatimChar"/>
                    </w:rPr>
                    <w:t xml:space="preserve">outputs/analysis/paper_a_exp2_stats/exp2_run_level_metrics.csv</w:t>
                  </w:r>
                  <w:r>
                    <w:t xml:space="preserve"> </w:t>
                  </w:r>
                  <w:r>
                    <w:t xml:space="preserve">(estrato RF/</w:t>
                  </w:r>
                  <ns1:oMath>
                    <ns1:r>
                      <ns1:t>N</ns1:t>
                    </ns1:r>
                    <ns1:r>
                      <ns1:rPr>
                        <ns1:sty ns1:val="p"/>
                      </ns1:rPr>
                      <ns1:t>=</ns1:t>
                    </ns1:r>
                    <ns1:r>
                      <ns1:t>100</ns1:t>
                    </ns1:r>
                  </ns1:oMath>
                  <w:r>
                    <w:t xml:space="preserve">, cinco semillas); perfil complementario en</w:t>
                  </w:r>
                  <w:r>
                    <w:t xml:space="preserve"> </w:t>
                  </w:r>
                  <w:r>
                    <w:rPr>
                      <w:rStyle w:val="VerbatimChar"/>
                    </w:rPr>
                    <w:t xml:space="preserve">experiments/exp1_adult/reproducibility/reproducibility_report.csv</w:t>
                  </w:r>
                </w:p>
              </w:tc>
              <w:tc>
                <w:tcPr/>
                <w:p>
                  <w:pPr>
                    <w:pStyle w:val="Compact"/>
                    <w:jc w:val="both"/>
                    <w:jc w:val="center"/>
                    <w:spacing w:line="360" w:lineRule="auto"/>
                  </w:pPr>
                  <w:r>
                    <w:t xml:space="preserve">Agregación por celda desde el nivel de ejecución</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5"/>
          <w:p>
            <w:pPr>
              <w:spacing w:line="360" w:lineRule="auto"/>
              <w:jc w:val="both"/>
            </w:pPr>
          </w:p>
        </w:tc>
      </w:tr>
    </w:tbl>
    <w:bookmarkEnd w:id="126"/>
    <w:bookmarkStart w:id="155" w:name="sec-visualizaciones-resultados"/>
    <w:p>
      <w:pPr>
        <w:pStyle w:val="Ttulo2"/>
        <w:spacing w:line="360" w:lineRule="auto"/>
        <w:jc w:val="both"/>
      </w:pP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tblLayout w:type="fixed"/>
        <w:tblLook w:firstRow="0" w:lastRow="0" w:firstColumn="0" w:lastColumn="0" w:noHBand="0" w:noVBand="0" w:val="0000"/>
      </w:tblPr>
      <w:tblGrid>
        <w:gridCol w:w="7920"/>
      </w:tblGrid>
      <w:tr>
        <w:tc>
          <w:tcPr/>
          <w:bookmarkStart w:id="130" w:name="fig-estabilidad-coste"/>
          <w:p>
            <w:pPr>
              <w:pStyle w:val="Compact"/>
              <w:jc w:val="both"/>
              <w:spacing w:line="360" w:lineRule="auto"/>
            </w:pPr>
            <w:r>
              <w:drawing>
                <ns2:inline>
                  <ns2:extent cx="5052060" cy="3154709"/>
                  <ns2:effectExtent b="0" l="0" r="0" t="0"/>
                  <ns2:docPr descr="" title="" id="128" name="Picture"/>
                  <ns3:graphic>
                    <ns3:graphicData uri="http://schemas.openxmlformats.org/drawingml/2006/picture">
                      <ns4:pic>
                        <ns4:nvPicPr>
                          <ns4:cNvPr descr="assets/figures/fig_estabilidad_coste_es.png" id="129" name="Picture"/>
                          <ns4:cNvPicPr>
                            <ns3:picLocks noChangeArrowheads="1" noChangeAspect="1"/>
                          </ns4:cNvPicPr>
                        </ns4:nvPicPr>
                        <ns4:blipFill>
                          <ns3:blip ns5:embed="rId127"/>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fig-correlacion-metricas"/>
          <w:p>
            <w:pPr>
              <w:pStyle w:val="Compact"/>
              <w:jc w:val="both"/>
              <w:spacing w:line="360" w:lineRule="auto"/>
            </w:pPr>
            <w:r>
              <w:drawing>
                <ns2:inline>
                  <ns2:extent cx="5052060" cy="3860951"/>
                  <ns2:effectExtent b="0" l="0" r="0" t="0"/>
                  <ns2:docPr descr="" title="" id="132" name="Picture"/>
                  <ns3:graphic>
                    <ns3:graphicData uri="http://schemas.openxmlformats.org/drawingml/2006/picture">
                      <ns4:pic>
                        <ns4:nvPicPr>
                          <ns4:cNvPr descr="assets/figures/fig_correlacion_metricas_es.png" id="133" name="Picture"/>
                          <ns4:cNvPicPr>
                            <ns3:picLocks noChangeArrowheads="1" noChangeAspect="1"/>
                          </ns4:cNvPicPr>
                        </ns4:nvPicPr>
                        <ns4:blipFill>
                          <ns3:blip ns5:embed="rId131"/>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4"/>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fig-cobertura-exp2"/>
          <w:p>
            <w:pPr>
              <w:pStyle w:val="Compact"/>
              <w:jc w:val="both"/>
              <w:spacing w:line="360" w:lineRule="auto"/>
            </w:pPr>
            <w:r>
              <w:drawing>
                <ns2:inline>
                  <ns2:extent cx="5052060" cy="3412866"/>
                  <ns2:effectExtent b="0" l="0" r="0" t="0"/>
                  <ns2:docPr descr="" title="" id="136" name="Picture"/>
                  <ns3:graphic>
                    <ns3:graphicData uri="http://schemas.openxmlformats.org/drawingml/2006/picture">
                      <ns4:pic>
                        <ns4:nvPicPr>
                          <ns4:cNvPr descr="assets/figures/fig_cobertura_exp2_es.png" id="137" name="Picture"/>
                          <ns4:cNvPicPr>
                            <ns3:picLocks noChangeArrowheads="1" noChangeAspect="1"/>
                          </ns4:cNvPicPr>
                        </ns4:nvPicPr>
                        <ns4:blipFill>
                          <ns3:blip ns5:embed="rId135"/>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38"/>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fig-cd-diagram"/>
          <w:p>
            <w:pPr>
              <w:pStyle w:val="Compact"/>
              <w:jc w:val="both"/>
              <w:spacing w:line="360" w:lineRule="auto"/>
            </w:pPr>
            <w:r>
              <w:drawing>
                <ns2:inline>
                  <ns2:extent cx="5646420" cy="1801452"/>
                  <ns2:effectExtent b="0" l="0" r="0" t="0"/>
                  <ns2:docPr descr="" title="" id="140" name="Picture"/>
                  <ns3:graphic>
                    <ns3:graphicData uri="http://schemas.openxmlformats.org/drawingml/2006/picture">
                      <ns4:pic>
                        <ns4:nvPicPr>
                          <ns4:cNvPr descr="assets/figures/fig_cd_diagram_es.png" id="141" name="Picture"/>
                          <ns4:cNvPicPr>
                            <ns3:picLocks noChangeArrowheads="1" noChangeAspect="1"/>
                          </ns4:cNvPicPr>
                        </ns4:nvPicPr>
                        <ns4:blipFill>
                          <ns3:blip ns5:embed="rId139"/>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2"/>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6" w:name="fig-boxplots-metricas"/>
          <w:p>
            <w:pPr>
              <w:pStyle w:val="Compact"/>
              <w:jc w:val="both"/>
              <w:spacing w:line="360" w:lineRule="auto"/>
            </w:pPr>
            <w:r>
              <w:drawing>
                <ns2:inline>
                  <ns2:extent cx="5646420" cy="2662237"/>
                  <ns2:effectExtent b="0" l="0" r="0" t="0"/>
                  <ns2:docPr descr="" title="" id="144" name="Picture"/>
                  <ns3:graphic>
                    <ns3:graphicData uri="http://schemas.openxmlformats.org/drawingml/2006/picture">
                      <ns4:pic>
                        <ns4:nvPicPr>
                          <ns4:cNvPr descr="assets/figures/fig_boxplots_metricas_es.png" id="145" name="Picture"/>
                          <ns4:cNvPicPr>
                            <ns3:picLocks noChangeArrowheads="1" noChangeAspect="1"/>
                          </ns4:cNvPicPr>
                        </ns4:nvPicPr>
                        <ns4:blipFill>
                          <ns3:blip ns5:embed="rId143"/>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la inestabilidad estructural del método en todos los bloques del</w:t>
            </w:r>
            <w:r>
              <w:t xml:space="preserve"> </w:t>
            </w:r>
            <w:r>
              <w:t xml:space="preserve">benchmark.</w:t>
            </w:r>
          </w:p>
          <w:bookmarkEnd w:id="146"/>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0" w:name="fig-diferencias-pareadas"/>
          <w:p>
            <w:pPr>
              <w:pStyle w:val="Compact"/>
              <w:jc w:val="both"/>
              <w:spacing w:line="360" w:lineRule="auto"/>
            </w:pPr>
            <w:r>
              <w:drawing>
                <ns2:inline>
                  <ns2:extent cx="5646420" cy="2357586"/>
                  <ns2:effectExtent b="0" l="0" r="0" t="0"/>
                  <ns2:docPr descr="" title="" id="148" name="Picture"/>
                  <ns3:graphic>
                    <ns3:graphicData uri="http://schemas.openxmlformats.org/drawingml/2006/picture">
                      <ns4:pic>
                        <ns4:nvPicPr>
                          <ns4:cNvPr descr="assets/figures/fig_diferencias_pareadas_es.png" id="149" name="Picture"/>
                          <ns4:cNvPicPr>
                            <ns3:picLocks noChangeArrowheads="1" noChangeAspect="1"/>
                          </ns4:cNvPicPr>
                        </ns4:nvPicPr>
                        <ns4:blipFill>
                          <ns3:blip ns5:embed="rId147"/>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4" w:name="fig-radar-metodos"/>
          <w:p>
            <w:pPr>
              <w:pStyle w:val="Compact"/>
              <w:jc w:val="both"/>
              <w:spacing w:line="360" w:lineRule="auto"/>
            </w:pPr>
            <w:r>
              <w:drawing>
                <ns2:inline>
                  <ns2:extent cx="4160520" cy="3582746"/>
                  <ns2:effectExtent b="0" l="0" r="0" t="0"/>
                  <ns2:docPr descr="" title="" id="152" name="Picture"/>
                  <ns3:graphic>
                    <ns3:graphicData uri="http://schemas.openxmlformats.org/drawingml/2006/picture">
                      <ns4:pic>
                        <ns4:nvPicPr>
                          <ns4:cNvPr descr="assets/figures/fig_radar_metodos_es.png" id="153" name="Picture"/>
                          <ns4:cNvPicPr>
                            <ns3:picLocks noChangeArrowheads="1" noChangeAspect="1"/>
                          </ns4:cNvPicPr>
                        </ns4:nvPicPr>
                        <ns4:blipFill>
                          <ns3:blip ns5:embed="rId151"/>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4"/>
        </w:tc>
      </w:tr>
    </w:tbl>
    <w:bookmarkEnd w:id="155"/>
    <w:bookmarkStart w:id="159" w:name="sec-discusion"/>
    <w:p>
      <w:pPr>
        <w:pStyle w:val="Ttulo2"/>
        <w:spacing w:line="360" w:lineRule="auto"/>
        <w:jc w:val="both"/>
      </w:pPr>
      <w:r>
        <w:t xml:space="preserve">Discusión</w:t>
      </w:r>
    </w:p>
    <w:bookmarkStart w:id="156" w:name="interpretación-conjunta-de-h1-h2-y-h3"/>
    <w:p>
      <w:pPr>
        <w:pStyle w:val="Ttulo3"/>
        <w:spacing w:line="360" w:lineRule="auto"/>
        <w:jc w:val="both"/>
      </w:pP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56"/>
    <w:bookmarkStart w:id="157" w:name="Xbd024e4a7bd7bf8de011157bde8f5cf667c76a0"/>
    <w:p>
      <w:pPr>
        <w:pStyle w:val="Ttulo3"/>
        <w:spacing w:line="360" w:lineRule="auto"/>
        <w:jc w:val="both"/>
      </w:pP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en ambas dimensiones, pero el umbral operativo debe</w:t>
      </w:r>
      <w:r>
        <w:t xml:space="preserve"> </w:t>
      </w:r>
      <w:r>
        <w:t xml:space="preserve">verificarse por familia de modelo y no sobre la media global. La media de</w:t>
      </w:r>
      <w:r>
        <w:t xml:space="preserve"> </w:t>
      </w:r>
      <w:r>
        <w:t xml:space="preserve">fidelidad de SHAP (0.808) supera 0.80, y la de estabilidad (0.732) supera 0.70;</w:t>
      </w:r>
      <w:r>
        <w:t xml:space="preserve"> </w:t>
      </w:r>
      <w:r>
        <w:t xml:space="preserve">por familia, sin embargo, solo logreg (0.946) y SVM (0.882) alcanzan</w:t>
      </w:r>
      <w:r>
        <w:t xml:space="preserve"> </w:t>
      </w:r>
      <w:r>
        <w:t xml:space="preserve">fidelidad ≥ 0.80, y solo logreg (0.880), RF (0.949) y SVM (0.925) alcanzan</w:t>
      </w:r>
      <w:r>
        <w:t xml:space="preserve"> </w:t>
      </w:r>
      <w:r>
        <w:t xml:space="preserve">estabilidad ≥ 0.70. En XGBoost la estabilidad desciende a 0.575 y en MLP a</w:t>
      </w:r>
      <w:r>
        <w:t xml:space="preserve"> </w:t>
      </w:r>
      <w:r>
        <w:t xml:space="preserve">0.331, de modo que un requisito de consistencia explicativa no queda garantizado</w:t>
      </w:r>
      <w:r>
        <w:t xml:space="preserve"> </w:t>
      </w:r>
      <w:r>
        <w:t xml:space="preserve">en esas dos familias por el mero hecho de elegir SHAP. Para modelos</w:t>
      </w:r>
      <w:r>
        <w:t xml:space="preserve"> </w:t>
      </w:r>
      <w:r>
        <w:t xml:space="preserve">basados en árboles, el coste de TreeSHAP hace esta elección también</w:t>
      </w:r>
      <w:r>
        <w:t xml:space="preserve"> </w:t>
      </w:r>
      <w:r>
        <w:t xml:space="preserve">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cuyas medias por familia de modelo</w:t>
      </w:r>
      <w:r>
        <w:t xml:space="preserve"> </w:t>
      </w:r>
      <w:r>
        <w:t xml:space="preserve">—52 ms (mlp), 73 ms (logreg) y 122 ms (xgb) por instancia, agregadas a nivel de</w:t>
      </w:r>
      <w:r>
        <w:t xml:space="preserve"> </w:t>
      </w:r>
      <w:r>
        <w:t xml:space="preserve">ejecución— se mantienen dos órdenes de magnitud por debajo de las de SVM</w:t>
      </w:r>
      <w:r>
        <w:t xml:space="preserve"> </w:t>
      </w:r>
      <w:r>
        <w:t xml:space="preserve">(17,620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57"/>
    <w:bookmarkStart w:id="158" w:name="X99626a17a471bd5fb48825a2c4d4fcdcb69bcee"/>
    <w:p>
      <w:pPr>
        <w:pStyle w:val="Ttulo3"/>
        <w:spacing w:line="360" w:lineRule="auto"/>
        <w:jc w:val="both"/>
      </w:pP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estructural de LIME, un hallazgo</w:t>
      </w:r>
      <w:r>
        <w:t xml:space="preserve"> </w:t>
      </w:r>
      <w:r>
        <w:t xml:space="preserve">que los estudios basados en fidelidad exclusiva sistemáticamente omiten</w:t>
      </w:r>
      <w:r>
        <w:t xml:space="preserve"> </w:t>
      </w:r>
      <w:r>
        <w:t xml:space="preserve">(Bhattacharya and Verbert 2024)</w:t>
      </w:r>
      <w:r>
        <w:t xml:space="preserve">. En tercer lugar, demuestran que el protocolo FOM-7</w:t>
      </w:r>
      <w:r>
        <w:t xml:space="preserve"> </w:t>
      </w:r>
      <w:r>
        <w:t xml:space="preserve">produce resultados reproducibles (CV &lt; 3% en fidelidad para el subgrupo</w:t>
      </w:r>
      <w:r>
        <w:t xml:space="preserve"> </w:t>
      </w:r>
      <w:r>
        <w:t xml:space="preserve">replicado RF/</w:t>
      </w:r>
      <ns1:oMath>
        <ns1:r>
          <ns1:t>N</ns1:t>
        </ns1:r>
        <ns1:r>
          <ns1:rPr>
            <ns1:sty ns1:val="p"/>
          </ns1:rPr>
          <ns1:t>=</ns1:t>
        </ns1:r>
        <ns1:r>
          <ns1:t>100</ns1:t>
        </ns1:r>
      </ns1:oMath>
      <w:r>
        <w:t xml:space="preserve">, y CV agrupado de 11.4% para SHAP y 12.0% para LIME sobre</w:t>
      </w:r>
      <w:r>
        <w:t xml:space="preserve"> </w:t>
      </w:r>
      <w:r>
        <w:t xml:space="preserve">el conjunto completo de ejecuciones, todos dentro del umbral del 15% fijado en</w:t>
      </w:r>
      <w:r>
        <w:t xml:space="preserve"> </w:t>
      </w:r>
      <w:r>
        <w:t xml:space="preserve">P1)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58"/>
    <w:bookmarkEnd w:id="159"/>
    <w:bookmarkEnd w:id="160"/>
    <w:bookmarkStart w:id="172" w:name="Xa967782ce714a135dc69dc69099ccfe835ec70b"/>
    <w:p>
      <w:pPr>
        <w:pStyle w:val="Ttulo1"/>
        <w:spacing w:line="360" w:lineRule="auto"/>
        <w:jc w:val="both"/>
      </w:pP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prácticamente nula bajo la configuración de referencia del</w:t>
      </w:r>
      <w:r>
        <w:t xml:space="preserve"> </w:t>
      </w:r>
      <w:r>
        <w:t xml:space="preserve">benchmark: similitud coseno media de 0.014 y coeficiente de variación del 86.2%</w:t>
      </w:r>
      <w:r>
        <w:t xml:space="preserve"> </w:t>
      </w:r>
      <w:r>
        <w:t xml:space="preserve">entre explicaciones generadas para la misma instancia con distintas semillas</w:t>
      </w:r>
      <w:r>
        <w:t xml:space="preserve"> </w:t>
      </w:r>
      <w:r>
        <w:t xml:space="preserve">(el Capítulo 6 delimita el alcance de este resultado, que depende del espacio</w:t>
      </w:r>
      <w:r>
        <w:t xml:space="preserve"> </w:t>
      </w:r>
      <w:r>
        <w:t xml:space="preserve">de características y del ancho del kernel).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Figure 5.2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Figure 5.7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C de la tesis: una taxonomía estructurada</w:t>
      </w:r>
      <w:r>
        <w:t xml:space="preserve"> </w:t>
      </w:r>
      <w:r>
        <w:t xml:space="preserve">del espacio de métricas de evaluación XAI. Su función es dar peso conceptual</w:t>
      </w:r>
      <w:r>
        <w:t xml:space="preserve"> </w:t>
      </w:r>
      <w:r>
        <w:t xml:space="preserve">propio a la tercera contribución doctoral. Los capítulos anteriores mostraron</w:t>
      </w:r>
      <w:r>
        <w:t xml:space="preserve"> </w:t>
      </w:r>
      <w:r>
        <w:t xml:space="preserve">que FOM-7 necesita distinguir objetos explicativos, constructos de calidad,</w:t>
      </w:r>
      <w:r>
        <w:t xml:space="preserve"> </w:t>
      </w:r>
      <w:r>
        <w:t xml:space="preserve">fuentes de evidencia y contextos de uso. Este capítulo convierte esa necesidad</w:t>
      </w:r>
      <w:r>
        <w:t xml:space="preserve"> </w:t>
      </w:r>
      <w:r>
        <w:t xml:space="preserve">en una matriz de clasificación que permite interpretar el benchmark y, al mismo</w:t>
      </w:r>
      <w:r>
        <w:t xml:space="preserve"> </w:t>
      </w:r>
      <w:r>
        <w:t xml:space="preserve">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1" w:name="sec-taxonomia-metodo"/>
    <w:p>
      <w:pPr>
        <w:pStyle w:val="Ttulo2"/>
        <w:spacing w:line="360" w:lineRule="auto"/>
        <w:jc w:val="both"/>
      </w:pP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que suman</w:t>
      </w:r>
      <w:r>
        <w:t xml:space="preserve"> </w:t>
      </w:r>
      <w:r>
        <w:rPr>
          <w:b/>
          <w:bCs/>
        </w:rPr>
        <w:t xml:space="preserve">47 referencias</w:t>
      </w:r>
      <w:r>
        <w:rPr>
          <w:b/>
          <w:bCs/>
        </w:rPr>
        <w:t xml:space="preserve"> </w:t>
      </w:r>
      <w:r>
        <w:rPr>
          <w:b/>
          <w:bCs/>
        </w:rPr>
        <w:t xml:space="preserve">directas</w:t>
      </w:r>
      <w:r>
        <w:t xml:space="preserve"> </w:t>
      </w:r>
      <w:r>
        <w:t xml:space="preserve">a la construcción de la taxonomía. Primero, revisiones y</w:t>
      </w:r>
      <w:r>
        <w:t xml:space="preserve"> </w:t>
      </w:r>
      <w:r>
        <w:t xml:space="preserve">taxonomías de interpretabilidad y XAI que establecen el vocabulario conceptual</w:t>
      </w:r>
      <w:r>
        <w:t xml:space="preserve"> </w:t>
      </w:r>
      <w:r>
        <w:t xml:space="preserve">del campo: 11 trabajos, incluyendo las revisiones fundacionales de</w:t>
      </w:r>
      <w:r>
        <w:t xml:space="preserve"> </w:t>
      </w:r>
      <w:r>
        <w:t xml:space="preserve">Arrieta (2019a)</w:t>
      </w:r>
      <w:r>
        <w:t xml:space="preserve">,</w:t>
      </w:r>
      <w:r>
        <w:t xml:space="preserve"> </w:t>
      </w:r>
      <w:r>
        <w:t xml:space="preserve">Lipton (2018)</w:t>
      </w:r>
      <w:r>
        <w:t xml:space="preserve">,</w:t>
      </w:r>
      <w:r>
        <w:t xml:space="preserve"> </w:t>
      </w:r>
      <w:r>
        <w:t xml:space="preserve">Linardatos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9 trabajos, 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 8 trabajos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19 trabajos, 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and Verbert (2024)</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Table 6.1</w:t>
        </w:r>
      </w:hyperlink>
      <w:r>
        <w:t xml:space="preserve"> </w:t>
      </w:r>
      <w:r>
        <w:t xml:space="preserve">son el resultado de consolidar y desambiguar los constructos identificados en el</w:t>
      </w:r>
      <w:r>
        <w:t xml:space="preserve"> </w:t>
      </w:r>
      <w:r>
        <w:t xml:space="preserve">corpus de 47 referencias; se reportan como una selección representativa, no como</w:t>
      </w:r>
      <w:r>
        <w:t xml:space="preserve"> </w:t>
      </w:r>
      <w:r>
        <w:t xml:space="preserve">un catálogo exhaustivo.</w:t>
      </w:r>
    </w:p>
    <w:bookmarkEnd w:id="161"/>
    <w:bookmarkStart w:id="162" w:name="sec-taxonomia-motivacion"/>
    <w:p>
      <w:pPr>
        <w:pStyle w:val="Ttulo2"/>
        <w:spacing w:line="360" w:lineRule="auto"/>
        <w:jc w:val="both"/>
      </w:pP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and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Estudios A y B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2"/>
    <w:bookmarkStart w:id="163" w:name="sec-taxonomia-ejes"/>
    <w:p>
      <w:pPr>
        <w:pStyle w:val="Ttulo2"/>
        <w:spacing w:line="360" w:lineRule="auto"/>
        <w:jc w:val="both"/>
      </w:pP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and Verbert 2024; Arrieta 2019a;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2019a; Bhattacharya and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3"/>
    <w:bookmarkStart w:id="165" w:name="sec-taxonomia-matriz"/>
    <w:p>
      <w:pPr>
        <w:pStyle w:val="Ttulo2"/>
        <w:spacing w:line="360" w:lineRule="auto"/>
        <w:jc w:val="both"/>
      </w:pP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Table 6.1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tblLayout w:type="fixed"/>
        <w:tblLook w:firstRow="0" w:lastRow="0" w:firstColumn="0" w:lastColumn="0" w:noHBand="0" w:noVBand="0" w:val="0000"/>
      </w:tblPr>
      <w:tblGrid>
        <w:gridCol w:w="7920"/>
      </w:tblGrid>
      <w:tr>
        <w:tc>
          <w:tcPr/>
          <w:bookmarkStart w:id="164" w:name="tbl-taxonomia-ampliada"/>
          <w:p>
            <w:pPr>
              <w:jc w:val="both"/>
              <w:spacing w:line="360" w:lineRule="auto"/>
            </w:pPr>
            <w:pPr>
              <w:jc w:val="left"/>
              <w:spacing w:before="200"/>
              <w:pStyle w:val="ImageCaption"/>
            </w:pPr>
            <w:r>
              <w:t xml:space="preserve">Table 6.1: Taxonomía ampliada de métricas y constructos de evaluación XAI.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Métrica / constructo</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Fuente de evidencia</w:t>
                  </w:r>
                </w:p>
              </w:tc>
              <w:tc>
                <w:tcPr/>
                <w:p>
                  <w:pPr>
                    <w:pStyle w:val="Compact"/>
                    <w:jc w:val="both"/>
                    <w:jc w:val="center"/>
                    <w:spacing w:line="360" w:lineRule="auto"/>
                  </w:pPr>
                  <w:r>
                    <w:t xml:space="preserve">Propiedad</w:t>
                  </w:r>
                </w:p>
              </w:tc>
              <w:tc>
                <w:tcPr/>
                <w:p>
                  <w:pPr>
                    <w:pStyle w:val="Compact"/>
                    <w:jc w:val="both"/>
                    <w:jc w:val="center"/>
                    <w:spacing w:line="360" w:lineRule="auto"/>
                  </w:pPr>
                  <w:r>
                    <w:t xml:space="preserve">Contexto típico</w:t>
                  </w:r>
                </w:p>
              </w:tc>
              <w:tc>
                <w:tcPr/>
                <w:p>
                  <w:pPr>
                    <w:pStyle w:val="Compact"/>
                    <w:jc w:val="both"/>
                    <w:jc w:val="center"/>
                    <w:spacing w:line="360" w:lineRule="auto"/>
                  </w:pPr>
                  <w: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4"/>
          <w:p>
            <w:pPr>
              <w:spacing w:line="360" w:lineRule="auto"/>
              <w:jc w:val="both"/>
            </w:pPr>
          </w:p>
        </w:tc>
      </w:tr>
    </w:tbl>
    <w:bookmarkEnd w:id="165"/>
    <w:bookmarkStart w:id="167" w:name="sec-taxonomia-benchmark"/>
    <w:p>
      <w:pPr>
        <w:pStyle w:val="Ttulo2"/>
        <w:spacing w:line="360" w:lineRule="auto"/>
        <w:jc w:val="both"/>
      </w:pPr>
      <w:r>
        <w:t xml:space="preserve">Mapeo del benchmark a la taxonomía</w:t>
      </w:r>
    </w:p>
    <w:p>
      <w:pPr>
        <w:pStyle w:val="FirstParagraph"/>
        <w:spacing w:line="360" w:lineRule="auto"/>
        <w:jc w:val="both"/>
      </w:pPr>
      <w:r>
        <w:t xml:space="preserve">Las cinco métricas operacionalizadas en los Estudios A y B se localizan en la</w:t>
      </w:r>
      <w:r>
        <w:t xml:space="preserve"> </w:t>
      </w:r>
      <w:r>
        <w:t xml:space="preserve">taxonomía de la siguiente manera:</w:t>
      </w:r>
    </w:p>
    <w:tbl>
      <w:tblPr>
        <w:tblStyle w:val="Table"/>
        <w:tblW w:type="pct" w:w="5000"/>
        <w:tblLayout w:type="fixed"/>
        <w:tblLook w:firstRow="0" w:lastRow="0" w:firstColumn="0" w:lastColumn="0" w:noHBand="0" w:noVBand="0" w:val="0000"/>
      </w:tblPr>
      <w:tblGrid>
        <w:gridCol w:w="7920"/>
      </w:tblGrid>
      <w:tr>
        <w:tc>
          <w:tcPr/>
          <w:bookmarkStart w:id="166" w:name="tbl-taxonomia-benchmark"/>
          <w:p>
            <w:pPr>
              <w:jc w:val="both"/>
              <w:spacing w:line="360" w:lineRule="auto"/>
            </w:pPr>
            <w:pPr>
              <w:jc w:val="left"/>
              <w:spacing w:before="200"/>
              <w:pStyle w:val="ImageCaption"/>
            </w:pPr>
            <w:r>
              <w:t xml:space="preserve">Table 6.2: Mapeo de las métricas del benchmark a los cuatro ejes de la taxonomía.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Eje 1: objetivo</w:t>
                  </w:r>
                </w:p>
              </w:tc>
              <w:tc>
                <w:tcPr/>
                <w:p>
                  <w:pPr>
                    <w:pStyle w:val="Compact"/>
                    <w:jc w:val="both"/>
                    <w:jc w:val="center"/>
                    <w:spacing w:line="360" w:lineRule="auto"/>
                  </w:pPr>
                  <w:r>
                    <w:t xml:space="preserve">Eje 2: fuente de evidencia</w:t>
                  </w:r>
                </w:p>
              </w:tc>
              <w:tc>
                <w:tcPr/>
                <w:p>
                  <w:pPr>
                    <w:pStyle w:val="Compact"/>
                    <w:jc w:val="both"/>
                    <w:jc w:val="center"/>
                    <w:spacing w:line="360" w:lineRule="auto"/>
                  </w:pPr>
                  <w:r>
                    <w:t xml:space="preserve">Eje 3: propiedad</w:t>
                  </w:r>
                </w:p>
              </w:tc>
              <w:tc>
                <w:tcPr/>
                <w:p>
                  <w:pPr>
                    <w:pStyle w:val="Compact"/>
                    <w:jc w:val="both"/>
                    <w:jc w:val="center"/>
                    <w:spacing w:line="360" w:lineRule="auto"/>
                  </w:pPr>
                  <w: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66"/>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67"/>
    <w:bookmarkStart w:id="168" w:name="sec-taxonomia-brechas"/>
    <w:p>
      <w:pPr>
        <w:pStyle w:val="Ttulo2"/>
        <w:spacing w:line="360" w:lineRule="auto"/>
        <w:jc w:val="both"/>
      </w:pPr>
      <w:r>
        <w:t xml:space="preserve">Brechas de constructo que la taxonomía hace explícitas</w:t>
      </w:r>
    </w:p>
    <w:p>
      <w:pPr>
        <w:pStyle w:val="FirstParagraph"/>
        <w:spacing w:line="360" w:lineRule="auto"/>
        <w:jc w:val="both"/>
      </w:pPr>
      <w:r>
        <w:t xml:space="preserve">El mapeo anterior no solo localiza lo que el benchmark mide: delimita lo que no</w:t>
      </w:r>
      <w:r>
        <w:t xml:space="preserve"> </w:t>
      </w:r>
      <w:r>
        <w:t xml:space="preserve">mide y por qué. Las tres brechas siguientes se derivan de esa delimitación y se</w:t>
      </w:r>
      <w:r>
        <w:t xml:space="preserve"> </w:t>
      </w:r>
      <w:r>
        <w:t xml:space="preserve">numeran aquí porque el resto de la tesis se refiere a ellas de forma abreviada.</w:t>
      </w:r>
      <w:r>
        <w:t xml:space="preserve"> </w:t>
      </w:r>
      <w:r>
        <w:t xml:space="preserve">No son defectos del diseño experimental, sino distancias estructurales entre lo</w:t>
      </w:r>
      <w:r>
        <w:t xml:space="preserve"> </w:t>
      </w:r>
      <w:r>
        <w:t xml:space="preserve">que una métrica computa y lo que un claim pretende afirmar.</w:t>
      </w:r>
    </w:p>
    <w:p>
      <w:pPr>
        <w:pStyle w:val="Textoindependiente"/>
        <w:spacing w:line="360" w:lineRule="auto"/>
        <w:jc w:val="both"/>
      </w:pPr>
      <w:r>
        <w:rPr>
          <w:b/>
          <w:bCs/>
        </w:rPr>
        <w:t xml:space="preserve">Brecha 1 — Distancia entre proxy y constructo.</w:t>
      </w:r>
      <w:r>
        <w:t xml:space="preserve"> </w:t>
      </w:r>
      <w:r>
        <w:t xml:space="preserve">Ninguna de las cinco métricas</w:t>
      </w:r>
      <w:r>
        <w:t xml:space="preserve"> </w:t>
      </w:r>
      <w:r>
        <w:t xml:space="preserve">del benchmark mide el constructo que su nombre sugiere en sentido pleno: la</w:t>
      </w:r>
      <w:r>
        <w:t xml:space="preserve"> </w:t>
      </w:r>
      <w:r>
        <w:t xml:space="preserve">fidelidad por correlación de importancias no autoriza a afirmar utilidad humana,</w:t>
      </w:r>
      <w:r>
        <w:t xml:space="preserve"> </w:t>
      </w:r>
      <w:r>
        <w:t xml:space="preserve">la estabilidad bajo perturbación no prueba causalidad, una regla Anchor de alta</w:t>
      </w:r>
      <w:r>
        <w:t xml:space="preserve"> </w:t>
      </w:r>
      <w:r>
        <w:t xml:space="preserve">precisión no garantiza cobertura amplia y un contrafactual válido para el modelo</w:t>
      </w:r>
      <w:r>
        <w:t xml:space="preserve"> </w:t>
      </w:r>
      <w:r>
        <w:t xml:space="preserve">no es necesariamente accionable para la persona (Capítulo 2). La brecha se</w:t>
      </w:r>
      <w:r>
        <w:t xml:space="preserve"> </w:t>
      </w:r>
      <w:r>
        <w:t xml:space="preserve">agrava cuando la métrica produce una cifra fácil de tabular, porque la forma</w:t>
      </w:r>
      <w:r>
        <w:t xml:space="preserve"> </w:t>
      </w:r>
      <w:r>
        <w:t xml:space="preserve">tabular sugiere una objetividad mayor que la disponible. La taxonomía la</w:t>
      </w:r>
      <w:r>
        <w:t xml:space="preserve"> </w:t>
      </w:r>
      <w:r>
        <w:t xml:space="preserve">gestiona obligando a que cada métrica declare su alcance inferencial admisible</w:t>
      </w:r>
      <w:r>
        <w:t xml:space="preserve"> </w:t>
      </w:r>
      <w:r>
        <w:t xml:space="preserve">en la columna correspondiente de la Tabla</w:t>
      </w:r>
      <w:r>
        <w:t xml:space="preserve"> </w:t>
      </w:r>
      <w:hyperlink w:anchor="tbl-taxonomia-ampliada">
        <w:r>
          <w:rPr>
            <w:rStyle w:val="Hipervnculo"/>
          </w:rPr>
          <w:t xml:space="preserve">Table 6.1</w:t>
        </w:r>
      </w:hyperlink>
      <w:r>
        <w:t xml:space="preserve">.</w:t>
      </w:r>
    </w:p>
    <w:p>
      <w:pPr>
        <w:pStyle w:val="Textoindependiente"/>
        <w:spacing w:line="360" w:lineRule="auto"/>
        <w:jc w:val="both"/>
      </w:pPr>
      <w:r>
        <w:rPr>
          <w:b/>
          <w:bCs/>
        </w:rPr>
        <w:t xml:space="preserve">Brecha 2 — Ausencia de evidencia human-grounded y application-grounded.</w:t>
      </w:r>
      <w:r>
        <w:t xml:space="preserve"> </w:t>
      </w:r>
      <w:r>
        <w:t xml:space="preserve">El</w:t>
      </w:r>
      <w:r>
        <w:t xml:space="preserve"> </w:t>
      </w:r>
      <w:r>
        <w:t xml:space="preserve">mapeo de la Tabla</w:t>
      </w:r>
      <w:r>
        <w:t xml:space="preserve"> </w:t>
      </w:r>
      <w:hyperlink w:anchor="tbl-taxonomia-benchmark">
        <w:r>
          <w:rPr>
            <w:rStyle w:val="Hipervnculo"/>
          </w:rPr>
          <w:t xml:space="preserve">Table 6.2</w:t>
        </w:r>
      </w:hyperlink>
      <w:r>
        <w:t xml:space="preserve"> </w:t>
      </w:r>
      <w:r>
        <w:t xml:space="preserve">muestra que las cinco métricas se</w:t>
      </w:r>
      <w:r>
        <w:t xml:space="preserve"> </w:t>
      </w:r>
      <w:r>
        <w:t xml:space="preserve">concentran en dos fuentes de evidencia —enmascaramiento y perturbación— y dejan</w:t>
      </w:r>
      <w:r>
        <w:t xml:space="preserve"> </w:t>
      </w:r>
      <w:r>
        <w:t xml:space="preserve">vacías las celdas de</w:t>
      </w:r>
      <w:r>
        <w:t xml:space="preserve"> </w:t>
      </w:r>
      <w:r>
        <w:rPr>
          <w:i/>
          <w:iCs/>
        </w:rPr>
        <w:t xml:space="preserve">estudio con usuario</w:t>
      </w:r>
      <w:r>
        <w:t xml:space="preserve"> </w:t>
      </w:r>
      <w:r>
        <w:t xml:space="preserve">y</w:t>
      </w:r>
      <w:r>
        <w:t xml:space="preserve"> </w:t>
      </w:r>
      <w:r>
        <w:rPr>
          <w:i/>
          <w:iCs/>
        </w:rPr>
        <w:t xml:space="preserve">comparación con verdad-terreno</w:t>
      </w:r>
      <w:r>
        <w:t xml:space="preserve">.</w:t>
      </w:r>
      <w:r>
        <w:t xml:space="preserve"> </w:t>
      </w:r>
      <w:r>
        <w:t xml:space="preserve">En consecuencia, plausibilidad, comprensibilidad, satisfacción y utilidad en</w:t>
      </w:r>
      <w:r>
        <w:t xml:space="preserve"> </w:t>
      </w:r>
      <w:r>
        <w:t xml:space="preserve">tarea quedan fuera del alcance de los Estudios A y B. Esta brecha es de</w:t>
      </w:r>
      <w:r>
        <w:t xml:space="preserve"> </w:t>
      </w:r>
      <w:r>
        <w:t xml:space="preserve">cobertura, no de validez: se cierra añadiendo estudios con participantes</w:t>
      </w:r>
      <w:r>
        <w:t xml:space="preserve"> </w:t>
      </w:r>
      <w:r>
        <w:t xml:space="preserve">humanos, no reinterpretando las métricas existentes.</w:t>
      </w:r>
    </w:p>
    <w:p>
      <w:pPr>
        <w:pStyle w:val="Textoindependiente"/>
        <w:spacing w:line="360" w:lineRule="auto"/>
        <w:jc w:val="both"/>
      </w:pPr>
      <w:r>
        <w:rPr>
          <w:b/>
          <w:bCs/>
        </w:rPr>
        <w:t xml:space="preserve">Brecha 3 — La evaluación semántica crece más rápido que su base de validación</w:t>
      </w:r>
      <w:r>
        <w:rPr>
          <w:b/>
          <w:bCs/>
        </w:rPr>
        <w:t xml:space="preserve"> </w:t>
      </w:r>
      <w:r>
        <w:rPr>
          <w:b/>
          <w:bCs/>
        </w:rPr>
        <w:t xml:space="preserve">empírica.</w:t>
      </w:r>
      <w:r>
        <w:t xml:space="preserve"> </w:t>
      </w:r>
      <w:r>
        <w:t xml:space="preserve">La respuesta natural a la Brecha 2 ha sido delegar el juicio</w:t>
      </w:r>
      <w:r>
        <w:t xml:space="preserve"> </w:t>
      </w:r>
      <w:r>
        <w:t xml:space="preserve">semántico en evaluadores automáticos —crecientemente, jueces LLM— que prometen</w:t>
      </w:r>
      <w:r>
        <w:t xml:space="preserve"> </w:t>
      </w:r>
      <w:r>
        <w:t xml:space="preserve">aproximar el criterio humano sin el coste de un estudio con participantes. El</w:t>
      </w:r>
      <w:r>
        <w:t xml:space="preserve"> </w:t>
      </w:r>
      <w:r>
        <w:t xml:space="preserve">problema es que esos evaluadores se adoptan como instrumento de medida antes de</w:t>
      </w:r>
      <w:r>
        <w:t xml:space="preserve"> </w:t>
      </w:r>
      <w:r>
        <w:t xml:space="preserve">que su fiabilidad haya sido establecida: se usan para puntuar explicaciones sin</w:t>
      </w:r>
      <w:r>
        <w:t xml:space="preserve"> </w:t>
      </w:r>
      <w:r>
        <w:t xml:space="preserve">que exista evidencia de que dos jueces independientes puntúan igual la misma</w:t>
      </w:r>
      <w:r>
        <w:t xml:space="preserve"> </w:t>
      </w:r>
      <w:r>
        <w:t xml:space="preserve">explicación. La brecha, por tanto, no es de cobertura sino de calibración del</w:t>
      </w:r>
      <w:r>
        <w:t xml:space="preserve"> </w:t>
      </w:r>
      <w:r>
        <w:t xml:space="preserve">instrumento, y es contrastable empíricamente. EXP4 la contrasta y la confirma en</w:t>
      </w:r>
      <w:r>
        <w:t xml:space="preserve"> </w:t>
      </w:r>
      <w:r>
        <w:t xml:space="preserve">§sec-exp4-fiabilidad.</w:t>
      </w:r>
    </w:p>
    <w:bookmarkEnd w:id="168"/>
    <w:bookmarkStart w:id="169" w:name="sec-taxonomia-contribucion"/>
    <w:p>
      <w:pPr>
        <w:pStyle w:val="Ttulo2"/>
        <w:spacing w:line="360" w:lineRule="auto"/>
        <w:jc w:val="both"/>
      </w:pP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and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69"/>
    <w:bookmarkStart w:id="171" w:name="sec-exp4-fiabilidad"/>
    <w:p>
      <w:pPr>
        <w:pStyle w:val="Ttulo2"/>
        <w:spacing w:line="360" w:lineRule="auto"/>
        <w:jc w:val="both"/>
      </w:pPr>
      <w:r>
        <w:t xml:space="preserve">Estudio de fiabilidad de evaluadores semánticos (EXP4)</w:t>
      </w:r>
    </w:p>
    <w:p>
      <w:pPr>
        <w:pStyle w:val="FirstParagraph"/>
        <w:spacing w:line="360" w:lineRule="auto"/>
        <w:jc w:val="both"/>
      </w:pPr>
      <w:r>
        <w:t xml:space="preserve">La Brecha 3 (§sec-taxonomia-brechas) identifica que la evaluación semántica</w:t>
      </w:r>
      <w:r>
        <w:t xml:space="preserve"> </w:t>
      </w:r>
      <w:r>
        <w:t xml:space="preserve">crece más rápido que su base de validación empírica. EXP4 (diseñado en</w:t>
      </w:r>
      <w:r>
        <w:t xml:space="preserve"> </w:t>
      </w:r>
      <w:r>
        <w:t xml:space="preserve">§sec-exp4-diseno,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Table 6.3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and Li 2016)</w:t>
      </w:r>
      <w:r>
        <w:t xml:space="preserve">.</w:t>
      </w:r>
    </w:p>
    <w:tbl>
      <w:tblPr>
        <w:tblStyle w:val="Table"/>
        <w:tblW w:type="pct" w:w="5000"/>
        <w:tblLayout w:type="fixed"/>
        <w:tblLook w:firstRow="0" w:lastRow="0" w:firstColumn="0" w:lastColumn="0" w:noHBand="0" w:noVBand="0" w:val="0000"/>
      </w:tblPr>
      <w:tblGrid>
        <w:gridCol w:w="7920"/>
      </w:tblGrid>
      <w:tr>
        <w:tc>
          <w:tcPr/>
          <w:bookmarkStart w:id="170" w:name="tbl-exp4-icc"/>
          <w:p>
            <w:pPr>
              <w:jc w:val="both"/>
              <w:spacing w:line="360" w:lineRule="auto"/>
            </w:pPr>
            <w:pPr>
              <w:jc w:val="left"/>
              <w:spacing w:before="200"/>
              <w:pStyle w:val="ImageCaption"/>
            </w:pPr>
            <w:r>
              <w:t xml:space="preserve">Table 6.3: Fiabilidad inter-juez LLM en siete dimensiones semánticas (EXP4;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and Li 2016)</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Dimensión</w:t>
                  </w:r>
                </w:p>
              </w:tc>
              <w:tc>
                <w:tcPr/>
                <w:p>
                  <w:pPr>
                    <w:pStyle w:val="Compact"/>
                    <w:jc w:val="both"/>
                    <w:jc w:val="center"/>
                    <w:spacing w:line="360" w:lineRule="auto"/>
                  </w:pPr>
                  <w:r>
                    <w:t xml:space="preserve">ICC(1,1)</w:t>
                  </w:r>
                </w:p>
              </w:tc>
              <w:tc>
                <w:tcPr/>
                <w:p>
                  <w:pPr>
                    <w:pStyle w:val="Compact"/>
                    <w:jc w:val="both"/>
                    <w:jc w:val="center"/>
                    <w:spacing w:line="360" w:lineRule="auto"/>
                  </w:pPr>
                  <w:r>
                    <w:t xml:space="preserve">Krippendorff</w:t>
                  </w:r>
                  <w: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70"/>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and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1"/>
    <w:bookmarkEnd w:id="172"/>
    <w:bookmarkStart w:id="188" w:name="conclusiones"/>
    <w:p>
      <w:pPr>
        <w:pStyle w:val="Ttulo1"/>
        <w:spacing w:line="360" w:lineRule="auto"/>
        <w:jc w:val="both"/>
      </w:pP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5" w:name="sec-respuesta"/>
    <w:p>
      <w:pPr>
        <w:pStyle w:val="Ttulo2"/>
        <w:spacing w:line="360" w:lineRule="auto"/>
        <w:jc w:val="both"/>
      </w:pP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tblLayout w:type="fixed"/>
        <w:tblLook w:firstRow="0" w:lastRow="0" w:firstColumn="0" w:lastColumn="0" w:noHBand="0" w:noVBand="0" w:val="0000"/>
      </w:tblPr>
      <w:tblGrid>
        <w:gridCol w:w="7920"/>
      </w:tblGrid>
      <w:tr>
        <w:tc>
          <w:tcPr/>
          <w:bookmarkStart w:id="173" w:name="tbl-hipotesis"/>
          <w:p>
            <w:pPr>
              <w:jc w:val="both"/>
              <w:spacing w:line="360" w:lineRule="auto"/>
            </w:pPr>
            <w:pPr>
              <w:jc w:val="left"/>
              <w:spacing w:before="200"/>
              <w:pStyle w:val="ImageCaption"/>
            </w:pPr>
            <w:r>
              <w:t xml:space="preserve">Table 7.1: Síntesis de hipótesis y proposiciones de trabajo.</w:t>
            </w:r>
          </w:p>
          <w:tbl>
            <w:tblPr>
              <w:tblStyle w:val="Table"/>
              <w:tblW w:type="pct" w:w="5000"/>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t xml:space="preserve">Hipótesis / Proposición</w:t>
                  </w:r>
                </w:p>
              </w:tc>
              <w:tc>
                <w:tcPr/>
                <w:p>
                  <w:pPr>
                    <w:pStyle w:val="Compact"/>
                    <w:jc w:val="both"/>
                    <w:spacing w:line="360" w:lineRule="auto"/>
                  </w:pPr>
                  <w:r>
                    <w:t xml:space="preserve">Resultado</w:t>
                  </w:r>
                </w:p>
              </w:tc>
              <w:tc>
                <w:tcPr/>
                <w:p>
                  <w:pPr>
                    <w:pStyle w:val="Compact"/>
                    <w:jc w:val="both"/>
                    <w:spacing w:line="360" w:lineRule="auto"/>
                  </w:pPr>
                  <w: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ICC(1,1)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3"/>
          <w:p>
            <w:pPr>
              <w:spacing w:line="360" w:lineRule="auto"/>
              <w:jc w:val="both"/>
            </w:pPr>
          </w:p>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74" w:name="tbl-objetivos"/>
          <w:p>
            <w:pPr>
              <w:jc w:val="both"/>
              <w:spacing w:line="360" w:lineRule="auto"/>
            </w:pPr>
            <w:pPr>
              <w:jc w:val="left"/>
              <w:spacing w:before="200"/>
              <w:pStyle w:val="ImageCaption"/>
            </w:pPr>
            <w:r>
              <w:t xml:space="preserve">Table 7.2: Cierre de objetivos específicos.</w:t>
            </w:r>
          </w:p>
          <w:tbl>
            <w:tblPr>
              <w:tblStyle w:val="Table"/>
              <w:tblW w:type="pct" w:w="5000"/>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t xml:space="preserve">Objetivo específico</w:t>
                  </w:r>
                </w:p>
              </w:tc>
              <w:tc>
                <w:tcPr/>
                <w:p>
                  <w:pPr>
                    <w:pStyle w:val="Compact"/>
                    <w:jc w:val="both"/>
                    <w:spacing w:line="360" w:lineRule="auto"/>
                  </w:pPr>
                  <w: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en fidelidad para el subgrupo replicado RF/</w:t>
                  </w:r>
                  <ns1:oMath>
                    <ns1:r>
                      <ns1:t>N</ns1:t>
                    </ns1:r>
                    <ns1:r>
                      <ns1:rPr>
                        <ns1:sty ns1:val="p"/>
                      </ns1:rPr>
                      <ns1:t>=</ns1:t>
                    </ns1:r>
                    <ns1:r>
                      <ns1:t>100</ns1:t>
                    </ns1:r>
                  </ns1:oMath>
                  <w:r>
                    <w:t xml:space="preserve"> </w:t>
                  </w:r>
                  <w:r>
                    <w:t xml:space="preserve">y 12.0-12.8% sobre el conjunto completo de métodos y modelos, ambos por debajo del umbral del 15% de P1; variabilidad del coste inherente a la heterogeneidad del hardware.</w:t>
                  </w:r>
                </w:p>
              </w:tc>
            </w:tr>
            <w:tr>
              <w:tc>
                <w:tcPr/>
                <w:p>
                  <w:pPr>
                    <w:pStyle w:val="Compact"/>
                    <w:jc w:val="both"/>
                    <w:spacing w:line="360" w:lineRule="auto"/>
                  </w:pPr>
                  <w:r>
                    <w:t xml:space="preserve">OE5 — Construir taxonomía estructurada</w:t>
                  </w:r>
                </w:p>
              </w:tc>
              <w:tc>
                <w:tcPr/>
                <w:p>
                  <w:pPr>
                    <w:pStyle w:val="Compact"/>
                    <w:jc w:val="both"/>
                    <w:spacing w:line="360" w:lineRule="auto"/>
                  </w:pPr>
                  <w:r>
                    <w:t xml:space="preserve">Completado. Véase el Capítulo 5.</w:t>
                  </w:r>
                </w:p>
              </w:tc>
            </w:tr>
            <w:tr>
              <w:tc>
                <w:tcPr/>
                <w:p>
                  <w:pPr>
                    <w:pStyle w:val="Compact"/>
                    <w:jc w:val="both"/>
                    <w:spacing w:line="360" w:lineRule="auto"/>
                  </w:pPr>
                  <w:r>
                    <w:t xml:space="preserve">OE6 — Cuantificar fiabilidad de evaluadores semánticos LLM</w:t>
                  </w:r>
                </w:p>
              </w:tc>
              <w:tc>
                <w:tcPr/>
                <w:p>
                  <w:pPr>
                    <w:pStyle w:val="Compact"/>
                    <w:jc w:val="both"/>
                    <w:spacing w:line="360" w:lineRule="auto"/>
                  </w:pPr>
                  <w:r>
                    <w:t xml:space="preserve">Completado (resultado negativo). EXP4: ICC(1,1) entre 0.321 y 0.601 en 7 dimensiones; ninguna alcanza umbral</w:t>
                  </w:r>
                  <w:r>
                    <w:t xml:space="preserve"> </w:t>
                  </w:r>
                  <ns1:oMath>
                    <ns1:r>
                      <ns1:rPr>
                        <ns1:sty ns1:val="p"/>
                      </ns1:rPr>
                      <ns1:t>≥</ns1:t>
                    </ns1:r>
                    <ns1:r>
                      <ns1:t>0.75</ns1:t>
                    </ns1:r>
                  </ns1:oMath>
                  <w:r>
                    <w:t xml:space="preserve">. Véase §sec-exp4-fiabilidad.</w:t>
                  </w:r>
                </w:p>
              </w:tc>
            </w:tr>
          </w:tbl>
          <w:bookmarkEnd w:id="174"/>
          <w:p>
            <w:pPr>
              <w:spacing w:line="360" w:lineRule="auto"/>
              <w:jc w:val="both"/>
            </w:pPr>
          </w:p>
        </w:tc>
      </w:tr>
    </w:tbl>
    <w:bookmarkEnd w:id="175"/>
    <w:bookmarkStart w:id="179" w:name="sec-contribuciones"/>
    <w:p>
      <w:pPr>
        <w:pStyle w:val="Ttulo2"/>
        <w:spacing w:line="360" w:lineRule="auto"/>
        <w:jc w:val="both"/>
      </w:pPr>
      <w:r>
        <w:t xml:space="preserve">Contribuciones científicas</w:t>
      </w:r>
    </w:p>
    <w:bookmarkStart w:id="176" w:name="X2e7af289f3df14f7e31f2445fc83a79cfc8b431"/>
    <w:p>
      <w:pPr>
        <w:pStyle w:val="Ttulo3"/>
        <w:spacing w:line="360" w:lineRule="auto"/>
        <w:jc w:val="both"/>
      </w:pP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76"/>
    <w:bookmarkStart w:id="177" w:name="X93d1d918ce055ba24ba9e9f0b305f424c9a5ca8"/>
    <w:p>
      <w:pPr>
        <w:pStyle w:val="Ttulo3"/>
        <w:spacing w:line="360" w:lineRule="auto"/>
        <w:jc w:val="both"/>
      </w:pP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&gt;</ns1:t>
        </ns1:r>
        <ns1:r>
          <ns1:t>2.8</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and Verbert 2024; Burger et al. 2023)</w:t>
      </w:r>
      <w:r>
        <w:t xml:space="preserve">. Específicamente, la inestabilidad de LIME no</w:t>
      </w:r>
      <w:r>
        <w:t xml:space="preserve"> </w:t>
      </w:r>
      <w:r>
        <w:t xml:space="preserve">es un artefacto de escenarios extremos ni de un presupuesto de muestreo</w:t>
      </w:r>
      <w:r>
        <w:t xml:space="preserve"> </w:t>
      </w:r>
      <w:r>
        <w:t xml:space="preserve">insuficiente, sino una propiedad reproducible del método bajo las condiciones</w:t>
      </w:r>
      <w:r>
        <w:t xml:space="preserve"> </w:t>
      </w:r>
      <w:r>
        <w:t xml:space="preserve">controladas del benchmark —y, como delimitan §sec-limitaciones y §sec-exp3-nota,</w:t>
      </w:r>
      <w:r>
        <w:t xml:space="preserve"> </w:t>
      </w:r>
      <w:r>
        <w:t xml:space="preserve">una propiedad del par (configuración, espacio de características) más que del</w:t>
      </w:r>
      <w:r>
        <w:t xml:space="preserve"> </w:t>
      </w:r>
      <w:r>
        <w:t xml:space="preserve">método en abstracto. Esta demostración cuantifica el riesgo de usar LIME en</w:t>
      </w:r>
      <w:r>
        <w:t xml:space="preserve"> </w:t>
      </w:r>
      <w:r>
        <w:t xml:space="preserve">contextos donde se exija consistencia explicativa (auditoría, decisiones de alto</w:t>
      </w:r>
      <w:r>
        <w:t xml:space="preserve"> </w:t>
      </w:r>
      <w:r>
        <w:t xml:space="preserve">riesgo) sin haber medido antes su estabilidad en el espacio de despliegue, un</w:t>
      </w:r>
      <w:r>
        <w:t xml:space="preserve"> </w:t>
      </w:r>
      <w:r>
        <w:t xml:space="preserve">riesgo que los trabajos de referencia sobre LIME</w:t>
      </w:r>
      <w:r>
        <w:t xml:space="preserve"> </w:t>
      </w:r>
      <w:r>
        <w:t xml:space="preserve">(Ribeiro 2016)</w:t>
      </w:r>
      <w:r>
        <w:t xml:space="preserve"> </w:t>
      </w:r>
      <w:r>
        <w:t xml:space="preserve">no cuantifican</w:t>
      </w:r>
      <w:r>
        <w:t xml:space="preserve"> </w:t>
      </w:r>
      <w:r>
        <w:t xml:space="preserve">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and Verbert 2024; Arrieta 2019a)</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77"/>
    <w:bookmarkStart w:id="178" w:name="X6583905c1b1630bf3acfdae91528ca52ef61481"/>
    <w:p>
      <w:pPr>
        <w:pStyle w:val="Ttulo3"/>
        <w:spacing w:line="360" w:lineRule="auto"/>
        <w:jc w:val="both"/>
      </w:pP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 El carácter prescriptivo se refiere a la firmeza del criterio</w:t>
      </w:r>
      <w:r>
        <w:t xml:space="preserve"> </w:t>
      </w:r>
      <w:r>
        <w:t xml:space="preserve">dada la evidencia, no a su alcance: cada criterio queda condicionado a las</w:t>
      </w:r>
      <w:r>
        <w:t xml:space="preserve"> </w:t>
      </w:r>
      <w:r>
        <w:t xml:space="preserve">condiciones del benchmark especificadas en</w:t>
      </w:r>
      <w:r>
        <w:t xml:space="preserve"> </w:t>
      </w:r>
      <w:hyperlink w:anchor="tbl-fronteras-generalizacion">
        <w:r>
          <w:rPr>
            <w:rStyle w:val="Hipervnculo"/>
          </w:rPr>
          <w:t xml:space="preserve">Table 7.4</w:t>
        </w:r>
      </w:hyperlink>
      <w:r>
        <w:t xml:space="preserve"> </w:t>
      </w:r>
      <w:r>
        <w:t xml:space="preserve">—dataset Adult Income, clasificación tabular binaria, las cinco familias de</w:t>
      </w:r>
      <w:r>
        <w:t xml:space="preserve"> </w:t>
      </w:r>
      <w:r>
        <w:t xml:space="preserve">modelo evaluadas y las operacionalizaciones métricas del Capítulo 3— y ninguno</w:t>
      </w:r>
      <w:r>
        <w:t xml:space="preserve"> </w:t>
      </w:r>
      <w:r>
        <w:t xml:space="preserve">se extiende a preferencias de usuarios finales, dominios regulados con</w:t>
      </w:r>
      <w:r>
        <w:t xml:space="preserve"> </w:t>
      </w:r>
      <w:r>
        <w:t xml:space="preserve">restricciones normativas propias ni criterios de comprehensibilidad. Con esa</w:t>
      </w:r>
      <w:r>
        <w:t xml:space="preserve"> </w:t>
      </w:r>
      <w:r>
        <w:t xml:space="preserve">delimitación:</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o consistencia explicativa verificables, con la condición de</w:t>
      </w:r>
      <w:r>
        <w:t xml:space="preserve"> </w:t>
      </w:r>
      <w:r>
        <w:t xml:space="preserve">comprobar el umbral en la familia de modelo concreta. Sobre la media global SHAP</w:t>
      </w:r>
      <w:r>
        <w:t xml:space="preserve"> </w:t>
      </w:r>
      <w:r>
        <w:t xml:space="preserve">satisface</w:t>
      </w:r>
      <w:r>
        <w:t xml:space="preserve"> </w:t>
      </w:r>
      <ns1:oMath>
        <ns1:acc>
          <ns1:accPr>
            <ns1:chr ns1:val="‾"/>
          </ns1:accPr>
          <ns1:e>
            <ns1:r>
              <ns1:t>F</ns1:t>
            </ns1:r>
          </ns1:e>
        </ns1:acc>
        <ns1:r>
          <ns1:rPr>
            <ns1:sty ns1:val="p"/>
          </ns1:rPr>
          <ns1:t>=</ns1:t>
        </ns1:r>
        <ns1:r>
          <ns1:t>0.808</ns1:t>
        </ns1:r>
        <ns1:r>
          <ns1:rPr>
            <ns1:sty ns1:val="p"/>
          </ns1:rPr>
          <ns1:t>≥</ns1:t>
        </ns1:r>
        <ns1:r>
          <ns1:t>0.80</ns1:t>
        </ns1:r>
      </ns1:oMath>
      <w:r>
        <w:t xml:space="preserve"> </w:t>
      </w:r>
      <w:r>
        <w:t xml:space="preserve">y</w:t>
      </w:r>
      <w:r>
        <w:t xml:space="preserve"> </w:t>
      </w:r>
      <ns1:oMath>
        <ns1:acc>
          <ns1:accPr>
            <ns1:chr ns1:val="‾"/>
          </ns1:accPr>
          <ns1:e>
            <ns1:r>
              <ns1:t>S</ns1:t>
            </ns1:r>
          </ns1:e>
        </ns1:acc>
        <ns1:r>
          <ns1:rPr>
            <ns1:sty ns1:val="p"/>
          </ns1:rPr>
          <ns1:t>=</ns1:t>
        </ns1:r>
        <ns1:r>
          <ns1:t>0.732</ns1:t>
        </ns1:r>
        <ns1:r>
          <ns1:rPr>
            <ns1:sty ns1:val="p"/>
          </ns1:rPr>
          <ns1:t>≥</ns1:t>
        </ns1:r>
        <ns1:r>
          <ns1:t>0.70</ns1:t>
        </ns1:r>
      </ns1:oMath>
      <w:r>
        <w:t xml:space="preserve">, pero la</w:t>
      </w:r>
      <w:r>
        <w:t xml:space="preserve"> </w:t>
      </w:r>
      <w:r>
        <w:t xml:space="preserve">media global no es el criterio operativo: por familia, la fidelidad alcanza</w:t>
      </w:r>
      <w:r>
        <w:t xml:space="preserve"> </w:t>
      </w:r>
      <ns1:oMath>
        <ns1:r>
          <ns1:rPr>
            <ns1:sty ns1:val="p"/>
          </ns1:rPr>
          <ns1:t>≥</ns1:t>
        </ns1:r>
        <ns1:r>
          <ns1:t>0.80</ns1:t>
        </ns1:r>
      </ns1:oMath>
      <w:r>
        <w:t xml:space="preserve"> </w:t>
      </w:r>
      <w:r>
        <w:t xml:space="preserve">solo en logreg (0.946) y SVM (0.882), y la estabilidad alcanza</w:t>
      </w:r>
      <w:r>
        <w:t xml:space="preserve"> </w:t>
      </w:r>
      <ns1:oMath>
        <ns1:r>
          <ns1:rPr>
            <ns1:sty ns1:val="p"/>
          </ns1:rPr>
          <ns1:t>≥</ns1:t>
        </ns1:r>
        <ns1:r>
          <ns1:t>0.70</ns1:t>
        </ns1:r>
      </ns1:oMath>
      <w:r>
        <w:t xml:space="preserve"> </w:t>
      </w:r>
      <w:r>
        <w:t xml:space="preserve">solo en logreg (0.880), RF (0.949) y SVM (0.925), descendiendo a</w:t>
      </w:r>
      <w:r>
        <w:t xml:space="preserve"> </w:t>
      </w:r>
      <w:r>
        <w:t xml:space="preserve">0.575 en XGBoost y 0.331 en MLP. Para modelos basados en árboles, TreeSHAP</w:t>
      </w:r>
      <w:r>
        <w:t xml:space="preserve"> </w:t>
      </w:r>
      <w:r>
        <w:t xml:space="preserve">reduce el coste en dos o tres órdenes de magnitud respecto a KernelSHAP —21 ms</w:t>
      </w:r>
      <w:r>
        <w:t xml:space="preserve"> </w:t>
      </w:r>
      <w:r>
        <w:t xml:space="preserve">por instancia en XGBoost y 2,820 ms en Random Forest, frente a 54,231 ms en SVM—</w:t>
      </w:r>
      <w:r>
        <w:t xml:space="preserve"> </w:t>
      </w:r>
      <w:r>
        <w:t xml:space="preserve">lo que hace esta elección también la más eficiente en XGBoost.</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Las medias por familia de modelo</w:t>
      </w:r>
      <w:r>
        <w:t xml:space="preserve"> </w:t>
      </w:r>
      <w:r>
        <w:t xml:space="preserve">de LIME en logreg/xgb/mlp —73 ms, 122 ms y 52 ms por instancia respectivamente—</w:t>
      </w:r>
      <w:r>
        <w:t xml:space="preserve"> </w:t>
      </w:r>
      <w:r>
        <w:t xml:space="preserve">hacen posible la explicación en tiempo real, con la condición</w:t>
      </w:r>
      <w:r>
        <w:t xml:space="preserve"> </w:t>
      </w:r>
      <w:r>
        <w:t xml:space="preserve">explícita de que las explicaciones no sean comparadas entre ejecuciones. En SVM</w:t>
      </w:r>
      <w:r>
        <w:t xml:space="preserve"> </w:t>
      </w:r>
      <w:r>
        <w:t xml:space="preserve">esa ventaja desaparece: LIME asciende a 17,620 ms de media.</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medias por familia de modelo —15,564 ms</w:t>
      </w:r>
      <w:r>
        <w:t xml:space="preserve"> </w:t>
      </w:r>
      <w:r>
        <w:t xml:space="preserve">(MLP), 37,415 ms (SVM) y 48,955 ms (RF) por instancia— son inviables en</w:t>
      </w:r>
      <w:r>
        <w:t xml:space="preserve"> </w:t>
      </w:r>
      <w:r>
        <w:t xml:space="preserve">producción, y su cobertura analítica cae al 76.0% por no convergencia. Su uso es</w:t>
      </w:r>
      <w:r>
        <w:t xml:space="preserve"> </w:t>
      </w:r>
      <w:r>
        <w:t xml:space="preserve">justificable exclusivamente cuando la</w:t>
      </w:r>
      <w:r>
        <w:t xml:space="preserve"> </w:t>
      </w:r>
      <w:r>
        <w:t xml:space="preserve">forma semántica IF-THEN es un requisito regulatorio o de usuario y el modelo</w:t>
      </w:r>
      <w:r>
        <w:t xml:space="preserve"> </w:t>
      </w:r>
      <w:r>
        <w:t xml:space="preserve">es de complejidad baja (logreg, 2,918 ms).</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puesto que la métrica de atribución no</w:t>
      </w:r>
      <w:r>
        <w:t xml:space="preserve"> </w:t>
      </w:r>
      <w:r>
        <w:t xml:space="preserve">mide lo que DiCE optimiza. Su coste, en cambio, sí es una restricción real y no</w:t>
      </w:r>
      <w:r>
        <w:t xml:space="preserve"> </w:t>
      </w:r>
      <w:r>
        <w:t xml:space="preserve">debe presentarse como moderado: con una media de 28,209 ms por instancia</w:t>
      </w:r>
      <w:r>
        <w:t xml:space="preserve"> </w:t>
      </w:r>
      <w:r>
        <w:t xml:space="preserve">(mediana 11,880 ms) es el segundo más elevado del benchmark, solo por debajo de</w:t>
      </w:r>
      <w:r>
        <w:t xml:space="preserve"> </w:t>
      </w:r>
      <w:r>
        <w:t xml:space="preserve">Anchors (38,159 ms), y varía entre 12,634 ms (MLP) y 66,266 ms (SVM) según la</w:t>
      </w:r>
      <w:r>
        <w:t xml:space="preserve"> </w:t>
      </w:r>
      <w:r>
        <w:t xml:space="preserve">familia de modelo. DiCE se justifica cuando el recourse es el objetivo y no</w:t>
      </w:r>
      <w:r>
        <w:t xml:space="preserve"> </w:t>
      </w:r>
      <w:r>
        <w:t xml:space="preserve">existe sustituto, no por eficiencia.</w:t>
      </w:r>
    </w:p>
    <w:bookmarkEnd w:id="178"/>
    <w:bookmarkEnd w:id="179"/>
    <w:bookmarkStart w:id="181" w:name="sec-posicionamiento"/>
    <w:p>
      <w:pPr>
        <w:pStyle w:val="Ttulo2"/>
        <w:spacing w:line="360" w:lineRule="auto"/>
        <w:jc w:val="both"/>
      </w:pP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Table 7.3</w:t>
        </w:r>
      </w:hyperlink>
      <w:r>
        <w:t xml:space="preserve"> </w:t>
      </w:r>
      <w:r>
        <w:t xml:space="preserve">realiza esta separación de forma explícita.</w:t>
      </w:r>
    </w:p>
    <w:tbl>
      <w:tblPr>
        <w:tblStyle w:val="Table"/>
        <w:tblW w:type="pct" w:w="5000"/>
        <w:tblLayout w:type="fixed"/>
        <w:tblLook w:firstRow="0" w:lastRow="0" w:firstColumn="0" w:lastColumn="0" w:noHBand="0" w:noVBand="0" w:val="0000"/>
      </w:tblPr>
      <w:tblGrid>
        <w:gridCol w:w="7920"/>
      </w:tblGrid>
      <w:tr>
        <w:tc>
          <w:tcPr/>
          <w:bookmarkStart w:id="180" w:name="tbl-contribucion-separacion"/>
          <w:p>
            <w:pPr>
              <w:jc w:val="both"/>
              <w:spacing w:line="360" w:lineRule="auto"/>
            </w:pPr>
            <w:pPr>
              <w:jc w:val="left"/>
              <w:spacing w:before="200"/>
              <w:pStyle w:val="ImageCaption"/>
            </w:pPr>
            <w:r>
              <w:t xml:space="preserve">Table 7.3: Separación de contribuciones respecto a los trabajos más cercanos.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Contribución</w:t>
                  </w:r>
                </w:p>
              </w:tc>
              <w:tc>
                <w:tcPr/>
                <w:p>
                  <w:pPr>
                    <w:pStyle w:val="Compact"/>
                    <w:jc w:val="both"/>
                    <w:jc w:val="center"/>
                    <w:spacing w:line="360" w:lineRule="auto"/>
                  </w:pPr>
                  <w:r>
                    <w:t xml:space="preserve">Trabajos más cercanos</w:t>
                  </w:r>
                </w:p>
              </w:tc>
              <w:tc>
                <w:tcPr/>
                <w:p>
                  <w:pPr>
                    <w:pStyle w:val="Compact"/>
                    <w:jc w:val="both"/>
                    <w:jc w:val="center"/>
                    <w:spacing w:line="360" w:lineRule="auto"/>
                  </w:pPr>
                  <w:r>
                    <w:t xml:space="preserve">En qué se solapa</w:t>
                  </w:r>
                </w:p>
              </w:tc>
              <w:tc>
                <w:tcPr/>
                <w:p>
                  <w:pPr>
                    <w:pStyle w:val="Compact"/>
                    <w:jc w:val="both"/>
                    <w:jc w:val="center"/>
                    <w:spacing w:line="360" w:lineRule="auto"/>
                  </w:pPr>
                  <w: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80"/>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1"/>
    <w:bookmarkStart w:id="182" w:name="sec-limitaciones"/>
    <w:p>
      <w:pPr>
        <w:pStyle w:val="Ttulo2"/>
        <w:spacing w:line="360" w:lineRule="auto"/>
        <w:jc w:val="both"/>
      </w:pP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and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Alcance de la inestabilidad de LIME.</w:t>
      </w:r>
      <w:r>
        <w:t xml:space="preserve"> </w:t>
      </w:r>
      <w:r>
        <w:t xml:space="preserve">La inestabilidad de LIME observada en EXP2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lo que descarta que el resultado sea un artefacto de convergencia del muestreo. La sensibilidad al ancho del kernel, en cambio, sí es sustantiva. Un análisis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—de modo que 3.0 es el mínimo viable— pero que</w:t>
      </w:r>
      <w:r>
        <w:t xml:space="preserve"> </w:t>
      </w:r>
      <w:r>
        <w:rPr>
          <w:rStyle w:val="VerbatimChar"/>
        </w:rPr>
        <w:t xml:space="preserve">kernel_width = 10.0</w:t>
      </w:r>
      <w:r>
        <w:t xml:space="preserve"> </w:t>
      </w:r>
      <w:r>
        <w:t xml:space="preserve">recupera una estabilidad de 0.664 a costa de la fidelidad, que desciende de 0.518 a 0.441 (Apéndice C,</w:t>
      </w:r>
      <w:r>
        <w:t xml:space="preserve"> </w:t>
      </w:r>
      <w:hyperlink w:anchor="tbl-appendix-lime-kw-sensitivity">
        <w:r>
          <w:rPr>
            <w:rStyle w:val="Hipervnculo"/>
          </w:rPr>
          <w:t xml:space="preserve">Table 7.11</w:t>
        </w:r>
      </w:hyperlink>
      <w:r>
        <w:t xml:space="preserve">).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(§sec-exp3-nota) confirma esta lectura desde el otro extremo: con el mismo</w:t>
      </w:r>
      <w:r>
        <w:t xml:space="preserve"> </w:t>
      </w:r>
      <w:r>
        <w:rPr>
          <w:rStyle w:val="VerbatimChar"/>
        </w:rPr>
        <w:t xml:space="preserve">kernel_width = 3.0</w:t>
      </w:r>
      <w:r>
        <w:t xml:space="preserve">,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0.34</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2"/>
    <w:bookmarkStart w:id="185" w:name="sec-fronteras"/>
    <w:p>
      <w:pPr>
        <w:pStyle w:val="Ttulo2"/>
        <w:spacing w:line="360" w:lineRule="auto"/>
        <w:jc w:val="both"/>
      </w:pP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Table 7.4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tblLayout w:type="fixed"/>
        <w:tblLook w:firstRow="0" w:lastRow="0" w:firstColumn="0" w:lastColumn="0" w:noHBand="0" w:noVBand="0" w:val="0000"/>
      </w:tblPr>
      <w:tblGrid>
        <w:gridCol w:w="7920"/>
      </w:tblGrid>
      <w:tr>
        <w:tc>
          <w:tcPr/>
          <w:bookmarkStart w:id="183" w:name="tbl-fronteras-generalizacion"/>
          <w:p>
            <w:pPr>
              <w:jc w:val="both"/>
              <w:spacing w:line="360" w:lineRule="auto"/>
            </w:pPr>
            <w:pPr>
              <w:jc w:val="left"/>
              <w:spacing w:before="200"/>
              <w:pStyle w:val="ImageCaption"/>
            </w:pPr>
            <w:r>
              <w:t xml:space="preserve">Table 7.4: Fronteras de generalización de los hallazgos principales.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Afirmación</w:t>
                  </w:r>
                </w:p>
              </w:tc>
              <w:tc>
                <w:tcPr/>
                <w:p>
                  <w:pPr>
                    <w:pStyle w:val="Compact"/>
                    <w:jc w:val="both"/>
                    <w:jc w:val="center"/>
                    <w:spacing w:line="360" w:lineRule="auto"/>
                  </w:pPr>
                  <w:r>
                    <w:t xml:space="preserve">Soportada para</w:t>
                  </w:r>
                </w:p>
              </w:tc>
              <w:tc>
                <w:tcPr/>
                <w:p>
                  <w:pPr>
                    <w:pStyle w:val="Compact"/>
                    <w:jc w:val="both"/>
                    <w:jc w:val="center"/>
                    <w:spacing w:line="360" w:lineRule="auto"/>
                  </w:pPr>
                  <w:r>
                    <w:t xml:space="preserve">No soportada para</w:t>
                  </w:r>
                </w:p>
              </w:tc>
              <w:tc>
                <w:tcPr/>
                <w:p>
                  <w:pPr>
                    <w:pStyle w:val="Compact"/>
                    <w:jc w:val="both"/>
                    <w:jc w:val="center"/>
                    <w:spacing w:line="360" w:lineRule="auto"/>
                  </w:pPr>
                  <w: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§sec-exp3-nota).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casi total en la condición medida (CV=86%, media≈0.014)</w:t>
                  </w:r>
                </w:p>
              </w:tc>
              <w:tc>
                <w:tcPr/>
                <w:p>
                  <w:pPr>
                    <w:pStyle w:val="Compact"/>
                    <w:jc w:val="both"/>
                    <w:jc w:val="center"/>
                    <w:spacing w:line="360" w:lineRule="auto"/>
                  </w:pPr>
                  <w:r>
                    <w:t xml:space="preserve">UCI Adult Income; espacio preprocesado de 103 dimensiones predominantemente binario;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Otros espacios de características o datasets —§sec-exp3-nota mide 0.748–0.927 en Breast Cancer y German Credit bajo la misma configuración—; otros anchos de kernel (</w:t>
                  </w:r>
                  <w:r>
                    <w:rPr>
                      <w:rStyle w:val="VerbatimChar"/>
                    </w:rPr>
                    <w:t xml:space="preserve">kernel_width=10.0</w:t>
                  </w:r>
                  <w:r>
                    <w:t xml:space="preserve"> </w:t>
                  </w:r>
                  <w:r>
                    <w:t xml:space="preserve">produce 0.664, Apéndice C); otras definiciones de estabilidad (distancia Lipschitz local, varianza de pesos)</w:t>
                  </w:r>
                </w:p>
              </w:tc>
              <w:tc>
                <w:tcPr/>
                <w:p>
                  <w:pPr>
                    <w:pStyle w:val="Compact"/>
                    <w:jc w:val="both"/>
                    <w:jc w:val="center"/>
                    <w:spacing w:line="360" w:lineRule="auto"/>
                  </w:pPr>
                  <w:r>
                    <w:t xml:space="preserve">Interacción entre</w:t>
                  </w:r>
                  <w:r>
                    <w:t xml:space="preserve"> </w:t>
                  </w:r>
                  <w:r>
                    <w:rPr>
                      <w:rStyle w:val="VerbatimChar"/>
                    </w:rPr>
                    <w:t xml:space="preserve">kernel_width</w:t>
                  </w:r>
                  <w:r>
                    <w:t xml:space="preserve"> </w:t>
                  </w:r>
                  <w:r>
                    <w:t xml:space="preserve">y la dimensionalidad del espacio de características; estabilidad bajo esquemas de perturbación no gaussianos; instrumentación de la estabilidad de SHAP en los datasets de EXP3 para obtener el contraste pareado completo</w:t>
                  </w:r>
                </w:p>
              </w:tc>
            </w:tr>
            <w:tr>
              <w:tc>
                <w:tcPr/>
                <w:p>
                  <w:pPr>
                    <w:pStyle w:val="Compact"/>
                    <w:jc w:val="both"/>
                    <w:jc w:val="center"/>
                    <w:spacing w:line="360" w:lineRule="auto"/>
                  </w:pPr>
                  <w:r>
                    <w:t xml:space="preserve">FOM-7 produce resultados reproducibles (CV&lt;3% en fidelidad en el subgrupo replicado RF/</w:t>
                  </w:r>
                  <ns1:oMath>
                    <ns1:r>
                      <ns1:t>N</ns1:t>
                    </ns1:r>
                    <ns1:r>
                      <ns1:rPr>
                        <ns1:sty ns1:val="p"/>
                      </ns1:rPr>
                      <ns1:t>=</ns1:t>
                    </ns1:r>
                    <ns1:r>
                      <ns1:t>100</ns1:t>
                    </ns1:r>
                  </ns1:oMath>
                  <w:r>
                    <w:t xml:space="preserve">; 12.0-12.8% sobre el conjunto completo, frente al umbral del 15% de P1)</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3"/>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4" w:name="sec-exp3-nota"/>
    <w:p>
      <w:pPr>
        <w:pStyle w:val="Ttulo3"/>
        <w:spacing w:line="360" w:lineRule="auto"/>
        <w:jc w:val="both"/>
      </w:pP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and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and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4"/>
    <w:bookmarkEnd w:id="185"/>
    <w:bookmarkStart w:id="186" w:name="sec-futuro"/>
    <w:p>
      <w:pPr>
        <w:pStyle w:val="Ttulo2"/>
        <w:spacing w:line="360" w:lineRule="auto"/>
        <w:jc w:val="both"/>
      </w:pP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(§sec-exp4-fiabilidad)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§sec-exp4-fiabilidad (especificación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86"/>
    <w:bookmarkStart w:id="187" w:name="sec-sintesis"/>
    <w:p>
      <w:pPr>
        <w:pStyle w:val="Ttulo2"/>
        <w:spacing w:line="360" w:lineRule="auto"/>
        <w:jc w:val="both"/>
      </w:pP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estructural documentada;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and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puede exhibir inestabilidad casi total —no marginal,</w:t>
      </w:r>
      <w:r>
        <w:t xml:space="preserve"> </w:t>
      </w:r>
      <w:r>
        <w:t xml:space="preserve">sino sistemática, con CV=86.2% y similitud coseno media de 0.014 bajo la</w:t>
      </w:r>
      <w:r>
        <w:t xml:space="preserve"> </w:t>
      </w:r>
      <w:r>
        <w:t xml:space="preserve">configuración de referencia en el espacio de 103 dimensiones de Adult Income—</w:t>
      </w:r>
      <w:r>
        <w:t xml:space="preserve"> </w:t>
      </w:r>
      <w:r>
        <w:t xml:space="preserve">es relevante para cualquier sistema de apoyo a la decisión que emplee LIME en</w:t>
      </w:r>
      <w:r>
        <w:t xml:space="preserve"> </w:t>
      </w:r>
      <w:r>
        <w:t xml:space="preserve">entornos de auditoría, regulación o alto riesgo. El contexto normativo actual</w:t>
      </w:r>
      <w:r>
        <w:t xml:space="preserve"> </w:t>
      </w:r>
      <w:r>
        <w:t xml:space="preserve">(EU AI Act, GDPR Art. 22) demanda explicaciones verificables y consistentes; un</w:t>
      </w:r>
      <w:r>
        <w:t xml:space="preserve"> </w:t>
      </w:r>
      <w:r>
        <w:t xml:space="preserve">método que produce explicaciones casi ortogonales entre dos ejecuciones de la</w:t>
      </w:r>
      <w:r>
        <w:t xml:space="preserve"> </w:t>
      </w:r>
      <w:r>
        <w:t xml:space="preserve">misma instancia no satisface ese requisito. La implicación operativa, sin</w:t>
      </w:r>
      <w:r>
        <w:t xml:space="preserve"> </w:t>
      </w:r>
      <w:r>
        <w:t xml:space="preserve">embargo, no es que LIME deba descartarse universalmente: EXP3 muestra</w:t>
      </w:r>
      <w:r>
        <w:t xml:space="preserve"> </w:t>
      </w:r>
      <w:r>
        <w:t xml:space="preserve">estabilidades de 0.748–0.927 en espacios de menor dimensión con la misma</w:t>
      </w:r>
      <w:r>
        <w:t xml:space="preserve"> </w:t>
      </w:r>
      <w:r>
        <w:t xml:space="preserve">configuración, y el ancho del kernel modula el resultado dentro de un mismo</w:t>
      </w:r>
      <w:r>
        <w:t xml:space="preserve"> </w:t>
      </w:r>
      <w:r>
        <w:t xml:space="preserve">espacio (§sec-limitaciones). La conclusión defendible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w:t>
      </w:r>
      <w:r>
        <w:t xml:space="preserve">y delimitada por ambos análisis— es que la</w:t>
      </w:r>
      <w:r>
        <w:t xml:space="preserve"> </w:t>
      </w:r>
      <w:r>
        <w:t xml:space="preserve">estabilidad de LIME es una propiedad contingente del despliegue y no puede</w:t>
      </w:r>
      <w:r>
        <w:t xml:space="preserve"> </w:t>
      </w:r>
      <w:r>
        <w:t xml:space="preserve">presuponerse: en un régimen regulatorio que exige consistencia, debe medirse y</w:t>
      </w:r>
      <w:r>
        <w:t xml:space="preserve"> </w:t>
      </w:r>
      <w:r>
        <w:t xml:space="preserve">documentarse para el espacio de características y la configuración concretos</w:t>
      </w:r>
      <w:r>
        <w:t xml:space="preserve"> </w:t>
      </w:r>
      <w:r>
        <w:t xml:space="preserve">antes de admitir el método como evidencia. Esta es la afirmación de mayor</w:t>
      </w:r>
      <w:r>
        <w:t xml:space="preserve"> </w:t>
      </w:r>
      <w:r>
        <w:t xml:space="preserve">impacto práctico de la tesis: no es un argumento teórico contra LIME, sino la</w:t>
      </w:r>
      <w:r>
        <w:t xml:space="preserve"> </w:t>
      </w:r>
      <w:r>
        <w:t xml:space="preserve">especificación empírica de qué debe verificarse antes de usarlo en el tipo de</w:t>
      </w:r>
      <w:r>
        <w:t xml:space="preserve"> </w:t>
      </w:r>
      <w:r>
        <w:t xml:space="preserve">despliegue que la regulación 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Section 7.6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87"/>
    <w:bookmarkEnd w:id="188"/>
    <w:bookmarkStart w:id="323" w:name="referencias"/>
    <w:p>
      <w:pPr>
        <w:pStyle w:val="Ttulo1"/>
        <w:spacing w:line="360" w:lineRule="auto"/>
        <w:jc w:val="both"/>
      </w:pPr>
      <w:r>
        <w:t xml:space="preserve">Referencias</w:t>
      </w:r>
    </w:p>
    <w:bookmarkStart w:id="322" w:name="refs"/>
    <w:bookmarkStart w:id="190" w:name="ref-abdul2018"/>
    <w:p>
      <w:pPr>
        <w:pStyle w:val="Bibliography"/>
        <w:spacing w:line="360" w:lineRule="auto"/>
        <w:jc w:val="both"/>
      </w:pPr>
      <w:r>
        <w:t xml:space="preserve">Abdul, Ashraf, Jo Vermeulen, Danding Wang, Brian Y. Lim, and Mohan Kankanhalli. 2018.</w:t>
      </w:r>
      <w:r>
        <w:t xml:space="preserve"> </w:t>
      </w:r>
      <w:r>
        <w:t xml:space="preserve">“Trends and Trajectories for Explainable, Accountable and Intelligible Systems: An HCI Research Agenda.”</w:t>
      </w:r>
      <w:r>
        <w:t xml:space="preserve"> </w:t>
      </w:r>
      <w:r>
        <w:rPr>
          <w:i/>
          <w:iCs/>
        </w:rPr>
        <w:t xml:space="preserve">Proceedings of the 2018 CHI Conference on Human Factors in Computing Systems</w:t>
      </w:r>
      <w:r>
        <w:t xml:space="preserve">, 1–18.</w:t>
      </w:r>
      <w:r>
        <w:t xml:space="preserve"> </w:t>
      </w:r>
      <w:hyperlink ns5:id="rId189">
        <w:r>
          <w:rPr>
            <w:rStyle w:val="Hipervnculo"/>
          </w:rPr>
          <w:t xml:space="preserve">https://doi.org/10.1145/3173574.3174156</w:t>
        </w:r>
      </w:hyperlink>
      <w:r>
        <w:t xml:space="preserve">.</w:t>
      </w:r>
    </w:p>
    <w:bookmarkEnd w:id="190"/>
    <w:bookmarkStart w:id="192" w:name="ref-abdulkadir2023"/>
    <w:p>
      <w:pPr>
        <w:pStyle w:val="Bibliography"/>
        <w:spacing w:line="360" w:lineRule="auto"/>
        <w:jc w:val="both"/>
      </w:pPr>
      <w:r>
        <w:t xml:space="preserve">Abdul Kadir, M., A. Mosavi, and D. Sonntag. 2023.</w:t>
      </w:r>
      <w:r>
        <w:t xml:space="preserve"> </w:t>
      </w:r>
      <w:r>
        <w:t xml:space="preserve">“Evaluation Metrics for XAI: A Review, Taxonomy, and Practical Applications.”</w:t>
      </w:r>
      <w:r>
        <w:t xml:space="preserve"> </w:t>
      </w:r>
      <w:r>
        <w:rPr>
          <w:i/>
          <w:iCs/>
        </w:rPr>
        <w:t xml:space="preserve">INES 2023 Proceedings</w:t>
      </w:r>
      <w:r>
        <w:t xml:space="preserve">, ahead of print.</w:t>
      </w:r>
      <w:r>
        <w:t xml:space="preserve"> </w:t>
      </w:r>
      <w:hyperlink ns5:id="rId191">
        <w:r>
          <w:rPr>
            <w:rStyle w:val="Hipervnculo"/>
          </w:rPr>
          <w:t xml:space="preserve">https://doi.org/10.1109/INES59045.2023.1030000</w:t>
        </w:r>
      </w:hyperlink>
      <w:r>
        <w:t xml:space="preserve">.</w:t>
      </w:r>
    </w:p>
    <w:bookmarkEnd w:id="192"/>
    <w:bookmarkStart w:id="194"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 </w:t>
      </w:r>
      <w:r>
        <w:rPr>
          <w:i/>
          <w:iCs/>
        </w:rPr>
        <w:t xml:space="preserve">IEEE Access, 6, 52138–52160</w:t>
      </w:r>
      <w:r>
        <w:t xml:space="preserve">, ahead of print.</w:t>
      </w:r>
      <w:r>
        <w:t xml:space="preserve"> </w:t>
      </w:r>
      <w:hyperlink ns5:id="rId193">
        <w:r>
          <w:rPr>
            <w:rStyle w:val="Hipervnculo"/>
          </w:rPr>
          <w:t xml:space="preserve">https://doi.org/10.1109/access.2018.2870052</w:t>
        </w:r>
      </w:hyperlink>
      <w:r>
        <w:t xml:space="preserve">.</w:t>
      </w:r>
    </w:p>
    <w:bookmarkEnd w:id="194"/>
    <w:bookmarkStart w:id="195"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 </w:t>
      </w:r>
      <w:r>
        <w:rPr>
          <w:i/>
          <w:iCs/>
        </w:rPr>
        <w:t xml:space="preserve">Advances in Neural Information Processing Systems (NeurIPS)</w:t>
      </w:r>
      <w:r>
        <w:t xml:space="preserve">.</w:t>
      </w:r>
    </w:p>
    <w:bookmarkEnd w:id="195"/>
    <w:bookmarkStart w:id="197"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 </w:t>
      </w:r>
      <w:r>
        <w:rPr>
          <w:i/>
          <w:iCs/>
        </w:rPr>
        <w:t xml:space="preserve">Information Fusion, 99, 101805</w:t>
      </w:r>
      <w:r>
        <w:t xml:space="preserve">, ahead of print.</w:t>
      </w:r>
      <w:r>
        <w:t xml:space="preserve"> </w:t>
      </w:r>
      <w:hyperlink ns5:id="rId196">
        <w:r>
          <w:rPr>
            <w:rStyle w:val="Hipervnculo"/>
          </w:rPr>
          <w:t xml:space="preserve">https://doi.org/10.1016/j.inffus.2023.101805</w:t>
        </w:r>
      </w:hyperlink>
      <w:r>
        <w:t xml:space="preserve">.</w:t>
      </w:r>
    </w:p>
    <w:bookmarkEnd w:id="197"/>
    <w:bookmarkStart w:id="199"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 </w:t>
      </w:r>
      <w:r>
        <w:rPr>
          <w:i/>
          <w:iCs/>
        </w:rPr>
        <w:t xml:space="preserve">Annual Review of Statistics and Its Application, 11(1), 97–121</w:t>
      </w:r>
      <w:r>
        <w:t xml:space="preserve">, ahead of print.</w:t>
      </w:r>
      <w:r>
        <w:t xml:space="preserve"> </w:t>
      </w:r>
      <w:hyperlink ns5:id="rId198">
        <w:r>
          <w:rPr>
            <w:rStyle w:val="Hipervnculo"/>
          </w:rPr>
          <w:t xml:space="preserve">https://doi.org/10.1146/annurev-statistics-040120-030919</w:t>
        </w:r>
      </w:hyperlink>
      <w:r>
        <w:t xml:space="preserve">.</w:t>
      </w:r>
    </w:p>
    <w:bookmarkEnd w:id="199"/>
    <w:bookmarkStart w:id="201"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 </w:t>
      </w:r>
      <w:r>
        <w:rPr>
          <w:i/>
          <w:iCs/>
        </w:rPr>
        <w:t xml:space="preserve">Technologies, 13(3), 93</w:t>
      </w:r>
      <w:r>
        <w:t xml:space="preserve">, ahead of print.</w:t>
      </w:r>
      <w:r>
        <w:t xml:space="preserve"> </w:t>
      </w:r>
      <w:hyperlink ns5:id="rId200">
        <w:r>
          <w:rPr>
            <w:rStyle w:val="Hipervnculo"/>
          </w:rPr>
          <w:t xml:space="preserve">https://doi.org/10.3390/technologies13030093</w:t>
        </w:r>
      </w:hyperlink>
      <w:r>
        <w:t xml:space="preserve">.</w:t>
      </w:r>
    </w:p>
    <w:bookmarkEnd w:id="201"/>
    <w:bookmarkStart w:id="203" w:name="ref-alvarezmelis2018"/>
    <w:p>
      <w:pPr>
        <w:pStyle w:val="Bibliography"/>
        <w:spacing w:line="360" w:lineRule="auto"/>
        <w:jc w:val="both"/>
      </w:pPr>
      <w:r>
        <w:t xml:space="preserve">Alvarez-Melis, David, and Tommi S. Jaakkola. 2018.</w:t>
      </w:r>
      <w:r>
        <w:t xml:space="preserve"> </w:t>
      </w:r>
      <w:r>
        <w:rPr>
          <w:i/>
          <w:iCs/>
        </w:rPr>
        <w:t xml:space="preserve">On the Robustness of Interpretability Methods</w:t>
      </w:r>
      <w:r>
        <w:t xml:space="preserve">.</w:t>
      </w:r>
      <w:r>
        <w:t xml:space="preserve"> </w:t>
      </w:r>
      <w:hyperlink ns5:id="rId202">
        <w:r>
          <w:rPr>
            <w:rStyle w:val="Hipervnculo"/>
          </w:rPr>
          <w:t xml:space="preserve">https://arxiv.org/abs/1806.08049</w:t>
        </w:r>
      </w:hyperlink>
      <w:r>
        <w:t xml:space="preserve">.</w:t>
      </w:r>
    </w:p>
    <w:bookmarkEnd w:id="203"/>
    <w:bookmarkStart w:id="205"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 </w:t>
      </w:r>
      <w:r>
        <w:rPr>
          <w:i/>
          <w:iCs/>
        </w:rPr>
        <w:t xml:space="preserve">Wiley Interdisciplinary Reviews Data Mining and Knowledge Discovery, 11(5)</w:t>
      </w:r>
      <w:r>
        <w:t xml:space="preserve">, ahead of print.</w:t>
      </w:r>
      <w:r>
        <w:t xml:space="preserve"> </w:t>
      </w:r>
      <w:hyperlink ns5:id="rId204">
        <w:r>
          <w:rPr>
            <w:rStyle w:val="Hipervnculo"/>
          </w:rPr>
          <w:t xml:space="preserve">https://doi.org/10.1002/widm.1424</w:t>
        </w:r>
      </w:hyperlink>
      <w:r>
        <w:t xml:space="preserve">.</w:t>
      </w:r>
    </w:p>
    <w:bookmarkEnd w:id="205"/>
    <w:bookmarkStart w:id="207" w:name="ref-arrieta2019a"/>
    <w:p>
      <w:pPr>
        <w:pStyle w:val="Bibliography"/>
        <w:spacing w:line="360" w:lineRule="auto"/>
        <w:jc w:val="both"/>
      </w:pPr>
      <w:r>
        <w:t xml:space="preserve">Arrieta, Díaz-Rodríguez, A. B. 2019a.</w:t>
      </w:r>
      <w:r>
        <w:t xml:space="preserve"> </w:t>
      </w:r>
      <w:r>
        <w:t xml:space="preserve">“Explainable Artificial Intelligence (XAI): Concepts, Taxonomies, Opportunities and Challenges Toward Responsible AI.”</w:t>
      </w:r>
      <w:r>
        <w:t xml:space="preserve"> </w:t>
      </w:r>
      <w:r>
        <w:rPr>
          <w:i/>
          <w:iCs/>
        </w:rPr>
        <w:t xml:space="preserve">Information Fusion, 58, 82–115</w:t>
      </w:r>
      <w:r>
        <w:t xml:space="preserve">, ahead of print, 2019a.</w:t>
      </w:r>
      <w:r>
        <w:t xml:space="preserve"> </w:t>
      </w:r>
      <w:hyperlink ns5:id="rId206">
        <w:r>
          <w:rPr>
            <w:rStyle w:val="Hipervnculo"/>
          </w:rPr>
          <w:t xml:space="preserve">https://doi.org/10.1016/j.inffus.2019.12.012</w:t>
        </w:r>
      </w:hyperlink>
      <w:r>
        <w:t xml:space="preserve">.</w:t>
      </w:r>
    </w:p>
    <w:bookmarkEnd w:id="207"/>
    <w:bookmarkStart w:id="209"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 </w:t>
      </w:r>
      <w:r>
        <w:rPr>
          <w:i/>
          <w:iCs/>
        </w:rPr>
        <w:t xml:space="preserve">Frontiers in Big Data, 4</w:t>
      </w:r>
      <w:r>
        <w:t xml:space="preserve">, ahead of print.</w:t>
      </w:r>
      <w:r>
        <w:t xml:space="preserve"> </w:t>
      </w:r>
      <w:hyperlink ns5:id="rId208">
        <w:r>
          <w:rPr>
            <w:rStyle w:val="Hipervnculo"/>
          </w:rPr>
          <w:t xml:space="preserve">https://doi.org/10.3389/fdata.2021.688969</w:t>
        </w:r>
      </w:hyperlink>
      <w:r>
        <w:t xml:space="preserve">.</w:t>
      </w:r>
    </w:p>
    <w:bookmarkEnd w:id="209"/>
    <w:bookmarkStart w:id="211" w:name="ref-bhattacharya2024"/>
    <w:p>
      <w:pPr>
        <w:pStyle w:val="Bibliography"/>
        <w:spacing w:line="360" w:lineRule="auto"/>
        <w:jc w:val="both"/>
      </w:pPr>
      <w:r>
        <w:t xml:space="preserve">Bhattacharya, A., and K. Verbert. 2024.</w:t>
      </w:r>
      <w:r>
        <w:t xml:space="preserve"> </w:t>
      </w:r>
      <w:r>
        <w:t xml:space="preserve">“How Good Is Your Explanation?: Towards a Standardised Evaluation Approach for Diverse XAI Methods on Multiple Dimensions of Explainability.”</w:t>
      </w:r>
      <w:r>
        <w:t xml:space="preserve"> </w:t>
      </w:r>
      <w:r>
        <w:rPr>
          <w:i/>
          <w:iCs/>
        </w:rPr>
        <w:t xml:space="preserve">Proceedings of the 32nd ACM Conference on User Modeling, Adaptation and Personalization (UMAP Adjunct ’24)</w:t>
      </w:r>
      <w:r>
        <w:t xml:space="preserve">.</w:t>
      </w:r>
      <w:r>
        <w:t xml:space="preserve"> </w:t>
      </w:r>
      <w:hyperlink ns5:id="rId210">
        <w:r>
          <w:rPr>
            <w:rStyle w:val="Hipervnculo"/>
          </w:rPr>
          <w:t xml:space="preserve">https://doi.org/10.1145/3631700.3664911</w:t>
        </w:r>
      </w:hyperlink>
      <w:r>
        <w:t xml:space="preserve">.</w:t>
      </w:r>
    </w:p>
    <w:bookmarkEnd w:id="211"/>
    <w:bookmarkStart w:id="213" w:name="ref-breiman2001"/>
    <w:p>
      <w:pPr>
        <w:pStyle w:val="Bibliography"/>
        <w:spacing w:line="360" w:lineRule="auto"/>
        <w:jc w:val="both"/>
      </w:pPr>
      <w:r>
        <w:t xml:space="preserve">Breiman, L. 2001.</w:t>
      </w:r>
      <w:r>
        <w:t xml:space="preserve"> </w:t>
      </w:r>
      <w:r>
        <w:t xml:space="preserve">“Random Forests.”</w:t>
      </w:r>
      <w:r>
        <w:t xml:space="preserve"> </w:t>
      </w:r>
      <w:r>
        <w:rPr>
          <w:i/>
          <w:iCs/>
        </w:rPr>
        <w:t xml:space="preserve">Machine Learning, 45(1), 5–32</w:t>
      </w:r>
      <w:r>
        <w:t xml:space="preserve">, ahead of print.</w:t>
      </w:r>
      <w:r>
        <w:t xml:space="preserve"> </w:t>
      </w:r>
      <w:hyperlink ns5:id="rId212">
        <w:r>
          <w:rPr>
            <w:rStyle w:val="Hipervnculo"/>
          </w:rPr>
          <w:t xml:space="preserve">https://doi.org/10.1023/a:1010933404324</w:t>
        </w:r>
      </w:hyperlink>
      <w:r>
        <w:t xml:space="preserve">.</w:t>
      </w:r>
    </w:p>
    <w:bookmarkEnd w:id="213"/>
    <w:bookmarkStart w:id="215" w:name="ref-burger2023"/>
    <w:p>
      <w:pPr>
        <w:pStyle w:val="Bibliography"/>
        <w:spacing w:line="360" w:lineRule="auto"/>
        <w:jc w:val="both"/>
      </w:pPr>
      <w:r>
        <w:t xml:space="preserve">Burger, Christopher, Lingwei Chen, and Thai Le. 2023.</w:t>
      </w:r>
      <w:r>
        <w:t xml:space="preserve"> </w:t>
      </w:r>
      <w:r>
        <w:t xml:space="preserve">“Are Your Explanations Reliable? Investigating the Stability of LIME in Explaining Text Classifiers by Marrying XAI and Adversarial Attack.”</w:t>
      </w:r>
      <w:r>
        <w:t xml:space="preserve"> </w:t>
      </w:r>
      <w:r>
        <w:rPr>
          <w:i/>
          <w:iCs/>
        </w:rPr>
        <w:t xml:space="preserve">Proceedings of the 2023 Conference on Empirical Methods in Natural Language Processing</w:t>
      </w:r>
      <w:r>
        <w:t xml:space="preserve">, 12931–44.</w:t>
      </w:r>
      <w:r>
        <w:t xml:space="preserve"> </w:t>
      </w:r>
      <w:hyperlink ns5:id="rId214">
        <w:r>
          <w:rPr>
            <w:rStyle w:val="Hipervnculo"/>
          </w:rPr>
          <w:t xml:space="preserve">https://doi.org/10.18653/v1/2023.emnlp-main.792</w:t>
        </w:r>
      </w:hyperlink>
      <w:r>
        <w:t xml:space="preserve">.</w:t>
      </w:r>
    </w:p>
    <w:bookmarkEnd w:id="215"/>
    <w:bookmarkStart w:id="217" w:name="ref-canha2025"/>
    <w:p>
      <w:pPr>
        <w:pStyle w:val="Bibliography"/>
        <w:spacing w:line="360" w:lineRule="auto"/>
        <w:jc w:val="both"/>
      </w:pPr>
      <w:r>
        <w:t xml:space="preserve">Canha, D., S. Kubler, K. Främling, and G. Fagherazzi. 2025.</w:t>
      </w:r>
      <w:r>
        <w:t xml:space="preserve"> </w:t>
      </w:r>
      <w:r>
        <w:t xml:space="preserve">“A Functionally-Grounded Benchmark Framework for XAI Methods: Insights and Foundations from a Systematic Literature Review.”</w:t>
      </w:r>
      <w:r>
        <w:t xml:space="preserve"> </w:t>
      </w:r>
      <w:r>
        <w:rPr>
          <w:i/>
          <w:iCs/>
        </w:rPr>
        <w:t xml:space="preserve">ACM Computing Surveys</w:t>
      </w:r>
      <w:r>
        <w:t xml:space="preserve"> </w:t>
      </w:r>
      <w:r>
        <w:t xml:space="preserve">57 (12).</w:t>
      </w:r>
      <w:r>
        <w:t xml:space="preserve"> </w:t>
      </w:r>
      <w:hyperlink ns5:id="rId216">
        <w:r>
          <w:rPr>
            <w:rStyle w:val="Hipervnculo"/>
          </w:rPr>
          <w:t xml:space="preserve">https://doi.org/10.1145/3737445</w:t>
        </w:r>
      </w:hyperlink>
      <w:r>
        <w:t xml:space="preserve">.</w:t>
      </w:r>
    </w:p>
    <w:bookmarkEnd w:id="217"/>
    <w:bookmarkStart w:id="219" w:name="ref-carvalho2019"/>
    <w:p>
      <w:pPr>
        <w:pStyle w:val="Bibliography"/>
        <w:spacing w:line="360" w:lineRule="auto"/>
        <w:jc w:val="both"/>
      </w:pPr>
      <w:r>
        <w:t xml:space="preserve">Carvalho, Diogo V., Eduardo M. Pereira, and Jaime S. Cardoso. 2019.</w:t>
      </w:r>
      <w:r>
        <w:t xml:space="preserve"> </w:t>
      </w:r>
      <w:r>
        <w:t xml:space="preserve">“Machine Learning Interpretability: A Survey on Methods and Metrics.”</w:t>
      </w:r>
      <w:r>
        <w:t xml:space="preserve"> </w:t>
      </w:r>
      <w:r>
        <w:rPr>
          <w:i/>
          <w:iCs/>
        </w:rPr>
        <w:t xml:space="preserve">Electronics</w:t>
      </w:r>
      <w:r>
        <w:t xml:space="preserve"> </w:t>
      </w:r>
      <w:r>
        <w:t xml:space="preserve">8 (8): 832.</w:t>
      </w:r>
      <w:r>
        <w:t xml:space="preserve"> </w:t>
      </w:r>
      <w:hyperlink ns5:id="rId218">
        <w:r>
          <w:rPr>
            <w:rStyle w:val="Hipervnculo"/>
          </w:rPr>
          <w:t xml:space="preserve">https://doi.org/10.3390/electronics8080832</w:t>
        </w:r>
      </w:hyperlink>
      <w:r>
        <w:t xml:space="preserve">.</w:t>
      </w:r>
    </w:p>
    <w:bookmarkEnd w:id="219"/>
    <w:bookmarkStart w:id="221"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 </w:t>
      </w:r>
      <w:r>
        <w:rPr>
          <w:i/>
          <w:iCs/>
        </w:rPr>
        <w:t xml:space="preserve">Journal of Machine Learning Research</w:t>
      </w:r>
      <w:r>
        <w:t xml:space="preserve"> </w:t>
      </w:r>
      <w:r>
        <w:t xml:space="preserve">7: 1–30.</w:t>
      </w:r>
      <w:r>
        <w:t xml:space="preserve"> </w:t>
      </w:r>
      <w:hyperlink ns5:id="rId220">
        <w:r>
          <w:rPr>
            <w:rStyle w:val="Hipervnculo"/>
          </w:rPr>
          <w:t xml:space="preserve">https://www.jmlr.org/papers/v7/demsar06a.html</w:t>
        </w:r>
      </w:hyperlink>
      <w:r>
        <w:t xml:space="preserve">.</w:t>
      </w:r>
    </w:p>
    <w:bookmarkEnd w:id="221"/>
    <w:bookmarkStart w:id="223"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 </w:t>
      </w:r>
      <w:r>
        <w:rPr>
          <w:i/>
          <w:iCs/>
        </w:rPr>
        <w:t xml:space="preserve">arXiv (Cornell University)</w:t>
      </w:r>
      <w:r>
        <w:t xml:space="preserve">, ahead of print.</w:t>
      </w:r>
      <w:r>
        <w:t xml:space="preserve"> </w:t>
      </w:r>
      <w:hyperlink ns5:id="rId222">
        <w:r>
          <w:rPr>
            <w:rStyle w:val="Hipervnculo"/>
          </w:rPr>
          <w:t xml:space="preserve">https://doi.org/10.48550/arxiv.1702.08608</w:t>
        </w:r>
      </w:hyperlink>
      <w:r>
        <w:t xml:space="preserve">.</w:t>
      </w:r>
    </w:p>
    <w:bookmarkEnd w:id="223"/>
    <w:bookmarkStart w:id="225" w:name="ref-dua2019uci"/>
    <w:p>
      <w:pPr>
        <w:pStyle w:val="Bibliography"/>
        <w:spacing w:line="360" w:lineRule="auto"/>
        <w:jc w:val="both"/>
      </w:pPr>
      <w:r>
        <w:t xml:space="preserve">Dua, Dheeru, and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24">
        <w:r>
          <w:rPr>
            <w:rStyle w:val="Hipervnculo"/>
          </w:rPr>
          <w:t xml:space="preserve">http://archive.ics.uci.edu/ml</w:t>
        </w:r>
      </w:hyperlink>
      <w:r>
        <w:t xml:space="preserve">.</w:t>
      </w:r>
    </w:p>
    <w:bookmarkEnd w:id="225"/>
    <w:bookmarkStart w:id="227"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 </w:t>
      </w:r>
      <w:r>
        <w:rPr>
          <w:i/>
          <w:iCs/>
        </w:rPr>
        <w:t xml:space="preserve">Minds and Machines, 28(4), 689–707</w:t>
      </w:r>
      <w:r>
        <w:t xml:space="preserve">, ahead of print.</w:t>
      </w:r>
      <w:r>
        <w:t xml:space="preserve"> </w:t>
      </w:r>
      <w:hyperlink ns5:id="rId226">
        <w:r>
          <w:rPr>
            <w:rStyle w:val="Hipervnculo"/>
          </w:rPr>
          <w:t xml:space="preserve">https://doi.org/10.1007/s11023-018-9482-5</w:t>
        </w:r>
      </w:hyperlink>
      <w:r>
        <w:t xml:space="preserve">.</w:t>
      </w:r>
    </w:p>
    <w:bookmarkEnd w:id="227"/>
    <w:bookmarkStart w:id="229"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 </w:t>
      </w:r>
      <w:r>
        <w:rPr>
          <w:i/>
          <w:iCs/>
        </w:rPr>
        <w:t xml:space="preserve">Journal of the American Statistical Association</w:t>
      </w:r>
      <w:r>
        <w:t xml:space="preserve"> </w:t>
      </w:r>
      <w:r>
        <w:t xml:space="preserve">32 (200): 675–701.</w:t>
      </w:r>
      <w:r>
        <w:t xml:space="preserve"> </w:t>
      </w:r>
      <w:hyperlink ns5:id="rId228">
        <w:r>
          <w:rPr>
            <w:rStyle w:val="Hipervnculo"/>
          </w:rPr>
          <w:t xml:space="preserve">https://doi.org/10.1080/01621459.1937.10503522</w:t>
        </w:r>
      </w:hyperlink>
      <w:r>
        <w:t xml:space="preserve">.</w:t>
      </w:r>
    </w:p>
    <w:bookmarkEnd w:id="229"/>
    <w:bookmarkStart w:id="231"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 </w:t>
      </w:r>
      <w:r>
        <w:rPr>
          <w:i/>
          <w:iCs/>
        </w:rPr>
        <w:t xml:space="preserve">2022 IEEE 9th International Conference on Data Science and Advanced Analytics (DSAA), 80–89</w:t>
      </w:r>
      <w:r>
        <w:t xml:space="preserve">, ahead of print.</w:t>
      </w:r>
      <w:r>
        <w:t xml:space="preserve"> </w:t>
      </w:r>
      <w:hyperlink ns5:id="rId230">
        <w:r>
          <w:rPr>
            <w:rStyle w:val="Hipervnculo"/>
          </w:rPr>
          <w:t xml:space="preserve">https://doi.org/10.1109/dsaa.2018.00018</w:t>
        </w:r>
      </w:hyperlink>
      <w:r>
        <w:t xml:space="preserve">.</w:t>
      </w:r>
    </w:p>
    <w:bookmarkEnd w:id="231"/>
    <w:bookmarkStart w:id="233" w:name="ref-guidotti2018"/>
    <w:p>
      <w:pPr>
        <w:pStyle w:val="Bibliography"/>
        <w:spacing w:line="360" w:lineRule="auto"/>
        <w:jc w:val="both"/>
      </w:pPr>
      <w:r>
        <w:t xml:space="preserve">Guidotti, Riccardo, Anna Monreale, Salvatore Ruggieri, Franco Turini, Fosca Giannotti, and Dino Pedreschi. 2018.</w:t>
      </w:r>
      <w:r>
        <w:t xml:space="preserve"> </w:t>
      </w:r>
      <w:r>
        <w:t xml:space="preserve">“A Survey of Methods for Explaining Black Box Models.”</w:t>
      </w:r>
      <w:r>
        <w:t xml:space="preserve"> </w:t>
      </w:r>
      <w:r>
        <w:rPr>
          <w:i/>
          <w:iCs/>
        </w:rPr>
        <w:t xml:space="preserve">ACM Computing Surveys</w:t>
      </w:r>
      <w:r>
        <w:t xml:space="preserve"> </w:t>
      </w:r>
      <w:r>
        <w:t xml:space="preserve">51 (5): 1–42.</w:t>
      </w:r>
      <w:r>
        <w:t xml:space="preserve"> </w:t>
      </w:r>
      <w:hyperlink ns5:id="rId232">
        <w:r>
          <w:rPr>
            <w:rStyle w:val="Hipervnculo"/>
          </w:rPr>
          <w:t xml:space="preserve">https://doi.org/10.1145/3236009</w:t>
        </w:r>
      </w:hyperlink>
      <w:r>
        <w:t xml:space="preserve">.</w:t>
      </w:r>
    </w:p>
    <w:bookmarkEnd w:id="233"/>
    <w:bookmarkStart w:id="235" w:name="ref-hase2020"/>
    <w:p>
      <w:pPr>
        <w:pStyle w:val="Bibliography"/>
        <w:spacing w:line="360" w:lineRule="auto"/>
        <w:jc w:val="both"/>
      </w:pPr>
      <w:r>
        <w:t xml:space="preserve">Hase, Peter, and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34">
        <w:r>
          <w:rPr>
            <w:rStyle w:val="Hipervnculo"/>
          </w:rPr>
          <w:t xml:space="preserve">https://doi.org/10.18653/v1/2020.acl-main.491</w:t>
        </w:r>
      </w:hyperlink>
      <w:r>
        <w:t xml:space="preserve">.</w:t>
      </w:r>
    </w:p>
    <w:bookmarkEnd w:id="235"/>
    <w:bookmarkStart w:id="237"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 </w:t>
      </w:r>
      <w:r>
        <w:rPr>
          <w:i/>
          <w:iCs/>
        </w:rPr>
        <w:t xml:space="preserve">Cognitive Computation, 16(1), 45–74</w:t>
      </w:r>
      <w:r>
        <w:t xml:space="preserve">, ahead of print.</w:t>
      </w:r>
      <w:r>
        <w:t xml:space="preserve"> </w:t>
      </w:r>
      <w:hyperlink ns5:id="rId236">
        <w:r>
          <w:rPr>
            <w:rStyle w:val="Hipervnculo"/>
          </w:rPr>
          <w:t xml:space="preserve">https://doi.org/10.1007/s12559-023-10179-8</w:t>
        </w:r>
      </w:hyperlink>
      <w:r>
        <w:t xml:space="preserve">.</w:t>
      </w:r>
    </w:p>
    <w:bookmarkEnd w:id="237"/>
    <w:bookmarkStart w:id="238"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 </w:t>
      </w:r>
      <w:r>
        <w:rPr>
          <w:i/>
          <w:iCs/>
        </w:rPr>
        <w:t xml:space="preserve">Journal of Machine Learning Research</w:t>
      </w:r>
      <w:r>
        <w:t xml:space="preserve"> </w:t>
      </w:r>
      <w:r>
        <w:t xml:space="preserve">24 (34): 1–11.</w:t>
      </w:r>
    </w:p>
    <w:bookmarkEnd w:id="238"/>
    <w:bookmarkStart w:id="240" w:name="ref-hoffman2023"/>
    <w:p>
      <w:pPr>
        <w:pStyle w:val="Bibliography"/>
        <w:spacing w:line="360" w:lineRule="auto"/>
        <w:jc w:val="both"/>
      </w:pPr>
      <w:r>
        <w:t xml:space="preserve">Hoffman, Robert R., Timothy Miller, Gary Klein, Shane T. Mueller, and William J. Clancey. 2023.</w:t>
      </w:r>
      <w:r>
        <w:t xml:space="preserve"> </w:t>
      </w:r>
      <w:r>
        <w:t xml:space="preserve">“Increasing the Value of XAI for Users: A Psychological Perspective.”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39">
        <w:r>
          <w:rPr>
            <w:rStyle w:val="Hipervnculo"/>
          </w:rPr>
          <w:t xml:space="preserve">https://doi.org/10.1007/s13218-023-00806-9</w:t>
        </w:r>
      </w:hyperlink>
      <w:r>
        <w:t xml:space="preserve">.</w:t>
      </w:r>
    </w:p>
    <w:bookmarkEnd w:id="240"/>
    <w:bookmarkStart w:id="242"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 </w:t>
      </w:r>
      <w:r>
        <w:rPr>
          <w:i/>
          <w:iCs/>
        </w:rPr>
        <w:t xml:space="preserve">Science</w:t>
      </w:r>
      <w:r>
        <w:t xml:space="preserve"> </w:t>
      </w:r>
      <w:r>
        <w:t xml:space="preserve">359 (6377): 725–26.</w:t>
      </w:r>
      <w:r>
        <w:t xml:space="preserve"> </w:t>
      </w:r>
      <w:hyperlink ns5:id="rId241">
        <w:r>
          <w:rPr>
            <w:rStyle w:val="Hipervnculo"/>
          </w:rPr>
          <w:t xml:space="preserve">https://doi.org/10.1126/science.359.6377.725</w:t>
        </w:r>
      </w:hyperlink>
      <w:r>
        <w:t xml:space="preserve">.</w:t>
      </w:r>
    </w:p>
    <w:bookmarkEnd w:id="242"/>
    <w:bookmarkStart w:id="244" w:name="ref-karimi2022"/>
    <w:p>
      <w:pPr>
        <w:pStyle w:val="Bibliography"/>
        <w:spacing w:line="360" w:lineRule="auto"/>
        <w:jc w:val="both"/>
      </w:pPr>
      <w:r>
        <w:t xml:space="preserve">Karimi, Amir-Hossein, Gilles Barthe, Bernhard Schölkopf, and Isabel Valera. 2022.</w:t>
      </w:r>
      <w:r>
        <w:t xml:space="preserve"> </w:t>
      </w:r>
      <w:r>
        <w:t xml:space="preserve">“A Survey of Algorithmic Recourse: Contrastive Explanations and Consequential Recommendations.”</w:t>
      </w:r>
      <w:r>
        <w:t xml:space="preserve"> </w:t>
      </w:r>
      <w:r>
        <w:rPr>
          <w:i/>
          <w:iCs/>
        </w:rPr>
        <w:t xml:space="preserve">ACM Computing Surveys</w:t>
      </w:r>
      <w:r>
        <w:t xml:space="preserve"> </w:t>
      </w:r>
      <w:r>
        <w:t xml:space="preserve">55 (5): 1–29.</w:t>
      </w:r>
      <w:r>
        <w:t xml:space="preserve"> </w:t>
      </w:r>
      <w:hyperlink ns5:id="rId243">
        <w:r>
          <w:rPr>
            <w:rStyle w:val="Hipervnculo"/>
          </w:rPr>
          <w:t xml:space="preserve">https://doi.org/10.1145/3527848</w:t>
        </w:r>
      </w:hyperlink>
      <w:r>
        <w:t xml:space="preserve">.</w:t>
      </w:r>
    </w:p>
    <w:bookmarkEnd w:id="244"/>
    <w:bookmarkStart w:id="246" w:name="ref-kaur2020"/>
    <w:p>
      <w:pPr>
        <w:pStyle w:val="Bibliography"/>
        <w:spacing w:line="360" w:lineRule="auto"/>
        <w:jc w:val="both"/>
      </w:pPr>
      <w:r>
        <w:t xml:space="preserve">Kaur, Harmanpreet, Harsha Nori, Samuel Jenkins, Rich Caruana, Hanna Wallach, and Jennifer Wortman Vaughan. 2020.</w:t>
      </w:r>
      <w:r>
        <w:t xml:space="preserve"> </w:t>
      </w:r>
      <w:r>
        <w:t xml:space="preserve">“Interpreting Interpretability: Understanding Data Scientists’ Use of Interpretability Tools for Machine Learning.”</w:t>
      </w:r>
      <w:r>
        <w:t xml:space="preserve"> </w:t>
      </w:r>
      <w:r>
        <w:rPr>
          <w:i/>
          <w:iCs/>
        </w:rPr>
        <w:t xml:space="preserve">Proceedings of the 2020 CHI Conference on Human Factors in Computing Systems</w:t>
      </w:r>
      <w:r>
        <w:t xml:space="preserve">, 1–14.</w:t>
      </w:r>
      <w:r>
        <w:t xml:space="preserve"> </w:t>
      </w:r>
      <w:hyperlink ns5:id="rId245">
        <w:r>
          <w:rPr>
            <w:rStyle w:val="Hipervnculo"/>
          </w:rPr>
          <w:t xml:space="preserve">https://doi.org/10.1145/3313831.3376219</w:t>
        </w:r>
      </w:hyperlink>
      <w:r>
        <w:t xml:space="preserve">.</w:t>
      </w:r>
    </w:p>
    <w:bookmarkEnd w:id="246"/>
    <w:bookmarkStart w:id="248" w:name="ref-kohavi1996"/>
    <w:p>
      <w:pPr>
        <w:pStyle w:val="Bibliography"/>
        <w:spacing w:line="360" w:lineRule="auto"/>
        <w:jc w:val="both"/>
      </w:pPr>
      <w:r>
        <w:t xml:space="preserve">Kohavi, Ron, and Barry Becker. 1996.</w:t>
      </w:r>
      <w:r>
        <w:t xml:space="preserve"> </w:t>
      </w:r>
      <w:r>
        <w:rPr>
          <w:i/>
          <w:iCs/>
        </w:rPr>
        <w:t xml:space="preserve">Adult Data Set</w:t>
      </w:r>
      <w:r>
        <w:t xml:space="preserve">. UCI Machine Learning Repository.</w:t>
      </w:r>
      <w:r>
        <w:t xml:space="preserve"> </w:t>
      </w:r>
      <w:hyperlink ns5:id="rId247">
        <w:r>
          <w:rPr>
            <w:rStyle w:val="Hipervnculo"/>
          </w:rPr>
          <w:t xml:space="preserve">https://archive.ics.uci.edu/dataset/2/adult</w:t>
        </w:r>
      </w:hyperlink>
      <w:r>
        <w:t xml:space="preserve">.</w:t>
      </w:r>
    </w:p>
    <w:bookmarkEnd w:id="248"/>
    <w:bookmarkStart w:id="250" w:name="ref-koo2016"/>
    <w:p>
      <w:pPr>
        <w:pStyle w:val="Bibliography"/>
        <w:spacing w:line="360" w:lineRule="auto"/>
        <w:jc w:val="both"/>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ns5:id="rId249">
        <w:r>
          <w:rPr>
            <w:rStyle w:val="Hipervnculo"/>
          </w:rPr>
          <w:t xml:space="preserve">https://doi.org/10.1016/j.jcm.2016.02.012</w:t>
        </w:r>
      </w:hyperlink>
      <w:r>
        <w:t xml:space="preserve">.</w:t>
      </w:r>
    </w:p>
    <w:bookmarkEnd w:id="250"/>
    <w:bookmarkStart w:id="252"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 </w:t>
      </w:r>
      <w:r>
        <w:rPr>
          <w:i/>
          <w:iCs/>
        </w:rPr>
        <w:t xml:space="preserve">Frontiers in Psychology</w:t>
      </w:r>
      <w:r>
        <w:t xml:space="preserve"> </w:t>
      </w:r>
      <w:r>
        <w:t xml:space="preserve">4: 863.</w:t>
      </w:r>
      <w:r>
        <w:t xml:space="preserve"> </w:t>
      </w:r>
      <w:hyperlink ns5:id="rId251">
        <w:r>
          <w:rPr>
            <w:rStyle w:val="Hipervnculo"/>
          </w:rPr>
          <w:t xml:space="preserve">https://doi.org/10.3389/fpsyg.2013.00863</w:t>
        </w:r>
      </w:hyperlink>
      <w:r>
        <w:t xml:space="preserve">.</w:t>
      </w:r>
    </w:p>
    <w:bookmarkEnd w:id="252"/>
    <w:bookmarkStart w:id="254"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 </w:t>
      </w:r>
      <w:r>
        <w:rPr>
          <w:i/>
          <w:iCs/>
        </w:rPr>
        <w:t xml:space="preserve">Artificial Intelligence</w:t>
      </w:r>
      <w:r>
        <w:t xml:space="preserve"> </w:t>
      </w:r>
      <w:r>
        <w:t xml:space="preserve">296: 103473.</w:t>
      </w:r>
      <w:r>
        <w:t xml:space="preserve"> </w:t>
      </w:r>
      <w:hyperlink ns5:id="rId253">
        <w:r>
          <w:rPr>
            <w:rStyle w:val="Hipervnculo"/>
          </w:rPr>
          <w:t xml:space="preserve">https://doi.org/10.1016/j.artint.2021.103473</w:t>
        </w:r>
      </w:hyperlink>
      <w:r>
        <w:t xml:space="preserve">.</w:t>
      </w:r>
    </w:p>
    <w:bookmarkEnd w:id="254"/>
    <w:bookmarkStart w:id="256" w:name="ref-laugel2019"/>
    <w:p>
      <w:pPr>
        <w:pStyle w:val="Bibliography"/>
        <w:spacing w:line="360" w:lineRule="auto"/>
        <w:jc w:val="both"/>
      </w:pPr>
      <w:r>
        <w:t xml:space="preserve">Laugel, Thibault, Marie-Jeanne Lesot, Christophe Marsala, Xavier Renard, and Marcin Detyniecki. 2019.</w:t>
      </w:r>
      <w:r>
        <w:t xml:space="preserve"> </w:t>
      </w:r>
      <w:r>
        <w:t xml:space="preserve">“The Dangers of Post-Hoc Interpretability: Unjustified Counterfactual Explanations.”</w:t>
      </w:r>
      <w:r>
        <w:t xml:space="preserve"> </w:t>
      </w:r>
      <w:r>
        <w:rPr>
          <w:i/>
          <w:iCs/>
        </w:rPr>
        <w:t xml:space="preserve">Proceedings of the Twenty-Eighth International Joint Conference on Artificial Intelligence</w:t>
      </w:r>
      <w:r>
        <w:t xml:space="preserve">, 2801–7.</w:t>
      </w:r>
      <w:r>
        <w:t xml:space="preserve"> </w:t>
      </w:r>
      <w:hyperlink ns5:id="rId255">
        <w:r>
          <w:rPr>
            <w:rStyle w:val="Hipervnculo"/>
          </w:rPr>
          <w:t xml:space="preserve">https://doi.org/10.24963/ijcai.2019/388</w:t>
        </w:r>
      </w:hyperlink>
      <w:r>
        <w:t xml:space="preserve">.</w:t>
      </w:r>
    </w:p>
    <w:bookmarkEnd w:id="256"/>
    <w:bookmarkStart w:id="258"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 </w:t>
      </w:r>
      <w:r>
        <w:rPr>
          <w:i/>
          <w:iCs/>
        </w:rPr>
        <w:t xml:space="preserve">Entropy, 23(1), 18</w:t>
      </w:r>
      <w:r>
        <w:t xml:space="preserve">, ahead of print.</w:t>
      </w:r>
      <w:r>
        <w:t xml:space="preserve"> </w:t>
      </w:r>
      <w:hyperlink ns5:id="rId257">
        <w:r>
          <w:rPr>
            <w:rStyle w:val="Hipervnculo"/>
          </w:rPr>
          <w:t xml:space="preserve">https://doi.org/10.3390/e23010018</w:t>
        </w:r>
      </w:hyperlink>
      <w:r>
        <w:t xml:space="preserve">.</w:t>
      </w:r>
    </w:p>
    <w:bookmarkEnd w:id="258"/>
    <w:bookmarkStart w:id="260" w:name="ref-lipton2018"/>
    <w:p>
      <w:pPr>
        <w:pStyle w:val="Bibliography"/>
        <w:spacing w:line="360" w:lineRule="auto"/>
        <w:jc w:val="both"/>
      </w:pPr>
      <w:r>
        <w:t xml:space="preserve">Lipton, Z. C. 2018.</w:t>
      </w:r>
      <w:r>
        <w:t xml:space="preserve"> </w:t>
      </w:r>
      <w:r>
        <w:t xml:space="preserve">“The Mythos of Model Interpretability.”</w:t>
      </w:r>
      <w:r>
        <w:t xml:space="preserve"> </w:t>
      </w:r>
      <w:r>
        <w:rPr>
          <w:i/>
          <w:iCs/>
        </w:rPr>
        <w:t xml:space="preserve">Queue, 16(3), 31–57</w:t>
      </w:r>
      <w:r>
        <w:t xml:space="preserve">, ahead of print.</w:t>
      </w:r>
      <w:r>
        <w:t xml:space="preserve"> </w:t>
      </w:r>
      <w:hyperlink ns5:id="rId259">
        <w:r>
          <w:rPr>
            <w:rStyle w:val="Hipervnculo"/>
          </w:rPr>
          <w:t xml:space="preserve">https://doi.org/10.1145/3236386.3241340</w:t>
        </w:r>
      </w:hyperlink>
      <w:r>
        <w:t xml:space="preserve">.</w:t>
      </w:r>
    </w:p>
    <w:bookmarkEnd w:id="260"/>
    <w:bookmarkStart w:id="262"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 </w:t>
      </w:r>
      <w:r>
        <w:rPr>
          <w:i/>
          <w:iCs/>
        </w:rPr>
        <w:t xml:space="preserve">arXiv (Cornell University)</w:t>
      </w:r>
      <w:r>
        <w:t xml:space="preserve">, ahead of print.</w:t>
      </w:r>
      <w:r>
        <w:t xml:space="preserve"> </w:t>
      </w:r>
      <w:hyperlink ns5:id="rId261">
        <w:r>
          <w:rPr>
            <w:rStyle w:val="Hipervnculo"/>
          </w:rPr>
          <w:t xml:space="preserve">https://doi.org/10.48550/arxiv.1705.07874</w:t>
        </w:r>
      </w:hyperlink>
      <w:r>
        <w:t xml:space="preserve">.</w:t>
      </w:r>
    </w:p>
    <w:bookmarkEnd w:id="262"/>
    <w:bookmarkStart w:id="264"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 </w:t>
      </w:r>
      <w:r>
        <w:rPr>
          <w:i/>
          <w:iCs/>
        </w:rPr>
        <w:t xml:space="preserve">ICIMMI ’23: Proceedings of the 5th International Conference on Information Management &amp; Machine Intelligence Article No.: 85, 1–9</w:t>
      </w:r>
      <w:r>
        <w:t xml:space="preserve">, ahead of print.</w:t>
      </w:r>
      <w:r>
        <w:t xml:space="preserve"> </w:t>
      </w:r>
      <w:hyperlink ns5:id="rId263">
        <w:r>
          <w:rPr>
            <w:rStyle w:val="Hipervnculo"/>
          </w:rPr>
          <w:t xml:space="preserve">https://doi.org/10.1145/3647444.3647912</w:t>
        </w:r>
      </w:hyperlink>
      <w:r>
        <w:t xml:space="preserve">.</w:t>
      </w:r>
    </w:p>
    <w:bookmarkEnd w:id="264"/>
    <w:bookmarkStart w:id="266"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 </w:t>
      </w:r>
      <w:r>
        <w:rPr>
          <w:i/>
          <w:iCs/>
        </w:rPr>
        <w:t xml:space="preserve">Wiley Interdisciplinary Reviews Data Mining and Knowledge Discovery, 13(3)</w:t>
      </w:r>
      <w:r>
        <w:t xml:space="preserve">, ahead of print.</w:t>
      </w:r>
      <w:r>
        <w:t xml:space="preserve"> </w:t>
      </w:r>
      <w:hyperlink ns5:id="rId265">
        <w:r>
          <w:rPr>
            <w:rStyle w:val="Hipervnculo"/>
          </w:rPr>
          <w:t xml:space="preserve">https://doi.org/10.1002/widm.1493</w:t>
        </w:r>
      </w:hyperlink>
      <w:r>
        <w:t xml:space="preserve">.</w:t>
      </w:r>
    </w:p>
    <w:bookmarkEnd w:id="266"/>
    <w:bookmarkStart w:id="268"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 </w:t>
      </w:r>
      <w:r>
        <w:rPr>
          <w:i/>
          <w:iCs/>
        </w:rPr>
        <w:t xml:space="preserve">Artificial Intelligence</w:t>
      </w:r>
      <w:r>
        <w:t xml:space="preserve"> </w:t>
      </w:r>
      <w:r>
        <w:t xml:space="preserve">267: 1–38.</w:t>
      </w:r>
      <w:r>
        <w:t xml:space="preserve"> </w:t>
      </w:r>
      <w:hyperlink ns5:id="rId267">
        <w:r>
          <w:rPr>
            <w:rStyle w:val="Hipervnculo"/>
          </w:rPr>
          <w:t xml:space="preserve">https://doi.org/10.1016/j.artint.2018.07.007</w:t>
        </w:r>
      </w:hyperlink>
      <w:r>
        <w:t xml:space="preserve">.</w:t>
      </w:r>
    </w:p>
    <w:bookmarkEnd w:id="268"/>
    <w:bookmarkStart w:id="270" w:name="ref-mittelstadt2019"/>
    <w:p>
      <w:pPr>
        <w:pStyle w:val="Bibliography"/>
        <w:spacing w:line="360" w:lineRule="auto"/>
        <w:jc w:val="both"/>
      </w:pPr>
      <w:r>
        <w:t xml:space="preserve">Mittelstadt, Russell, B. 2019.</w:t>
      </w:r>
      <w:r>
        <w:t xml:space="preserve"> </w:t>
      </w:r>
      <w:r>
        <w:t xml:space="preserve">“Explaining Explanations in AI.”</w:t>
      </w:r>
      <w:r>
        <w:t xml:space="preserve"> </w:t>
      </w:r>
      <w:r>
        <w:rPr>
          <w:i/>
          <w:iCs/>
        </w:rPr>
        <w:t xml:space="preserve">FAT* ’19: Proceedings of the Conference on Fairness, Accountability, and Transparency, 279–288</w:t>
      </w:r>
      <w:r>
        <w:t xml:space="preserve">, ahead of print.</w:t>
      </w:r>
      <w:r>
        <w:t xml:space="preserve"> </w:t>
      </w:r>
      <w:hyperlink ns5:id="rId269">
        <w:r>
          <w:rPr>
            <w:rStyle w:val="Hipervnculo"/>
          </w:rPr>
          <w:t xml:space="preserve">https://doi.org/10.1145/3287560.3287574</w:t>
        </w:r>
      </w:hyperlink>
      <w:r>
        <w:t xml:space="preserve">.</w:t>
      </w:r>
    </w:p>
    <w:bookmarkEnd w:id="270"/>
    <w:bookmarkStart w:id="272" w:name="ref-mohseni2021"/>
    <w:p>
      <w:pPr>
        <w:pStyle w:val="Bibliography"/>
        <w:spacing w:line="360" w:lineRule="auto"/>
        <w:jc w:val="both"/>
      </w:pPr>
      <w:r>
        <w:t xml:space="preserve">Mohseni, Sina, Niloofar Zarei, and Eric D. Ragan. 2021.</w:t>
      </w:r>
      <w:r>
        <w:t xml:space="preserve"> </w:t>
      </w:r>
      <w:r>
        <w:t xml:space="preserve">“A Multidisciplinary Survey and Framework for Design and Evaluation of Explainable AI Systems.”</w:t>
      </w:r>
      <w:r>
        <w:t xml:space="preserve"> </w:t>
      </w:r>
      <w:r>
        <w:rPr>
          <w:i/>
          <w:iCs/>
        </w:rPr>
        <w:t xml:space="preserve">ACM Transactions on Interactive Intelligent Systems</w:t>
      </w:r>
      <w:r>
        <w:t xml:space="preserve"> </w:t>
      </w:r>
      <w:r>
        <w:t xml:space="preserve">11 (3-4): 1–45.</w:t>
      </w:r>
      <w:r>
        <w:t xml:space="preserve"> </w:t>
      </w:r>
      <w:hyperlink ns5:id="rId271">
        <w:r>
          <w:rPr>
            <w:rStyle w:val="Hipervnculo"/>
          </w:rPr>
          <w:t xml:space="preserve">https://doi.org/10.1145/3387166</w:t>
        </w:r>
      </w:hyperlink>
      <w:r>
        <w:t xml:space="preserve">.</w:t>
      </w:r>
    </w:p>
    <w:bookmarkEnd w:id="272"/>
    <w:bookmarkStart w:id="274"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 </w:t>
      </w:r>
      <w:r>
        <w:rPr>
          <w:i/>
          <w:iCs/>
        </w:rPr>
        <w:t xml:space="preserve">FAT* ’20: Proceedings of the 2020 Conference on Fairness, Accountability, and Transparency</w:t>
      </w:r>
      <w:r>
        <w:t xml:space="preserve">, ahead of print.</w:t>
      </w:r>
      <w:r>
        <w:t xml:space="preserve"> </w:t>
      </w:r>
      <w:hyperlink ns5:id="rId273">
        <w:r>
          <w:rPr>
            <w:rStyle w:val="Hipervnculo"/>
          </w:rPr>
          <w:t xml:space="preserve">https://doi.org/10.1145/3351095.3372850</w:t>
        </w:r>
      </w:hyperlink>
      <w:r>
        <w:t xml:space="preserve">.</w:t>
      </w:r>
    </w:p>
    <w:bookmarkEnd w:id="274"/>
    <w:bookmarkStart w:id="276"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 </w:t>
      </w:r>
      <w:r>
        <w:rPr>
          <w:i/>
          <w:iCs/>
        </w:rPr>
        <w:t xml:space="preserve">Proceedings of the National Academy of Sciences, 116(44), 22071–22080</w:t>
      </w:r>
      <w:r>
        <w:t xml:space="preserve">, ahead of print.</w:t>
      </w:r>
      <w:r>
        <w:t xml:space="preserve"> </w:t>
      </w:r>
      <w:hyperlink ns5:id="rId275">
        <w:r>
          <w:rPr>
            <w:rStyle w:val="Hipervnculo"/>
          </w:rPr>
          <w:t xml:space="preserve">https://doi.org/10.1073/pnas.1900654116</w:t>
        </w:r>
      </w:hyperlink>
      <w:r>
        <w:t xml:space="preserve">.</w:t>
      </w:r>
    </w:p>
    <w:bookmarkEnd w:id="276"/>
    <w:bookmarkStart w:id="278"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 </w:t>
      </w:r>
      <w:r>
        <w:rPr>
          <w:i/>
          <w:iCs/>
        </w:rPr>
        <w:t xml:space="preserve">ACM Computing Surveys</w:t>
      </w:r>
      <w:r>
        <w:t xml:space="preserve"> </w:t>
      </w:r>
      <w:r>
        <w:t xml:space="preserve">55 (13s): 1–42.</w:t>
      </w:r>
      <w:r>
        <w:t xml:space="preserve"> </w:t>
      </w:r>
      <w:hyperlink ns5:id="rId277">
        <w:r>
          <w:rPr>
            <w:rStyle w:val="Hipervnculo"/>
          </w:rPr>
          <w:t xml:space="preserve">https://doi.org/10.1145/3583558</w:t>
        </w:r>
      </w:hyperlink>
      <w:r>
        <w:t xml:space="preserve">.</w:t>
      </w:r>
    </w:p>
    <w:bookmarkEnd w:id="278"/>
    <w:bookmarkStart w:id="280" w:name="ref-nemenyi1963"/>
    <w:p>
      <w:pPr>
        <w:pStyle w:val="Bibliography"/>
        <w:spacing w:line="360" w:lineRule="auto"/>
        <w:jc w:val="both"/>
      </w:pPr>
      <w:r>
        <w:t xml:space="preserve">Nemenyi, Peter Bjorn. 1963.</w:t>
      </w:r>
      <w:r>
        <w:t xml:space="preserve"> </w:t>
      </w:r>
      <w:r>
        <w:t xml:space="preserve">“Distribution-Free Multiple Comparisons.”</w:t>
      </w:r>
      <w:r>
        <w:t xml:space="preserve"> </w:t>
      </w:r>
      <w:r>
        <w:t xml:space="preserve">PhD thesis, Princeton University.</w:t>
      </w:r>
      <w:r>
        <w:t xml:space="preserve"> </w:t>
      </w:r>
      <w:hyperlink ns5:id="rId279">
        <w:r>
          <w:rPr>
            <w:rStyle w:val="Hipervnculo"/>
          </w:rPr>
          <w:t xml:space="preserve">https://catalog.princeton.edu/catalog/2081365</w:t>
        </w:r>
      </w:hyperlink>
      <w:r>
        <w:t xml:space="preserve">.</w:t>
      </w:r>
    </w:p>
    <w:bookmarkEnd w:id="280"/>
    <w:bookmarkStart w:id="281" w:name="ref-nizam2023"/>
    <w:p>
      <w:pPr>
        <w:pStyle w:val="Bibliography"/>
        <w:spacing w:line="360" w:lineRule="auto"/>
        <w:jc w:val="both"/>
      </w:pPr>
      <w:r>
        <w:t xml:space="preserve">Nizam, T., and S. Zafar. 2023.</w:t>
      </w:r>
      <w:r>
        <w:t xml:space="preserve"> </w:t>
      </w:r>
      <w:r>
        <w:t xml:space="preserve">“Towards a Standardised Evaluation Approach for Diverse XAI Methods.”</w:t>
      </w:r>
      <w:r>
        <w:t xml:space="preserve"> </w:t>
      </w:r>
      <w:r>
        <w:rPr>
          <w:i/>
          <w:iCs/>
        </w:rPr>
        <w:t xml:space="preserve">Explainable Artificial Intelligence (XAI): Conception, Visualization and Assessment</w:t>
      </w:r>
      <w:r>
        <w:t xml:space="preserve">.</w:t>
      </w:r>
    </w:p>
    <w:bookmarkEnd w:id="281"/>
    <w:bookmarkStart w:id="283"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 </w:t>
      </w:r>
      <w:r>
        <w:rPr>
          <w:i/>
          <w:iCs/>
        </w:rPr>
        <w:t xml:space="preserve">Nature Communications, 13(1)</w:t>
      </w:r>
      <w:r>
        <w:t xml:space="preserve">, ahead of print.</w:t>
      </w:r>
      <w:r>
        <w:t xml:space="preserve"> </w:t>
      </w:r>
      <w:hyperlink ns5:id="rId282">
        <w:r>
          <w:rPr>
            <w:rStyle w:val="Hipervnculo"/>
          </w:rPr>
          <w:t xml:space="preserve">https://doi.org/10.1038/s41467-022-33417-3</w:t>
        </w:r>
      </w:hyperlink>
      <w:r>
        <w:t xml:space="preserve">.</w:t>
      </w:r>
    </w:p>
    <w:bookmarkEnd w:id="283"/>
    <w:bookmarkStart w:id="285"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 </w:t>
      </w:r>
      <w:r>
        <w:rPr>
          <w:i/>
          <w:iCs/>
        </w:rPr>
        <w:t xml:space="preserve">Neurocomputing</w:t>
      </w:r>
      <w:r>
        <w:t xml:space="preserve"> </w:t>
      </w:r>
      <w:r>
        <w:t xml:space="preserve">602 (128282).</w:t>
      </w:r>
      <w:r>
        <w:t xml:space="preserve"> </w:t>
      </w:r>
      <w:hyperlink ns5:id="rId284">
        <w:r>
          <w:rPr>
            <w:rStyle w:val="Hipervnculo"/>
          </w:rPr>
          <w:t xml:space="preserve">https://doi.org/10.1016/j.neucom.2024.128282</w:t>
        </w:r>
      </w:hyperlink>
      <w:r>
        <w:t xml:space="preserve">.</w:t>
      </w:r>
    </w:p>
    <w:bookmarkEnd w:id="285"/>
    <w:bookmarkStart w:id="287" w:name="ref-poyiadzi2020"/>
    <w:p>
      <w:pPr>
        <w:pStyle w:val="Bibliography"/>
        <w:spacing w:line="360" w:lineRule="auto"/>
        <w:jc w:val="both"/>
      </w:pPr>
      <w:r>
        <w:t xml:space="preserve">Poyiadzi, Rafael, Kacper Sokol, Raul Santos-Rodriguez, Tijl De Bie, and Peter Flach. 2020.</w:t>
      </w:r>
      <w:r>
        <w:t xml:space="preserve"> </w:t>
      </w:r>
      <w:r>
        <w:t xml:space="preserve">“FACE: Feasible and Actionable Counterfactual Explanations.”</w:t>
      </w:r>
      <w:r>
        <w:t xml:space="preserve"> </w:t>
      </w:r>
      <w:r>
        <w:rPr>
          <w:i/>
          <w:iCs/>
        </w:rPr>
        <w:t xml:space="preserve">Proceedings of the AAAI/ACM Conference on AI, Ethics, and Society</w:t>
      </w:r>
      <w:r>
        <w:t xml:space="preserve">, 344–50.</w:t>
      </w:r>
      <w:r>
        <w:t xml:space="preserve"> </w:t>
      </w:r>
      <w:hyperlink ns5:id="rId286">
        <w:r>
          <w:rPr>
            <w:rStyle w:val="Hipervnculo"/>
          </w:rPr>
          <w:t xml:space="preserve">https://doi.org/10.1145/3375627.3375850</w:t>
        </w:r>
      </w:hyperlink>
      <w:r>
        <w:t xml:space="preserve">.</w:t>
      </w:r>
    </w:p>
    <w:bookmarkEnd w:id="287"/>
    <w:bookmarkStart w:id="289"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 </w:t>
      </w:r>
      <w:r>
        <w:rPr>
          <w:i/>
          <w:iCs/>
        </w:rPr>
        <w:t xml:space="preserve">arXiv Preprint arXiv:1602.04938</w:t>
      </w:r>
      <w:r>
        <w:t xml:space="preserve">, ahead of print.</w:t>
      </w:r>
      <w:r>
        <w:t xml:space="preserve"> </w:t>
      </w:r>
      <w:hyperlink ns5:id="rId288">
        <w:r>
          <w:rPr>
            <w:rStyle w:val="Hipervnculo"/>
          </w:rPr>
          <w:t xml:space="preserve">https://doi.org/10.1145/2939672.2939778</w:t>
        </w:r>
      </w:hyperlink>
      <w:r>
        <w:t xml:space="preserve">.</w:t>
      </w:r>
    </w:p>
    <w:bookmarkEnd w:id="289"/>
    <w:bookmarkStart w:id="291"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 </w:t>
      </w:r>
      <w:r>
        <w:rPr>
          <w:i/>
          <w:iCs/>
        </w:rPr>
        <w:t xml:space="preserve">Proceedings of the AAAI Conference on Artificial Intelligence, 32(1)</w:t>
      </w:r>
      <w:r>
        <w:t xml:space="preserve">, ahead of print.</w:t>
      </w:r>
      <w:r>
        <w:t xml:space="preserve"> </w:t>
      </w:r>
      <w:hyperlink ns5:id="rId290">
        <w:r>
          <w:rPr>
            <w:rStyle w:val="Hipervnculo"/>
          </w:rPr>
          <w:t xml:space="preserve">https://doi.org/10.1609/aaai.v32i1.11491</w:t>
        </w:r>
      </w:hyperlink>
      <w:r>
        <w:t xml:space="preserve">.</w:t>
      </w:r>
    </w:p>
    <w:bookmarkEnd w:id="291"/>
    <w:bookmarkStart w:id="293"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 </w:t>
      </w:r>
      <w:r>
        <w:rPr>
          <w:i/>
          <w:iCs/>
        </w:rPr>
        <w:t xml:space="preserve">IEEE Transactions on Pattern Analysis and Machine Intelligence</w:t>
      </w:r>
      <w:r>
        <w:t xml:space="preserve"> </w:t>
      </w:r>
      <w:r>
        <w:t xml:space="preserve">46 (4): 2104–22.</w:t>
      </w:r>
      <w:r>
        <w:t xml:space="preserve"> </w:t>
      </w:r>
      <w:hyperlink ns5:id="rId292">
        <w:r>
          <w:rPr>
            <w:rStyle w:val="Hipervnculo"/>
          </w:rPr>
          <w:t xml:space="preserve">https://doi.org/10.1109/TPAMI.2023.3331846</w:t>
        </w:r>
      </w:hyperlink>
      <w:r>
        <w:t xml:space="preserve">.</w:t>
      </w:r>
    </w:p>
    <w:bookmarkEnd w:id="293"/>
    <w:bookmarkStart w:id="295"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 </w:t>
      </w:r>
      <w:r>
        <w:rPr>
          <w:i/>
          <w:iCs/>
        </w:rPr>
        <w:t xml:space="preserve">Statistics Surveys, 16(none)</w:t>
      </w:r>
      <w:r>
        <w:t xml:space="preserve">, ahead of print.</w:t>
      </w:r>
      <w:r>
        <w:t xml:space="preserve"> </w:t>
      </w:r>
      <w:hyperlink ns5:id="rId294">
        <w:r>
          <w:rPr>
            <w:rStyle w:val="Hipervnculo"/>
          </w:rPr>
          <w:t xml:space="preserve">https://doi.org/10.1214/21-ss133</w:t>
        </w:r>
      </w:hyperlink>
      <w:r>
        <w:t xml:space="preserve">.</w:t>
      </w:r>
    </w:p>
    <w:bookmarkEnd w:id="295"/>
    <w:bookmarkStart w:id="297"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 </w:t>
      </w:r>
      <w:r>
        <w:rPr>
          <w:i/>
          <w:iCs/>
        </w:rPr>
        <w:t xml:space="preserve">Applied Sciences, 14(19), 8884</w:t>
      </w:r>
      <w:r>
        <w:t xml:space="preserve">, ahead of print.</w:t>
      </w:r>
      <w:r>
        <w:t xml:space="preserve"> </w:t>
      </w:r>
      <w:hyperlink ns5:id="rId296">
        <w:r>
          <w:rPr>
            <w:rStyle w:val="Hipervnculo"/>
          </w:rPr>
          <w:t xml:space="preserve">https://doi.org/10.3390/app14198884</w:t>
        </w:r>
      </w:hyperlink>
      <w:r>
        <w:t xml:space="preserve">.</w:t>
      </w:r>
    </w:p>
    <w:bookmarkEnd w:id="297"/>
    <w:bookmarkStart w:id="299"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 </w:t>
      </w:r>
      <w:r>
        <w:rPr>
          <w:i/>
          <w:iCs/>
        </w:rPr>
        <w:t xml:space="preserve">In Lecture Notes in Computer Science</w:t>
      </w:r>
      <w:r>
        <w:t xml:space="preserve">, ahead of print.</w:t>
      </w:r>
      <w:r>
        <w:t xml:space="preserve"> </w:t>
      </w:r>
      <w:hyperlink ns5:id="rId298">
        <w:r>
          <w:rPr>
            <w:rStyle w:val="Hipervnculo"/>
          </w:rPr>
          <w:t xml:space="preserve">https://doi.org/10.1007/978-3-030-28954-6</w:t>
        </w:r>
      </w:hyperlink>
      <w:r>
        <w:t xml:space="preserve">.</w:t>
      </w:r>
    </w:p>
    <w:bookmarkEnd w:id="299"/>
    <w:bookmarkStart w:id="301"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 </w:t>
      </w:r>
      <w:r>
        <w:rPr>
          <w:i/>
          <w:iCs/>
        </w:rPr>
        <w:t xml:space="preserve">Data Mining and Knowledge Discovery, 38(5), 3043–3101</w:t>
      </w:r>
      <w:r>
        <w:t xml:space="preserve">, ahead of print.</w:t>
      </w:r>
      <w:r>
        <w:t xml:space="preserve"> </w:t>
      </w:r>
      <w:hyperlink ns5:id="rId300">
        <w:r>
          <w:rPr>
            <w:rStyle w:val="Hipervnculo"/>
          </w:rPr>
          <w:t xml:space="preserve">https://doi.org/10.1007/s10618-022-00867-8</w:t>
        </w:r>
      </w:hyperlink>
      <w:r>
        <w:t xml:space="preserve">.</w:t>
      </w:r>
    </w:p>
    <w:bookmarkEnd w:id="301"/>
    <w:bookmarkStart w:id="303" w:name="ref-slack2020"/>
    <w:p>
      <w:pPr>
        <w:pStyle w:val="Bibliography"/>
        <w:spacing w:line="360" w:lineRule="auto"/>
        <w:jc w:val="both"/>
      </w:pPr>
      <w:r>
        <w:t xml:space="preserve">Slack, Dylan, Sophie Hilgard, Emily Jia, Sameer Singh, and Himabindu Lakkaraju. 2020.</w:t>
      </w:r>
      <w:r>
        <w:t xml:space="preserve"> </w:t>
      </w:r>
      <w:r>
        <w:t xml:space="preserve">“Fooling LIME and SHAP: Adversarial Attacks on Post Hoc Explanation Methods.”</w:t>
      </w:r>
      <w:r>
        <w:t xml:space="preserve"> </w:t>
      </w:r>
      <w:r>
        <w:rPr>
          <w:i/>
          <w:iCs/>
        </w:rPr>
        <w:t xml:space="preserve">Proceedings of the AAAI/ACM Conference on AI, Ethics, and Society</w:t>
      </w:r>
      <w:r>
        <w:t xml:space="preserve">, 180–86.</w:t>
      </w:r>
      <w:r>
        <w:t xml:space="preserve"> </w:t>
      </w:r>
      <w:hyperlink ns5:id="rId302">
        <w:r>
          <w:rPr>
            <w:rStyle w:val="Hipervnculo"/>
          </w:rPr>
          <w:t xml:space="preserve">https://doi.org/10.1145/3375627.3375830</w:t>
        </w:r>
      </w:hyperlink>
      <w:r>
        <w:t xml:space="preserve">.</w:t>
      </w:r>
    </w:p>
    <w:bookmarkEnd w:id="303"/>
    <w:bookmarkStart w:id="305" w:name="ref-sokol2020"/>
    <w:p>
      <w:pPr>
        <w:pStyle w:val="Bibliography"/>
        <w:spacing w:line="360" w:lineRule="auto"/>
        <w:jc w:val="both"/>
      </w:pPr>
      <w:r>
        <w:t xml:space="preserve">Sokol, Kacper, and Peter Flach. 2020.</w:t>
      </w:r>
      <w:r>
        <w:t xml:space="preserve"> </w:t>
      </w:r>
      <w:r>
        <w:t xml:space="preserve">“One Explanation Does Not Fit All: The Promise of Interactive Explanations for Machine Learning Transparency.”</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304">
        <w:r>
          <w:rPr>
            <w:rStyle w:val="Hipervnculo"/>
          </w:rPr>
          <w:t xml:space="preserve">https://doi.org/10.1007/s13218-020-00637-y</w:t>
        </w:r>
      </w:hyperlink>
      <w:r>
        <w:t xml:space="preserve">.</w:t>
      </w:r>
    </w:p>
    <w:bookmarkEnd w:id="305"/>
    <w:bookmarkStart w:id="307" w:name="ref-tjoa2020"/>
    <w:p>
      <w:pPr>
        <w:pStyle w:val="Bibliography"/>
        <w:spacing w:line="360" w:lineRule="auto"/>
        <w:jc w:val="both"/>
      </w:pPr>
      <w:r>
        <w:t xml:space="preserve">Tjoa, Erico, and Cuntai Guan. 2021.</w:t>
      </w:r>
      <w:r>
        <w:t xml:space="preserve"> </w:t>
      </w:r>
      <w:r>
        <w:t xml:space="preserve">“A Survey on Explainable Artificial Intelligence (XAI): Toward Medical XAI.”</w:t>
      </w:r>
      <w:r>
        <w:t xml:space="preserve"> </w:t>
      </w:r>
      <w:r>
        <w:rPr>
          <w:i/>
          <w:iCs/>
        </w:rPr>
        <w:t xml:space="preserve">IEEE Transactions on Neural Networks and Learning Systems</w:t>
      </w:r>
      <w:r>
        <w:t xml:space="preserve"> </w:t>
      </w:r>
      <w:r>
        <w:t xml:space="preserve">32 (11): 4793–813.</w:t>
      </w:r>
      <w:r>
        <w:t xml:space="preserve"> </w:t>
      </w:r>
      <w:hyperlink ns5:id="rId306">
        <w:r>
          <w:rPr>
            <w:rStyle w:val="Hipervnculo"/>
          </w:rPr>
          <w:t xml:space="preserve">https://doi.org/10.1109/TNNLS.2020.3027314</w:t>
        </w:r>
      </w:hyperlink>
      <w:r>
        <w:t xml:space="preserve">.</w:t>
      </w:r>
    </w:p>
    <w:bookmarkEnd w:id="307"/>
    <w:bookmarkStart w:id="309" w:name="ref-tomsett2020"/>
    <w:p>
      <w:pPr>
        <w:pStyle w:val="Bibliography"/>
        <w:spacing w:line="360" w:lineRule="auto"/>
        <w:jc w:val="both"/>
      </w:pPr>
      <w:r>
        <w:t xml:space="preserve">Tomsett, Richard, Dan Harborne, Supriyo Chakraborty, Prudhvi Gurram, and Alun Preece. 2020.</w:t>
      </w:r>
      <w:r>
        <w:t xml:space="preserve"> </w:t>
      </w:r>
      <w:r>
        <w:t xml:space="preserve">“Sanity Checks for Saliency Metrics.”</w:t>
      </w:r>
      <w:r>
        <w:t xml:space="preserve"> </w:t>
      </w:r>
      <w:r>
        <w:rPr>
          <w:i/>
          <w:iCs/>
        </w:rPr>
        <w:t xml:space="preserve">Proceedings of the AAAI Conference on Artificial Intelligence</w:t>
      </w:r>
      <w:r>
        <w:t xml:space="preserve"> </w:t>
      </w:r>
      <w:r>
        <w:t xml:space="preserve">34 (04): 6021–29.</w:t>
      </w:r>
      <w:r>
        <w:t xml:space="preserve"> </w:t>
      </w:r>
      <w:hyperlink ns5:id="rId308">
        <w:r>
          <w:rPr>
            <w:rStyle w:val="Hipervnculo"/>
          </w:rPr>
          <w:t xml:space="preserve">https://doi.org/10.1609/aaai.v34i04.6064</w:t>
        </w:r>
      </w:hyperlink>
      <w:r>
        <w:t xml:space="preserve">.</w:t>
      </w:r>
    </w:p>
    <w:bookmarkEnd w:id="309"/>
    <w:bookmarkStart w:id="311"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 </w:t>
      </w:r>
      <w:r>
        <w:rPr>
          <w:i/>
          <w:iCs/>
        </w:rPr>
        <w:t xml:space="preserve">In CRC Press eBooks</w:t>
      </w:r>
      <w:r>
        <w:t xml:space="preserve">, ahead of print.</w:t>
      </w:r>
      <w:r>
        <w:t xml:space="preserve"> </w:t>
      </w:r>
      <w:hyperlink ns5:id="rId310">
        <w:r>
          <w:rPr>
            <w:rStyle w:val="Hipervnculo"/>
          </w:rPr>
          <w:t xml:space="preserve">https://doi.org/10.1201/9781003442509</w:t>
        </w:r>
      </w:hyperlink>
      <w:r>
        <w:t xml:space="preserve">.</w:t>
      </w:r>
    </w:p>
    <w:bookmarkEnd w:id="311"/>
    <w:bookmarkStart w:id="313" w:name="ref-vandenbroeck2022"/>
    <w:p>
      <w:pPr>
        <w:pStyle w:val="Bibliography"/>
        <w:spacing w:line="360" w:lineRule="auto"/>
        <w:jc w:val="both"/>
      </w:pPr>
      <w:r>
        <w:t xml:space="preserve">Van den Broeck, Guy, Anton Lykov, Maximilian Schleich, and Dan Suciu. 2022.</w:t>
      </w:r>
      <w:r>
        <w:t xml:space="preserve"> </w:t>
      </w:r>
      <w:r>
        <w:t xml:space="preserve">“On the Tractability of SHAP Explanations.”</w:t>
      </w:r>
      <w:r>
        <w:t xml:space="preserve"> </w:t>
      </w:r>
      <w:r>
        <w:rPr>
          <w:i/>
          <w:iCs/>
        </w:rPr>
        <w:t xml:space="preserve">Journal of Artificial Intelligence Research</w:t>
      </w:r>
      <w:r>
        <w:t xml:space="preserve"> </w:t>
      </w:r>
      <w:r>
        <w:t xml:space="preserve">74: 851–86.</w:t>
      </w:r>
      <w:r>
        <w:t xml:space="preserve"> </w:t>
      </w:r>
      <w:hyperlink ns5:id="rId312">
        <w:r>
          <w:rPr>
            <w:rStyle w:val="Hipervnculo"/>
          </w:rPr>
          <w:t xml:space="preserve">https://doi.org/10.1613/jair.1.13283</w:t>
        </w:r>
      </w:hyperlink>
      <w:r>
        <w:t xml:space="preserve">.</w:t>
      </w:r>
    </w:p>
    <w:bookmarkEnd w:id="313"/>
    <w:bookmarkStart w:id="315" w:name="ref-voigt2017"/>
    <w:p>
      <w:pPr>
        <w:pStyle w:val="Bibliography"/>
        <w:spacing w:line="360" w:lineRule="auto"/>
        <w:jc w:val="both"/>
      </w:pPr>
      <w:r>
        <w:t xml:space="preserve">Voigt, Paul, and Axel von dem Bussche. 2017.</w:t>
      </w:r>
      <w:r>
        <w:t xml:space="preserve"> </w:t>
      </w:r>
      <w:r>
        <w:rPr>
          <w:i/>
          <w:iCs/>
        </w:rPr>
        <w:t xml:space="preserve">The EU General Data Protection Regulation (GDPR): A Practical Guide</w:t>
      </w:r>
      <w:r>
        <w:t xml:space="preserve">. Springer.</w:t>
      </w:r>
      <w:r>
        <w:t xml:space="preserve"> </w:t>
      </w:r>
      <w:hyperlink ns5:id="rId314">
        <w:r>
          <w:rPr>
            <w:rStyle w:val="Hipervnculo"/>
          </w:rPr>
          <w:t xml:space="preserve">https://doi.org/10.1007/978-3-319-57959-7</w:t>
        </w:r>
      </w:hyperlink>
      <w:r>
        <w:t xml:space="preserve">.</w:t>
      </w:r>
    </w:p>
    <w:bookmarkEnd w:id="315"/>
    <w:bookmarkStart w:id="317"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 </w:t>
      </w:r>
      <w:r>
        <w:rPr>
          <w:i/>
          <w:iCs/>
        </w:rPr>
        <w:t xml:space="preserve">SSRN Electronic Journal</w:t>
      </w:r>
      <w:r>
        <w:t xml:space="preserve">, ahead of print.</w:t>
      </w:r>
      <w:r>
        <w:t xml:space="preserve"> </w:t>
      </w:r>
      <w:hyperlink ns5:id="rId316">
        <w:r>
          <w:rPr>
            <w:rStyle w:val="Hipervnculo"/>
          </w:rPr>
          <w:t xml:space="preserve">https://doi.org/10.2139/ssrn.3063289</w:t>
        </w:r>
      </w:hyperlink>
      <w:r>
        <w:t xml:space="preserve">.</w:t>
      </w:r>
    </w:p>
    <w:bookmarkEnd w:id="317"/>
    <w:bookmarkStart w:id="319" w:name="ref-wilcoxon1945"/>
    <w:p>
      <w:pPr>
        <w:pStyle w:val="Bibliography"/>
        <w:spacing w:line="360" w:lineRule="auto"/>
        <w:jc w:val="both"/>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ns5:id="rId318">
        <w:r>
          <w:rPr>
            <w:rStyle w:val="Hipervnculo"/>
          </w:rPr>
          <w:t xml:space="preserve">https://doi.org/10.2307/3001968</w:t>
        </w:r>
      </w:hyperlink>
      <w:r>
        <w:t xml:space="preserve">.</w:t>
      </w:r>
    </w:p>
    <w:bookmarkEnd w:id="319"/>
    <w:bookmarkStart w:id="321"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 </w:t>
      </w:r>
      <w:r>
        <w:rPr>
          <w:i/>
          <w:iCs/>
        </w:rPr>
        <w:t xml:space="preserve">ICLR 2025 Proceedings</w:t>
      </w:r>
      <w:r>
        <w:t xml:space="preserve">.</w:t>
      </w:r>
      <w:r>
        <w:t xml:space="preserve"> </w:t>
      </w:r>
      <w:hyperlink ns5:id="rId320">
        <w:r>
          <w:rPr>
            <w:rStyle w:val="Hipervnculo"/>
          </w:rPr>
          <w:t xml:space="preserve">https://trustai4s-lab.github.io/ffidelity</w:t>
        </w:r>
      </w:hyperlink>
      <w:r>
        <w:t xml:space="preserve">.</w:t>
      </w:r>
    </w:p>
    <w:bookmarkEnd w:id="321"/>
    <w:bookmarkEnd w:id="322"/>
    <w:bookmarkEnd w:id="323"/>
    <w:bookmarkStart w:id="347" w:name="apéndices"/>
    <w:p>
      <w:pPr>
        <w:pStyle w:val="Ttulo1"/>
        <w:spacing w:line="360" w:lineRule="auto"/>
        <w:jc w:val="both"/>
      </w:pPr>
      <w:r>
        <w:t xml:space="preserve">Apéndices</w:t>
      </w:r>
    </w:p>
    <w:bookmarkStart w:id="325"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tblLayout w:type="fixed"/>
        <w:tblLook w:firstRow="0" w:lastRow="0" w:firstColumn="0" w:lastColumn="0" w:noHBand="0" w:noVBand="0" w:val="0000"/>
      </w:tblPr>
      <w:tblGrid>
        <w:gridCol w:w="7920"/>
      </w:tblGrid>
      <w:tr>
        <w:tc>
          <w:tcPr/>
          <w:bookmarkStart w:id="324" w:name="tbl-appendix-dataset-schema"/>
          <w:p>
            <w:pPr>
              <w:jc w:val="both"/>
              <w:spacing w:line="360" w:lineRule="auto"/>
            </w:pPr>
            <w:pPr>
              <w:jc w:val="left"/>
              <w:spacing w:before="200"/>
              <w:pStyle w:val="ImageCaption"/>
            </w:pPr>
            <w:r>
              <w:t xml:space="preserve">Table 7.5: Esquema resumido del conjunto Adult y transformaciones de preprocesamiento.</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Grupo</w:t>
                  </w:r>
                </w:p>
              </w:tc>
              <w:tc>
                <w:tcPr/>
                <w:p>
                  <w:pPr>
                    <w:pStyle w:val="Compact"/>
                    <w:jc w:val="both"/>
                    <w:jc w:val="center"/>
                    <w:spacing w:line="360" w:lineRule="auto"/>
                  </w:pPr>
                  <w:r>
                    <w:t xml:space="preserve">Características</w:t>
                  </w:r>
                </w:p>
              </w:tc>
              <w:tc>
                <w:tcPr/>
                <w:p>
                  <w:pPr>
                    <w:pStyle w:val="Compact"/>
                    <w:jc w:val="both"/>
                    <w:jc w:val="center"/>
                    <w:spacing w:line="360" w:lineRule="auto"/>
                  </w:pPr>
                  <w: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324"/>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325"/>
    <w:bookmarkStart w:id="327"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tblLayout w:type="fixed"/>
        <w:tblLook w:firstRow="0" w:lastRow="0" w:firstColumn="0" w:lastColumn="0" w:noHBand="0" w:noVBand="0" w:val="0000"/>
      </w:tblPr>
      <w:tblGrid>
        <w:gridCol w:w="7920"/>
      </w:tblGrid>
      <w:tr>
        <w:tc>
          <w:tcPr/>
          <w:bookmarkStart w:id="326" w:name="tbl-appendix-models"/>
          <w:p>
            <w:pPr>
              <w:jc w:val="both"/>
              <w:spacing w:line="360" w:lineRule="auto"/>
            </w:pPr>
            <w:pPr>
              <w:jc w:val="left"/>
              <w:spacing w:before="200"/>
              <w:pStyle w:val="ImageCaption"/>
            </w:pPr>
            <w:r>
              <w:t xml:space="preserve">Table 7.6: Modelos predictivos, justificación y ubicación de artefactos.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Rol metodológico</w:t>
                  </w:r>
                </w:p>
              </w:tc>
              <w:tc>
                <w:tcPr/>
                <w:p>
                  <w:pPr>
                    <w:pStyle w:val="Compact"/>
                    <w:jc w:val="both"/>
                    <w:jc w:val="center"/>
                    <w:spacing w:line="360" w:lineRule="auto"/>
                  </w:pPr>
                  <w:r>
                    <w:t xml:space="preserve">Artefacto principal</w:t>
                  </w:r>
                </w:p>
              </w:tc>
              <w:tc>
                <w:tcPr/>
                <w:p>
                  <w:pPr>
                    <w:pStyle w:val="Compact"/>
                    <w:jc w:val="both"/>
                    <w:jc w:val="center"/>
                    <w:spacing w:line="360" w:lineRule="auto"/>
                  </w:pPr>
                  <w: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326"/>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327"/>
    <w:bookmarkStart w:id="334"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tblLayout w:type="fixed"/>
        <w:tblLook w:firstRow="0" w:lastRow="0" w:firstColumn="0" w:lastColumn="0" w:noHBand="0" w:noVBand="0" w:val="0000"/>
      </w:tblPr>
      <w:tblGrid>
        <w:gridCol w:w="7920"/>
      </w:tblGrid>
      <w:tr>
        <w:tc>
          <w:tcPr/>
          <w:bookmarkStart w:id="328" w:name="tbl-appendix-explainers"/>
          <w:p>
            <w:pPr>
              <w:jc w:val="both"/>
              <w:spacing w:line="360" w:lineRule="auto"/>
            </w:pPr>
            <w:pPr>
              <w:jc w:val="left"/>
              <w:spacing w:before="200"/>
              <w:pStyle w:val="ImageCaption"/>
            </w:pPr>
            <w:r>
              <w:t xml:space="preserve">Table 7.7: Configuración de explicadores y caveats operativos.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Explicador</w:t>
                  </w:r>
                </w:p>
              </w:tc>
              <w:tc>
                <w:tcPr/>
                <w:p>
                  <w:pPr>
                    <w:pStyle w:val="Compact"/>
                    <w:jc w:val="both"/>
                    <w:jc w:val="center"/>
                    <w:spacing w:line="360" w:lineRule="auto"/>
                  </w:pPr>
                  <w:r>
                    <w:t xml:space="preserve">Configuración efectiva</w:t>
                  </w:r>
                </w:p>
              </w:tc>
              <w:tc>
                <w:tcPr/>
                <w:p>
                  <w:pPr>
                    <w:pStyle w:val="Compact"/>
                    <w:jc w:val="both"/>
                    <w:jc w:val="center"/>
                    <w:spacing w:line="360" w:lineRule="auto"/>
                  </w:pPr>
                  <w:r>
                    <w:t xml:space="preserve">Implementación</w:t>
                  </w:r>
                </w:p>
              </w:tc>
              <w:tc>
                <w:tcPr/>
                <w:p>
                  <w:pPr>
                    <w:pStyle w:val="Compact"/>
                    <w:jc w:val="both"/>
                    <w:jc w:val="center"/>
                    <w:spacing w:line="360" w:lineRule="auto"/>
                  </w:pPr>
                  <w: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328"/>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333"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tblLayout w:type="fixed"/>
        <w:tblLook w:firstRow="0" w:lastRow="0" w:firstColumn="0" w:lastColumn="0" w:noHBand="0" w:noVBand="0" w:val="0000"/>
      </w:tblPr>
      <w:tblGrid>
        <w:gridCol w:w="7920"/>
      </w:tblGrid>
      <w:tr>
        <w:tc>
          <w:tcPr/>
          <w:bookmarkStart w:id="329" w:name="tbl-appendix-lime-sensitivity"/>
          <w:p>
            <w:pPr>
              <w:jc w:val="both"/>
              <w:spacing w:line="360" w:lineRule="auto"/>
            </w:pPr>
            <w:pPr>
              <w:jc w:val="left"/>
              <w:spacing w:before="200"/>
              <w:pStyle w:val="ImageCaption"/>
            </w:pPr>
            <w:r>
              <w:t xml:space="preserve">Table 7.8: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 Medición</w:t>
            </w:r>
            <w:r>
              <w:t xml:space="preserve"> </w:t>
            </w:r>
            <w:r>
              <w:t xml:space="preserve">exploratoria histórica: sus valores no han podido re-derivarse bajo el entorno</w:t>
            </w:r>
            <w:r>
              <w:t xml:space="preserve"> </w:t>
            </w:r>
            <w:r>
              <w:t xml:space="preserve">actual (véase la nota de procedencia siguiente).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rStyle w:val="VerbatimChar"/>
                    </w:rPr>
                    <w:t xml:space="preserve">num_samples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329"/>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indica que la inestabilidad</w:t>
      </w:r>
      <w:r>
        <w:t xml:space="preserve"> </w:t>
      </w:r>
      <w:r>
        <w:t xml:space="preserve">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i/>
          <w:iCs/>
        </w:rPr>
        <w:t xml:space="preserve">Nota de procedencia y alcance.</w:t>
      </w:r>
      <w:r>
        <w:t xml:space="preserve"> </w:t>
      </w:r>
      <w:r>
        <w:t xml:space="preserve">Esta sonda es una medición exploratoria</w:t>
      </w:r>
      <w:r>
        <w:t xml:space="preserve"> </w:t>
      </w:r>
      <w:r>
        <w:t xml:space="preserve">anterior cuyo artefacto de salida no se conserva en el repositorio, a diferencia</w:t>
      </w:r>
      <w:r>
        <w:t xml:space="preserve"> </w:t>
      </w:r>
      <w:r>
        <w:t xml:space="preserve">de la sonda de</w:t>
      </w:r>
      <w:r>
        <w:t xml:space="preserve"> </w:t>
      </w:r>
      <w:r>
        <w:rPr>
          <w:rStyle w:val="VerbatimChar"/>
        </w:rPr>
        <w:t xml:space="preserve">kernel_width</w:t>
      </w:r>
      <w:r>
        <w:t xml:space="preserve"> </w:t>
      </w:r>
      <w:r>
        <w:t xml:space="preserve">(</w:t>
      </w:r>
      <w:hyperlink w:anchor="tbl-appendix-lime-kw-sensitivity">
        <w:r>
          <w:rPr>
            <w:rStyle w:val="Hipervnculo"/>
          </w:rPr>
          <w:t xml:space="preserve">Table 7.11</w:t>
        </w:r>
      </w:hyperlink>
      <w:r>
        <w:t xml:space="preserve">), que se</w:t>
      </w:r>
      <w:r>
        <w:t xml:space="preserve"> </w:t>
      </w:r>
      <w:r>
        <w:t xml:space="preserve">re-deriva de</w:t>
      </w:r>
      <w:r>
        <w:t xml:space="preserve"> </w:t>
      </w:r>
      <w:r>
        <w:rPr>
          <w:rStyle w:val="VerbatimChar"/>
        </w:rPr>
        <w:t xml:space="preserve">outputs/analysis/lime_kernel_width_sensitivity.csv</w:t>
      </w:r>
      <w:r>
        <w:t xml:space="preserve">. Ambas tablas</w:t>
      </w:r>
      <w:r>
        <w:t xml:space="preserve"> </w:t>
      </w:r>
      <w:r>
        <w:t xml:space="preserve">declaran la misma condición de referencia (RF, semilla 42,</w:t>
      </w:r>
      <w:r>
        <w:t xml:space="preserve"> </w:t>
      </w:r>
      <ns1:oMath>
        <ns1:r>
          <ns1:t>N</ns1:t>
        </ns1:r>
        <ns1:r>
          <ns1:rPr>
            <ns1:sty ns1:val="p"/>
          </ns1:rPr>
          <ns1:t>=</ns1:t>
        </ns1:r>
        <ns1:r>
          <ns1:t>100</ns1:t>
        </ns1:r>
      </ns1:oMath>
      <w:r>
        <w:t xml:space="preserve">,</w:t>
      </w:r>
      <w:r>
        <w:t xml:space="preserve"> </w:t>
      </w:r>
      <w:r>
        <w:rPr>
          <w:rStyle w:val="VerbatimChar"/>
        </w:rPr>
        <w:t xml:space="preserve">num_samples = 1000</w:t>
      </w:r>
      <w:r>
        <w:t xml:space="preserve">,</w:t>
      </w:r>
      <w:r>
        <w:t xml:space="preserve"> </w:t>
      </w:r>
      <w:r>
        <w:rPr>
          <w:rStyle w:val="VerbatimChar"/>
        </w:rPr>
        <w:t xml:space="preserve">kernel_width = 3.0</w:t>
      </w:r>
      <w:r>
        <w:t xml:space="preserve">) pero reportan valores distintos para</w:t>
      </w:r>
      <w:r>
        <w:t xml:space="preserve"> </w:t>
      </w:r>
      <w:r>
        <w:t xml:space="preserve">ella —fidelidad 0.461 frente a 0.518, estabilidad 0.014 frente a 0.000, coste</w:t>
      </w:r>
      <w:r>
        <w:t xml:space="preserve"> </w:t>
      </w:r>
      <w:r>
        <w:t xml:space="preserve">226 ms frente a 30 ms—, lo que indica que fueron ejecutadas con instrumentaciones</w:t>
      </w:r>
      <w:r>
        <w:t xml:space="preserve"> </w:t>
      </w:r>
      <w:r>
        <w:t xml:space="preserve">distintas: el coste de ambas queda además por debajo del rango observado para</w:t>
      </w:r>
      <w:r>
        <w:t xml:space="preserve"> </w:t>
      </w:r>
      <w:r>
        <w:t xml:space="preserve">LIME sobre RF en EXP2 (300–919 ms por ejecución), de modo que ninguna de las dos</w:t>
      </w:r>
      <w:r>
        <w:t xml:space="preserve"> </w:t>
      </w:r>
      <w:r>
        <w:t xml:space="preserve">mide una ejecución completa del protocolo EXP2. Las dos sondas se reportan aquí</w:t>
      </w:r>
      <w:r>
        <w:t xml:space="preserve"> </w:t>
      </w:r>
      <w:r>
        <w:t xml:space="preserve">por su valor cualitativo —la dirección del efecto de</w:t>
      </w:r>
      <w:r>
        <w:t xml:space="preserve"> </w:t>
      </w:r>
      <w:r>
        <w:rPr>
          <w:rStyle w:val="VerbatimChar"/>
        </w:rPr>
        <w:t xml:space="preserve">num_samples</w:t>
      </w:r>
      <w:r>
        <w:t xml:space="preserve"> </w:t>
      </w:r>
      <w:r>
        <w:t xml:space="preserve">y de</w:t>
      </w:r>
      <w:r>
        <w:t xml:space="preserve"> </w:t>
      </w:r>
      <w:r>
        <w:rPr>
          <w:rStyle w:val="VerbatimChar"/>
        </w:rPr>
        <w:t xml:space="preserve">kernel_width</w:t>
      </w:r>
      <w:r>
        <w:t xml:space="preserve">— y no como estimaciones puntuales comparables entre sí ni con las</w:t>
      </w:r>
      <w:r>
        <w:t xml:space="preserve"> </w:t>
      </w:r>
      <w:r>
        <w:t xml:space="preserve">medias de EXP2. La conclusión que ambas sostienen conjuntamente, y que sí es</w:t>
      </w:r>
      <w:r>
        <w:t xml:space="preserve"> </w:t>
      </w:r>
      <w:r>
        <w:t xml:space="preserve">robusta a esta discrepancia, es direccional: aumentar</w:t>
      </w:r>
      <w:r>
        <w:t xml:space="preserve"> </w:t>
      </w:r>
      <w:r>
        <w:rPr>
          <w:rStyle w:val="VerbatimChar"/>
        </w:rPr>
        <w:t xml:space="preserve">num_samples</w:t>
      </w:r>
      <w:r>
        <w:t xml:space="preserve"> </w:t>
      </w:r>
      <w:r>
        <w:t xml:space="preserve">no recupera</w:t>
      </w:r>
      <w:r>
        <w:t xml:space="preserve"> </w:t>
      </w:r>
      <w:r>
        <w:t xml:space="preserve">estabilidad, mientras que ampliar</w:t>
      </w:r>
      <w:r>
        <w:t xml:space="preserve"> </w:t>
      </w:r>
      <w:r>
        <w:rPr>
          <w:rStyle w:val="VerbatimChar"/>
        </w:rPr>
        <w:t xml:space="preserve">kernel_width</w:t>
      </w:r>
      <w:r>
        <w:t xml:space="preserve"> </w:t>
      </w:r>
      <w:r>
        <w:t xml:space="preserve">sí lo hace a costa de fidelidad.</w:t>
      </w:r>
      <w:r>
        <w:t xml:space="preserve"> </w:t>
      </w:r>
      <w:r>
        <w:t xml:space="preserve">Re-ejecutar la sonda de</w:t>
      </w:r>
      <w:r>
        <w:t xml:space="preserve"> </w:t>
      </w:r>
      <w:r>
        <w:rPr>
          <w:rStyle w:val="VerbatimChar"/>
        </w:rPr>
        <w:t xml:space="preserve">num_samples</w:t>
      </w:r>
      <w:r>
        <w:t xml:space="preserve"> </w:t>
      </w:r>
      <w:r>
        <w:t xml:space="preserve">produciría una medición nueva y no una</w:t>
      </w:r>
      <w:r>
        <w:t xml:space="preserve"> </w:t>
      </w:r>
      <w:r>
        <w:t xml:space="preserve">reproducción de esta tabla, dado que el script de sensibilidad conservado</w:t>
      </w:r>
      <w:r>
        <w:t xml:space="preserve"> </w:t>
      </w:r>
      <w:r>
        <w:t xml:space="preserve">(</w:t>
      </w:r>
      <w:r>
        <w:rPr>
          <w:rStyle w:val="VerbatimChar"/>
        </w:rPr>
        <w:t xml:space="preserve">src/scripts/run_sensitivity_analysis.py</w:t>
      </w:r>
      <w:r>
        <w:t xml:space="preserve">) recorre una rejilla distinta</w:t>
      </w:r>
      <w:r>
        <w:t xml:space="preserve"> </w:t>
      </w:r>
      <w:r>
        <w:t xml:space="preserve">(</w:t>
      </w:r>
      <ns1:oMath>
        <ns1:r>
          <ns1:rPr>
            <ns1:sty ns1:val="p"/>
          </ns1:rPr>
          <ns1:t>{</ns1:t>
        </ns1:r>
        <ns1:r>
          <ns1:t>500</ns1:t>
        </ns1:r>
        <ns1:r>
          <ns1:rPr>
            <ns1:sty ns1:val="p"/>
          </ns1:rPr>
          <ns1:t>,</ns1:t>
        </ns1:r>
        <ns1:r>
          <ns1:t>1000</ns1:t>
        </ns1:r>
        <ns1:r>
          <ns1:rPr>
            <ns1:sty ns1:val="p"/>
          </ns1:rPr>
          <ns1:t>,</ns1:t>
        </ns1:r>
        <ns1:r>
          <ns1:t>2000</ns1:t>
        </ns1:r>
        <ns1:r>
          <ns1:rPr>
            <ns1:sty ns1:val="p"/>
          </ns1:rPr>
          <ns1:t>,</ns1:t>
        </ns1:r>
        <ns1:r>
          <ns1:t>5000</ns1:t>
        </ns1:r>
        <ns1:r>
          <ns1:rPr>
            <ns1:sty ns1:val="p"/>
          </ns1:rPr>
          <ns1:t>,</ns1:t>
        </ns1:r>
        <ns1:r>
          <ns1:t>10000</ns1:t>
        </ns1:r>
        <ns1:r>
          <ns1:rPr>
            <ns1:sty ns1:val="p"/>
          </ns1:rPr>
          <ns1:t>}</ns1:t>
        </ns1:r>
      </ns1:oMath>
      <w:r>
        <w:t xml:space="preserve">) sobre la configuración base de EXP1.</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tblLayout w:type="fixed"/>
        <w:tblLook w:firstRow="0" w:lastRow="0" w:firstColumn="0" w:lastColumn="0" w:noHBand="0" w:noVBand="0" w:val="0000"/>
      </w:tblPr>
      <w:tblGrid>
        <w:gridCol w:w="7920"/>
      </w:tblGrid>
      <w:tr>
        <w:tc>
          <w:tcPr/>
          <w:bookmarkStart w:id="330" w:name="tbl-appendix-shap-sensitivity"/>
          <w:p>
            <w:pPr>
              <w:jc w:val="both"/>
              <w:spacing w:line="360" w:lineRule="auto"/>
            </w:pPr>
            <w:pPr>
              <w:jc w:val="left"/>
              <w:spacing w:before="200"/>
              <w:pStyle w:val="ImageCaption"/>
            </w:pPr>
            <w:r>
              <w:t xml:space="preserve">Table 7.9: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Referencia (</w:t>
                  </w:r>
                  <ns1:oMath>
                    <ns1:r>
                      <ns1:t>k</ns1:t>
                    </ns1:r>
                  </ns1:oMath>
                  <w:r>
                    <w:t xml:space="preserve">)</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330"/>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tblLayout w:type="fixed"/>
        <w:tblLook w:firstRow="0" w:lastRow="0" w:firstColumn="0" w:lastColumn="0" w:noHBand="0" w:noVBand="0" w:val="0000"/>
      </w:tblPr>
      <w:tblGrid>
        <w:gridCol w:w="7920"/>
      </w:tblGrid>
      <w:tr>
        <w:tc>
          <w:tcPr/>
          <w:bookmarkStart w:id="331" w:name="tbl-appendix-anchors-sensitivity"/>
          <w:p>
            <w:pPr>
              <w:jc w:val="both"/>
              <w:spacing w:line="360" w:lineRule="auto"/>
            </w:pPr>
            <w:pPr>
              <w:jc w:val="left"/>
              <w:spacing w:before="200"/>
              <w:pStyle w:val="ImageCaption"/>
            </w:pPr>
            <w:r>
              <w:t xml:space="preserve">Table 7.10: Sensibilidad de Anchors al umbral de precisión</w:t>
            </w:r>
            <w:r>
              <w:t xml:space="preserve"> </w:t>
            </w:r>
            <ns1:oMath>
              <ns1:r>
                <ns1:t>τ</ns1:t>
              </ns1:r>
            </ns1:oMath>
            <w:r>
              <w:t xml:space="preserve">.</w:t>
            </w:r>
            <w:r>
              <w:t xml:space="preserve"> </w:t>
            </w:r>
            <w:r>
              <w:rPr>
                <w:b/>
                <w:bCs/>
              </w:rPr>
              <w:t xml:space="preserve">Las dos columnas</w:t>
            </w:r>
            <w:r>
              <w:rPr>
                <w:b/>
                <w:bCs/>
              </w:rPr>
              <w:t xml:space="preserve"> </w:t>
            </w:r>
            <w:r>
              <w:rPr>
                <w:b/>
                <w:bCs/>
              </w:rPr>
              <w:t xml:space="preserve">tienen alcances distintos</w:t>
            </w:r>
            <w:r>
              <w:t xml:space="preserve">: la cobertura se computa sobre las 75 celdas del</w:t>
            </w:r>
            <w:r>
              <w:t xml:space="preserve"> </w:t>
            </w:r>
            <w:r>
              <w:t xml:space="preserve">diseño completo de Anchors (5 modelos</w:t>
            </w:r>
            <w:r>
              <w:t xml:space="preserve"> </w:t>
            </w:r>
            <ns1:oMath>
              <ns1:r>
                <ns1:rPr>
                  <ns1:sty ns1:val="p"/>
                </ns1:rPr>
                <ns1:t>×</ns1:t>
              </ns1:r>
            </ns1:oMath>
            <w:r>
              <w:t xml:space="preserve"> </w:t>
            </w:r>
            <w:r>
              <w:t xml:space="preserve">5 semillas</w:t>
            </w:r>
            <w:r>
              <w:t xml:space="preserve"> </w:t>
            </w:r>
            <ns1:oMath>
              <ns1:r>
                <ns1:rPr>
                  <ns1:sty ns1:val="p"/>
                </ns1:rPr>
                <ns1:t>×</ns1:t>
              </ns1:r>
            </ns1:oMath>
            <w:r>
              <w:t xml:space="preserve"> </w:t>
            </w:r>
            <w:r>
              <w:t xml:space="preserve">3 tamaños) —de</w:t>
            </w:r>
            <w:r>
              <w:t xml:space="preserve"> </w:t>
            </w:r>
            <w:r>
              <w:t xml:space="preserve">ahí que la fila de referencia coincida exactamente con el 57/75 = 76.0% de</w:t>
            </w:r>
            <w:r>
              <w:t xml:space="preserve"> </w:t>
            </w:r>
            <w:hyperlink w:anchor="tbl-coverage-method">
              <w:r>
                <w:rPr>
                  <w:rStyle w:val="Hipervnculo"/>
                </w:rPr>
                <w:t xml:space="preserve">Table 4.5</w:t>
              </w:r>
            </w:hyperlink>
            <w:r>
              <w:t xml:space="preserve">—, mientras que la fidelidad y el coste corresponden a la</w:t>
            </w:r>
            <w:r>
              <w:t xml:space="preserve"> </w:t>
            </w:r>
            <w:r>
              <w:t xml:space="preserve">condición de sondeo RF, semilla 42.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t xml:space="preserve">Cobertura del diseño completo (75 celdas)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331"/>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0" w:lastRow="0" w:firstColumn="0" w:lastColumn="0" w:noHBand="0" w:noVBand="0" w:val="0000"/>
      </w:tblPr>
      <w:tblGrid>
        <w:gridCol w:w="7920"/>
      </w:tblGrid>
      <w:tr>
        <w:tc>
          <w:tcPr/>
          <w:bookmarkStart w:id="332" w:name="tbl-appendix-lime-kw-sensitivity"/>
          <w:p>
            <w:pPr>
              <w:jc w:val="both"/>
              <w:spacing w:line="360" w:lineRule="auto"/>
            </w:pPr>
            <w:pPr>
              <w:jc w:val="left"/>
              <w:spacing w:before="200"/>
              <w:pStyle w:val="ImageCaption"/>
            </w:pPr>
            <w:r>
              <w:t xml:space="preserve">Table 7.11: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rStyle w:val="VerbatimChar"/>
                    </w:rPr>
                    <w:t xml:space="preserve">kernel_width</w:t>
                  </w:r>
                </w:p>
              </w:tc>
              <w:tc>
                <w:tcPr/>
                <w:p>
                  <w:pPr>
                    <w:pStyle w:val="Compact"/>
                    <w:jc w:val="both"/>
                    <w:jc w:val="center"/>
                    <w:spacing w:line="360" w:lineRule="auto"/>
                  </w:pPr>
                  <w:r>
                    <w:t xml:space="preserve">Instancias válidas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332"/>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confirman que</w:t>
      </w:r>
      <w:r>
        <w:t xml:space="preserve"> </w:t>
      </w:r>
      <w:r>
        <w:rPr>
          <w:rStyle w:val="VerbatimChar"/>
        </w:rPr>
        <w:t xml:space="preserve">kernel_width = 3.0</w:t>
      </w:r>
      <w:r>
        <w:t xml:space="preserve"> </w:t>
      </w:r>
      <w:r>
        <w:t xml:space="preserve">es el valor mínimo viable en este espacio de características y que la inestabilidad de LIME no es un artefacto de este parámetro sino una propiedad estructural del método en datos tabulares de alta dimensión.</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inestabilidad de LIME estructural)</w:t>
      </w:r>
      <w:r>
        <w:t xml:space="preserve"> </w:t>
      </w:r>
      <w:r>
        <w:t xml:space="preserve">son robustos a variaciones razonables de los hiperparámetros dentro de los</w:t>
      </w:r>
      <w:r>
        <w:t xml:space="preserve"> </w:t>
      </w:r>
      <w:r>
        <w:t xml:space="preserve">rangos explorados.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333"/>
    <w:bookmarkEnd w:id="334"/>
    <w:bookmarkStart w:id="342"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tblLayout w:type="fixed"/>
        <w:tblLook w:firstRow="0" w:lastRow="0" w:firstColumn="0" w:lastColumn="0" w:noHBand="0" w:noVBand="0" w:val="0000"/>
      </w:tblPr>
      <w:tblGrid>
        <w:gridCol w:w="7920"/>
      </w:tblGrid>
      <w:tr>
        <w:tc>
          <w:tcPr/>
          <w:bookmarkStart w:id="335" w:name="tbl-appendix-stat-outputs"/>
          <w:p>
            <w:pPr>
              <w:jc w:val="both"/>
              <w:spacing w:line="360" w:lineRule="auto"/>
            </w:pPr>
            <w:pPr>
              <w:jc w:val="left"/>
              <w:spacing w:before="200"/>
              <w:pStyle w:val="ImageCaption"/>
            </w:pPr>
            <w:r>
              <w:t xml:space="preserve">Table 7.12: Salidas estadísticas principales y uso en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335"/>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337" w:name="Xe3909ed8b3f47a476ee07b1fbdd59a863fdc536"/>
    <w:p>
      <w:pPr>
        <w:pStyle w:val="Ttulo3"/>
        <w:spacing w:line="360" w:lineRule="auto"/>
        <w:jc w:val="both"/>
      </w:pPr>
      <w:r>
        <w:t xml:space="preserve">D.1 Resultados completos de la prueba de Friedman</w:t>
      </w:r>
    </w:p>
    <w:tbl>
      <w:tblPr>
        <w:tblStyle w:val="Table"/>
        <w:tblW w:type="pct" w:w="5000"/>
        <w:tblLayout w:type="fixed"/>
        <w:tblLook w:firstRow="0" w:lastRow="0" w:firstColumn="0" w:lastColumn="0" w:noHBand="0" w:noVBand="0" w:val="0000"/>
      </w:tblPr>
      <w:tblGrid>
        <w:gridCol w:w="7920"/>
      </w:tblGrid>
      <w:tr>
        <w:tc>
          <w:tcPr/>
          <w:bookmarkStart w:id="336" w:name="tbl-appendix-friedman-full"/>
          <w:p>
            <w:pPr>
              <w:jc w:val="both"/>
              <w:spacing w:line="360" w:lineRule="auto"/>
            </w:pPr>
            <w:pPr>
              <w:jc w:val="left"/>
              <w:spacing w:before="200"/>
              <w:pStyle w:val="ImageCaption"/>
            </w:pPr>
            <w:r>
              <w:t xml:space="preserve">Table 7.13: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r>
                      <ns1:t>n</ns1:t>
                    </ns1:r>
                  </ns1:oMath>
                  <w:r>
                    <w:t xml:space="preserve"> </w:t>
                  </w:r>
                  <w:r>
                    <w:t xml:space="preserve">bloques</w:t>
                  </w:r>
                </w:p>
              </w:tc>
              <w:tc>
                <w:tcPr/>
                <w:p>
                  <w:pPr>
                    <w:pStyle w:val="Compact"/>
                    <w:jc w:val="both"/>
                    <w:jc w:val="center"/>
                    <w:spacing w:line="360" w:lineRule="auto"/>
                  </w:pPr>
                  <ns1:oMath>
                    <ns1:r>
                      <ns1:t>k</ns1:t>
                    </ns1:r>
                  </ns1:oMath>
                  <w:r>
                    <w:t xml:space="preserve"> </w:t>
                  </w:r>
                  <w: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t xml:space="preserve"> </w:t>
                  </w:r>
                  <w: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Kendall</w:t>
                  </w:r>
                  <w:r>
                    <w:t xml:space="preserve"> </w:t>
                  </w:r>
                  <ns1:oMath>
                    <ns1:r>
                      <ns1:t>W</ns1:t>
                    </ns1:r>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3.02</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336"/>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las dos hipótesis omnibus (H1 y H2); ambas</w:t>
      </w:r>
      <w:r>
        <w:t xml:space="preserve"> </w:t>
      </w:r>
      <w:r>
        <w:t xml:space="preserve">permanecen significativas tras la corrección.</w:t>
      </w:r>
    </w:p>
    <w:bookmarkEnd w:id="337"/>
    <w:bookmarkStart w:id="339"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tblLayout w:type="fixed"/>
        <w:tblLook w:firstRow="0" w:lastRow="0" w:firstColumn="0" w:lastColumn="0" w:noHBand="0" w:noVBand="0" w:val="0000"/>
      </w:tblPr>
      <w:tblGrid>
        <w:gridCol w:w="7920"/>
      </w:tblGrid>
      <w:tr>
        <w:tc>
          <w:tcPr/>
          <w:bookmarkStart w:id="338" w:name="tbl-appendix-nemenyi-full"/>
          <w:p>
            <w:pPr>
              <w:jc w:val="both"/>
              <w:spacing w:line="360" w:lineRule="auto"/>
            </w:pPr>
            <w:pPr>
              <w:jc w:val="left"/>
              <w:spacing w:before="200"/>
              <w:pStyle w:val="ImageCaption"/>
            </w:pPr>
            <w:r>
              <w:t xml:space="preserve">Table 7.14: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(fidelidad)</w:t>
                  </w:r>
                </w:p>
              </w:tc>
              <w:tc>
                <w:tcPr/>
                <w:p>
                  <w:pPr>
                    <w:pStyle w:val="Compact"/>
                    <w:jc w:val="both"/>
                    <w:jc w:val="center"/>
                    <w:spacing w:line="360" w:lineRule="auto"/>
                  </w:pPr>
                  <w: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(estabilidad)</w:t>
                  </w:r>
                </w:p>
              </w:tc>
              <w:tc>
                <w:tcPr/>
                <w:p>
                  <w:pPr>
                    <w:pStyle w:val="Compact"/>
                    <w:jc w:val="both"/>
                    <w:jc w:val="center"/>
                    <w:spacing w:line="360" w:lineRule="auto"/>
                  </w:pPr>
                  <w: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338"/>
          <w:p>
            <w:pPr>
              <w:spacing w:line="360" w:lineRule="auto"/>
              <w:jc w:val="both"/>
            </w:pPr>
          </w:p>
        </w:tc>
      </w:tr>
    </w:tbl>
    <w:bookmarkEnd w:id="339"/>
    <w:bookmarkStart w:id="341"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tblLayout w:type="fixed"/>
        <w:tblLook w:firstRow="0" w:lastRow="0" w:firstColumn="0" w:lastColumn="0" w:noHBand="0" w:noVBand="0" w:val="0000"/>
      </w:tblPr>
      <w:tblGrid>
        <w:gridCol w:w="7920"/>
      </w:tblGrid>
      <w:tr>
        <w:tc>
          <w:tcPr/>
          <w:bookmarkStart w:id="340" w:name="tbl-appendix-wilcoxon-full"/>
          <w:p>
            <w:pPr>
              <w:jc w:val="both"/>
              <w:spacing w:line="360" w:lineRule="auto"/>
            </w:pPr>
            <w:pPr>
              <w:jc w:val="left"/>
              <w:spacing w:before="200"/>
              <w:pStyle w:val="ImageCaption"/>
            </w:pPr>
            <w:r>
              <w:t xml:space="preserve">Table 7.15: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acc>
                      <ns1:accPr>
                        <ns1:chr ns1:val="‾"/>
                      </ns1:accPr>
                      <ns1:e>
                        <ns1:r>
                          <ns1:t>d</ns1:t>
                        </ns1:r>
                      </ns1:e>
                    </ns1:acc>
                  </ns1:oMath>
                  <w:r>
                    <w:t xml:space="preserve"> </w:t>
                  </w:r>
                  <w:r>
                    <w:t xml:space="preserve">(SHAP</w:t>
                  </w:r>
                  <ns1:oMath>
                    <ns1:r>
                      <ns1:rPr>
                        <ns1:sty ns1:val="p"/>
                      </ns1:rPr>
                      <ns1:t>−</ns1:t>
                    </ns1:r>
                  </ns1:oMath>
                  <w: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t xml:space="preserve"> </w:t>
                  </w:r>
                  <w: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340"/>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proposición P1 se evalúa sobre el estrato replicado RF/</w:t>
      </w:r>
      <ns1:oMath>
        <ns1:r>
          <ns1:t>N</ns1:t>
        </ns1:r>
        <ns1:r>
          <ns1:rPr>
            <ns1:sty ns1:val="p"/>
          </ns1:rPr>
          <ns1:t>=</ns1:t>
        </ns1:r>
        <ns1:r>
          <ns1:t>100</ns1:t>
        </ns1:r>
      </ns1:oMath>
      <w:r>
        <w:t xml:space="preserve"> </w:t>
      </w:r>
      <w:r>
        <w:t xml:space="preserve">del nivel de</w:t>
      </w:r>
      <w:r>
        <w:t xml:space="preserve"> </w:t>
      </w:r>
      <w:r>
        <w:t xml:space="preserve">ejecución de EXP2, agregando las cinco semillas: los valores de la</w:t>
      </w:r>
      <w:r>
        <w:t xml:space="preserve"> </w:t>
      </w:r>
      <w:hyperlink w:anchor="tbl-cv-p1">
        <w:r>
          <w:rPr>
            <w:rStyle w:val="Hipervnculo"/>
          </w:rPr>
          <w:t xml:space="preserve">Table 5.6</w:t>
        </w:r>
      </w:hyperlink>
      <w:r>
        <w:t xml:space="preserve"> </w:t>
      </w:r>
      <w:r>
        <w:t xml:space="preserve">se re-derivan de</w:t>
      </w:r>
      <w:r>
        <w:t xml:space="preserve"> </w:t>
      </w:r>
      <w:r>
        <w:rPr>
          <w:rStyle w:val="VerbatimChar"/>
        </w:rPr>
        <w:t xml:space="preserve">outputs/analysis/paper_a_exp2_stats/exp2_run_level_metrics.csv</w:t>
      </w:r>
      <w:r>
        <w:t xml:space="preserve">. El perfilado</w:t>
      </w:r>
      <w:r>
        <w:t xml:space="preserve"> </w:t>
      </w:r>
      <w:r>
        <w:t xml:space="preserve">de dispersión de EXP1, documentado de forma independiente en</w:t>
      </w:r>
      <w:r>
        <w:t xml:space="preserve"> </w:t>
      </w:r>
      <w:r>
        <w:rPr>
          <w:rStyle w:val="VerbatimChar"/>
        </w:rPr>
        <w:t xml:space="preserve">experiments/exp1_adult/reproducibility/reproducibility_report.csv</w:t>
      </w:r>
      <w:r>
        <w:t xml:space="preserve">, cubre una</w:t>
      </w:r>
      <w:r>
        <w:t xml:space="preserve"> </w:t>
      </w:r>
      <w:r>
        <w:t xml:space="preserve">cohorte distinta (nueve ejecuciones por configuración, modelos</w:t>
      </w:r>
      <w:r>
        <w:t xml:space="preserve"> </w:t>
      </w:r>
      <w:r>
        <w:rPr>
          <w:rStyle w:val="VerbatimChar"/>
        </w:rPr>
        <w:t xml:space="preserve">rf</w:t>
      </w:r>
      <w:r>
        <w:t xml:space="preserve">/</w:t>
      </w:r>
      <w:r>
        <w:rPr>
          <w:rStyle w:val="VerbatimChar"/>
        </w:rPr>
        <w:t xml:space="preserve">xgb</w:t>
      </w:r>
      <w:r>
        <w:t xml:space="preserve"> </w:t>
      </w:r>
      <w:r>
        <w:t xml:space="preserve">con</w:t>
      </w:r>
      <w:r>
        <w:t xml:space="preserve"> </w:t>
      </w:r>
      <w:r>
        <w:t xml:space="preserve">SHAP y LIME) y sostiene la puerta 6 del protocolo, pero no es la fuente de las</w:t>
      </w:r>
      <w:r>
        <w:t xml:space="preserve"> </w:t>
      </w:r>
      <w:r>
        <w:t xml:space="preserve">cifras de la</w:t>
      </w:r>
      <w:r>
        <w:t xml:space="preserve"> </w:t>
      </w:r>
      <w:hyperlink w:anchor="tbl-cv-p1">
        <w:r>
          <w:rPr>
            <w:rStyle w:val="Hipervnculo"/>
          </w:rPr>
          <w:t xml:space="preserve">Table 5.6</w:t>
        </w:r>
      </w:hyperlink>
      <w:r>
        <w:t xml:space="preserve">.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341"/>
    <w:bookmarkEnd w:id="342"/>
    <w:bookmarkStart w:id="344"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tblLayout w:type="fixed"/>
        <w:tblLook w:firstRow="0" w:lastRow="0" w:firstColumn="0" w:lastColumn="0" w:noHBand="0" w:noVBand="0" w:val="0000"/>
      </w:tblPr>
      <w:tblGrid>
        <w:gridCol w:w="7920"/>
      </w:tblGrid>
      <w:tr>
        <w:tc>
          <w:tcPr/>
          <w:bookmarkStart w:id="343" w:name="tbl-appendix-environment"/>
          <w:p>
            <w:pPr>
              <w:jc w:val="both"/>
              <w:spacing w:line="360" w:lineRule="auto"/>
            </w:pPr>
            <w:pPr>
              <w:jc w:val="left"/>
              <w:spacing w:before="200"/>
              <w:pStyle w:val="ImageCaption"/>
            </w:pPr>
            <w:r>
              <w:t xml:space="preserve">Table 7.16: Archivos de entorno y reproducción.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343"/>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344"/>
    <w:bookmarkStart w:id="346"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§sec-exp4-diseno, Capítulo 3; resultados en</w:t>
      </w:r>
      <w:r>
        <w:t xml:space="preserve"> </w:t>
      </w:r>
      <w:r>
        <w:t xml:space="preserve">§sec-exp4-fiabilidad,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Table 6.3</w:t>
        </w:r>
      </w:hyperlink>
      <w:r>
        <w:t xml:space="preserve"> </w:t>
      </w:r>
      <w:r>
        <w:t xml:space="preserve">del</w:t>
      </w:r>
      <w:r>
        <w:t xml:space="preserve"> </w:t>
      </w:r>
      <w:r>
        <w:t xml:space="preserve">Capítulo 5.</w:t>
      </w:r>
    </w:p>
    <w:tbl>
      <w:tblPr>
        <w:tblStyle w:val="Table"/>
        <w:tblW w:type="pct" w:w="5000"/>
        <w:tblLayout w:type="fixed"/>
        <w:tblLook w:firstRow="0" w:lastRow="0" w:firstColumn="0" w:lastColumn="0" w:noHBand="0" w:noVBand="0" w:val="0000"/>
      </w:tblPr>
      <w:tblGrid>
        <w:gridCol w:w="7920"/>
      </w:tblGrid>
      <w:tr>
        <w:tc>
          <w:tcPr/>
          <w:bookmarkStart w:id="345" w:name="tbl-appendix-llm"/>
          <w:p>
            <w:pPr>
              <w:jc w:val="both"/>
              <w:spacing w:line="360" w:lineRule="auto"/>
            </w:pPr>
            <w:pPr>
              <w:jc w:val="left"/>
              <w:spacing w:before="200"/>
              <w:pStyle w:val="ImageCaption"/>
            </w:pPr>
            <w:r>
              <w:t xml:space="preserve">Table 7.17: Artefactos de EXP4 y trazabilidad a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Artefacto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la tesis</w:t>
                  </w:r>
                </w:p>
              </w:tc>
            </w:tr>
            <w:tr>
              <w:tc>
                <w:tcPr/>
                <w:p>
                  <w:pPr>
                    <w:pStyle w:val="Compact"/>
                    <w:jc w:val="both"/>
                    <w:jc w:val="center"/>
                    <w:spacing w:line="360" w:lineRule="auto"/>
                  </w:pPr>
                  <w:r>
                    <w:rPr>
                      <w:rStyle w:val="VerbatimChar"/>
                    </w:rPr>
                    <w:t xml:space="preserve">src/evaluation/exp4_schema.py</w:t>
                  </w:r>
                </w:p>
              </w:tc>
              <w:tc>
                <w:tcPr/>
                <w:p>
                  <w:pPr>
                    <w:pStyle w:val="Compact"/>
                    <w:jc w:val="both"/>
                    <w:jc w:val="center"/>
                    <w:spacing w:line="360" w:lineRule="auto"/>
                  </w:pPr>
                  <w:r>
                    <w:t xml:space="preserve">Esquema de puntuación EXP4: las siete dimensiones y la escala 1–5</w:t>
                  </w:r>
                </w:p>
              </w:tc>
              <w:tc>
                <w:tcPr/>
                <w:p>
                  <w:pPr>
                    <w:pStyle w:val="Compact"/>
                    <w:jc w:val="both"/>
                    <w:jc w:val="center"/>
                    <w:spacing w:line="360" w:lineRule="auto"/>
                  </w:pPr>
                  <w:r>
                    <w:t xml:space="preserve">Instrumento de medición EXP4 (fuente reconstruida, RCA-002)</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tres dimensiones de EXP1;</w:t>
                  </w:r>
                  <w:r>
                    <w:t xml:space="preserve"> </w:t>
                  </w:r>
                  <w:r>
                    <w:rPr>
                      <w:b/>
                      <w:bCs/>
                    </w:rPr>
                    <w:t xml:space="preserve">no</w:t>
                  </w:r>
                  <w:r>
                    <w:t xml:space="preserve"> </w:t>
                  </w:r>
                  <w:r>
                    <w:t xml:space="preserve">es el instrumento de EXP4</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para el juez LLM (EXP1)</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bl>
          <w:bookmarkEnd w:id="345"/>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§sec-exp4-fiabilidad y §sec-futuro).</w:t>
      </w:r>
    </w:p>
    <w:bookmarkEnd w:id="346"/>
    <w:bookmarkEnd w:id="347"/>
    <w:sectPr w:rsidR="004A1446" w:rsidSect="0070096E">
      <w:headerReference ns5:id="rId9" w:type="even"/>
      <w:headerReference ns5:id="rId10" w:type="default"/>
      <w:pgSz w:h="15840" w:w="12240"/>
      <w:pgMar w:bottom="1440" w:footer="720" w:gutter="0" w:header="720" w:left="1440" w:right="1440" w:top="1728"/>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n-U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3" Target="media/rId143.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31" Target="media/rId131.png" /><Relationship Type="http://schemas.openxmlformats.org/officeDocument/2006/relationships/image" Id="rId147" Target="media/rId147.png" /><Relationship Type="http://schemas.openxmlformats.org/officeDocument/2006/relationships/image" Id="rId127" Target="media/rId127.png" /><Relationship Type="http://schemas.openxmlformats.org/officeDocument/2006/relationships/image" Id="rId151" Target="media/rId151.png" /><Relationship Type="http://schemas.openxmlformats.org/officeDocument/2006/relationships/hyperlink" Id="rId224" Target="http://archive.ics.uci.edu/ml" TargetMode="External" /><Relationship Type="http://schemas.openxmlformats.org/officeDocument/2006/relationships/hyperlink" Id="rId247" Target="https://archive.ics.uci.edu/dataset/2/adult" TargetMode="External" /><Relationship Type="http://schemas.openxmlformats.org/officeDocument/2006/relationships/hyperlink" Id="rId202" Target="https://arxiv.org/abs/1806.08049" TargetMode="External" /><Relationship Type="http://schemas.openxmlformats.org/officeDocument/2006/relationships/hyperlink" Id="rId279" Target="https://catalog.princeton.edu/catalog/2081365" TargetMode="External" /><Relationship Type="http://schemas.openxmlformats.org/officeDocument/2006/relationships/hyperlink" Id="rId204" Target="https://doi.org/10.1002/widm.1424" TargetMode="External" /><Relationship Type="http://schemas.openxmlformats.org/officeDocument/2006/relationships/hyperlink" Id="rId265" Target="https://doi.org/10.1002/widm.1493" TargetMode="External" /><Relationship Type="http://schemas.openxmlformats.org/officeDocument/2006/relationships/hyperlink" Id="rId298" Target="https://doi.org/10.1007/978-3-030-28954-6" TargetMode="External" /><Relationship Type="http://schemas.openxmlformats.org/officeDocument/2006/relationships/hyperlink" Id="rId314" Target="https://doi.org/10.1007/978-3-319-57959-7" TargetMode="External" /><Relationship Type="http://schemas.openxmlformats.org/officeDocument/2006/relationships/hyperlink" Id="rId300" Target="https://doi.org/10.1007/s10618-022-00867-8" TargetMode="External" /><Relationship Type="http://schemas.openxmlformats.org/officeDocument/2006/relationships/hyperlink" Id="rId226" Target="https://doi.org/10.1007/s11023-018-9482-5" TargetMode="External" /><Relationship Type="http://schemas.openxmlformats.org/officeDocument/2006/relationships/hyperlink" Id="rId236" Target="https://doi.org/10.1007/s12559-023-10179-8" TargetMode="External" /><Relationship Type="http://schemas.openxmlformats.org/officeDocument/2006/relationships/hyperlink" Id="rId304" Target="https://doi.org/10.1007/s13218-020-00637-y" TargetMode="External" /><Relationship Type="http://schemas.openxmlformats.org/officeDocument/2006/relationships/hyperlink" Id="rId239" Target="https://doi.org/10.1007/s13218-023-00806-9" TargetMode="External" /><Relationship Type="http://schemas.openxmlformats.org/officeDocument/2006/relationships/hyperlink" Id="rId267" Target="https://doi.org/10.1016/j.artint.2018.07.007" TargetMode="External" /><Relationship Type="http://schemas.openxmlformats.org/officeDocument/2006/relationships/hyperlink" Id="rId253" Target="https://doi.org/10.1016/j.artint.2021.103473" TargetMode="External" /><Relationship Type="http://schemas.openxmlformats.org/officeDocument/2006/relationships/hyperlink" Id="rId206" Target="https://doi.org/10.1016/j.inffus.2019.12.012" TargetMode="External" /><Relationship Type="http://schemas.openxmlformats.org/officeDocument/2006/relationships/hyperlink" Id="rId196" Target="https://doi.org/10.1016/j.inffus.2023.101805" TargetMode="External" /><Relationship Type="http://schemas.openxmlformats.org/officeDocument/2006/relationships/hyperlink" Id="rId249" Target="https://doi.org/10.1016/j.jcm.2016.02.012" TargetMode="External" /><Relationship Type="http://schemas.openxmlformats.org/officeDocument/2006/relationships/hyperlink" Id="rId284" Target="https://doi.org/10.1016/j.neucom.2024.128282" TargetMode="External" /><Relationship Type="http://schemas.openxmlformats.org/officeDocument/2006/relationships/hyperlink" Id="rId212" Target="https://doi.org/10.1023/a:1010933404324" TargetMode="External" /><Relationship Type="http://schemas.openxmlformats.org/officeDocument/2006/relationships/hyperlink" Id="rId282" Target="https://doi.org/10.1038/s41467-022-33417-3" TargetMode="External" /><Relationship Type="http://schemas.openxmlformats.org/officeDocument/2006/relationships/hyperlink" Id="rId275" Target="https://doi.org/10.1073/pnas.1900654116" TargetMode="External" /><Relationship Type="http://schemas.openxmlformats.org/officeDocument/2006/relationships/hyperlink" Id="rId228" Target="https://doi.org/10.1080/01621459.1937.10503522" TargetMode="External" /><Relationship Type="http://schemas.openxmlformats.org/officeDocument/2006/relationships/hyperlink" Id="rId191" Target="https://doi.org/10.1109/INES59045.2023.1030000" TargetMode="External" /><Relationship Type="http://schemas.openxmlformats.org/officeDocument/2006/relationships/hyperlink" Id="rId306" Target="https://doi.org/10.1109/TNNLS.2020.3027314" TargetMode="External" /><Relationship Type="http://schemas.openxmlformats.org/officeDocument/2006/relationships/hyperlink" Id="rId292" Target="https://doi.org/10.1109/TPAMI.2023.3331846" TargetMode="External" /><Relationship Type="http://schemas.openxmlformats.org/officeDocument/2006/relationships/hyperlink" Id="rId193" Target="https://doi.org/10.1109/access.2018.2870052" TargetMode="External" /><Relationship Type="http://schemas.openxmlformats.org/officeDocument/2006/relationships/hyperlink" Id="rId230" Target="https://doi.org/10.1109/dsaa.2018.00018" TargetMode="External" /><Relationship Type="http://schemas.openxmlformats.org/officeDocument/2006/relationships/hyperlink" Id="rId241" Target="https://doi.org/10.1126/science.359.6377.725" TargetMode="External" /><Relationship Type="http://schemas.openxmlformats.org/officeDocument/2006/relationships/hyperlink" Id="rId288" Target="https://doi.org/10.1145/2939672.2939778" TargetMode="External" /><Relationship Type="http://schemas.openxmlformats.org/officeDocument/2006/relationships/hyperlink" Id="rId189" Target="https://doi.org/10.1145/3173574.3174156" TargetMode="External" /><Relationship Type="http://schemas.openxmlformats.org/officeDocument/2006/relationships/hyperlink" Id="rId232" Target="https://doi.org/10.1145/3236009" TargetMode="External" /><Relationship Type="http://schemas.openxmlformats.org/officeDocument/2006/relationships/hyperlink" Id="rId259" Target="https://doi.org/10.1145/3236386.3241340" TargetMode="External" /><Relationship Type="http://schemas.openxmlformats.org/officeDocument/2006/relationships/hyperlink" Id="rId269" Target="https://doi.org/10.1145/3287560.3287574" TargetMode="External" /><Relationship Type="http://schemas.openxmlformats.org/officeDocument/2006/relationships/hyperlink" Id="rId245" Target="https://doi.org/10.1145/3313831.3376219" TargetMode="External" /><Relationship Type="http://schemas.openxmlformats.org/officeDocument/2006/relationships/hyperlink" Id="rId273" Target="https://doi.org/10.1145/3351095.3372850" TargetMode="External" /><Relationship Type="http://schemas.openxmlformats.org/officeDocument/2006/relationships/hyperlink" Id="rId302" Target="https://doi.org/10.1145/3375627.3375830" TargetMode="External" /><Relationship Type="http://schemas.openxmlformats.org/officeDocument/2006/relationships/hyperlink" Id="rId286" Target="https://doi.org/10.1145/3375627.3375850" TargetMode="External" /><Relationship Type="http://schemas.openxmlformats.org/officeDocument/2006/relationships/hyperlink" Id="rId271" Target="https://doi.org/10.1145/3387166" TargetMode="External" /><Relationship Type="http://schemas.openxmlformats.org/officeDocument/2006/relationships/hyperlink" Id="rId243" Target="https://doi.org/10.1145/3527848" TargetMode="External" /><Relationship Type="http://schemas.openxmlformats.org/officeDocument/2006/relationships/hyperlink" Id="rId277" Target="https://doi.org/10.1145/3583558" TargetMode="External" /><Relationship Type="http://schemas.openxmlformats.org/officeDocument/2006/relationships/hyperlink" Id="rId210" Target="https://doi.org/10.1145/3631700.3664911" TargetMode="External" /><Relationship Type="http://schemas.openxmlformats.org/officeDocument/2006/relationships/hyperlink" Id="rId263" Target="https://doi.org/10.1145/3647444.3647912" TargetMode="External" /><Relationship Type="http://schemas.openxmlformats.org/officeDocument/2006/relationships/hyperlink" Id="rId216" Target="https://doi.org/10.1145/3737445" TargetMode="External" /><Relationship Type="http://schemas.openxmlformats.org/officeDocument/2006/relationships/hyperlink" Id="rId198" Target="https://doi.org/10.1146/annurev-statistics-040120-030919" TargetMode="External" /><Relationship Type="http://schemas.openxmlformats.org/officeDocument/2006/relationships/hyperlink" Id="rId310" Target="https://doi.org/10.1201/9781003442509" TargetMode="External" /><Relationship Type="http://schemas.openxmlformats.org/officeDocument/2006/relationships/hyperlink" Id="rId294" Target="https://doi.org/10.1214/21-ss133" TargetMode="External" /><Relationship Type="http://schemas.openxmlformats.org/officeDocument/2006/relationships/hyperlink" Id="rId290" Target="https://doi.org/10.1609/aaai.v32i1.11491" TargetMode="External" /><Relationship Type="http://schemas.openxmlformats.org/officeDocument/2006/relationships/hyperlink" Id="rId308" Target="https://doi.org/10.1609/aaai.v34i04.6064" TargetMode="External" /><Relationship Type="http://schemas.openxmlformats.org/officeDocument/2006/relationships/hyperlink" Id="rId312" Target="https://doi.org/10.1613/jair.1.13283" TargetMode="External" /><Relationship Type="http://schemas.openxmlformats.org/officeDocument/2006/relationships/hyperlink" Id="rId234" Target="https://doi.org/10.18653/v1/2020.acl-main.491" TargetMode="External" /><Relationship Type="http://schemas.openxmlformats.org/officeDocument/2006/relationships/hyperlink" Id="rId214" Target="https://doi.org/10.18653/v1/2023.emnlp-main.792" TargetMode="External" /><Relationship Type="http://schemas.openxmlformats.org/officeDocument/2006/relationships/hyperlink" Id="rId316" Target="https://doi.org/10.2139/ssrn.3063289" TargetMode="External" /><Relationship Type="http://schemas.openxmlformats.org/officeDocument/2006/relationships/hyperlink" Id="rId318" Target="https://doi.org/10.2307/3001968" TargetMode="External" /><Relationship Type="http://schemas.openxmlformats.org/officeDocument/2006/relationships/hyperlink" Id="rId255" Target="https://doi.org/10.24963/ijcai.2019/388" TargetMode="External" /><Relationship Type="http://schemas.openxmlformats.org/officeDocument/2006/relationships/hyperlink" Id="rId208" Target="https://doi.org/10.3389/fdata.2021.688969" TargetMode="External" /><Relationship Type="http://schemas.openxmlformats.org/officeDocument/2006/relationships/hyperlink" Id="rId251" Target="https://doi.org/10.3389/fpsyg.2013.00863" TargetMode="External" /><Relationship Type="http://schemas.openxmlformats.org/officeDocument/2006/relationships/hyperlink" Id="rId296" Target="https://doi.org/10.3390/app14198884" TargetMode="External" /><Relationship Type="http://schemas.openxmlformats.org/officeDocument/2006/relationships/hyperlink" Id="rId257" Target="https://doi.org/10.3390/e23010018" TargetMode="External" /><Relationship Type="http://schemas.openxmlformats.org/officeDocument/2006/relationships/hyperlink" Id="rId218" Target="https://doi.org/10.3390/electronics8080832" TargetMode="External" /><Relationship Type="http://schemas.openxmlformats.org/officeDocument/2006/relationships/hyperlink" Id="rId200" Target="https://doi.org/10.3390/technologies13030093" TargetMode="External" /><Relationship Type="http://schemas.openxmlformats.org/officeDocument/2006/relationships/hyperlink" Id="rId222" Target="https://doi.org/10.48550/arxiv.1702.08608" TargetMode="External" /><Relationship Type="http://schemas.openxmlformats.org/officeDocument/2006/relationships/hyperlink" Id="rId261" Target="https://doi.org/10.48550/arxiv.1705.07874" TargetMode="External" /><Relationship Type="http://schemas.openxmlformats.org/officeDocument/2006/relationships/hyperlink" Id="rId320" Target="https://trustai4s-lab.github.io/ffidelity" TargetMode="External" /><Relationship Type="http://schemas.openxmlformats.org/officeDocument/2006/relationships/hyperlink" Id="rId220" Target="https://www.jmlr.org/papers/v7/demsar06a.html" TargetMode="External" /></Relationships>
</file>

<file path=word/_rels/footnotes.xml.rels><?xml version="1.0" encoding="UTF-8"?><Relationships xmlns="http://schemas.openxmlformats.org/package/2006/relationships"><Relationship Type="http://schemas.openxmlformats.org/officeDocument/2006/relationships/hyperlink" Id="rId224" Target="http://archive.ics.uci.edu/ml" TargetMode="External" /><Relationship Type="http://schemas.openxmlformats.org/officeDocument/2006/relationships/hyperlink" Id="rId247" Target="https://archive.ics.uci.edu/dataset/2/adult" TargetMode="External" /><Relationship Type="http://schemas.openxmlformats.org/officeDocument/2006/relationships/hyperlink" Id="rId202" Target="https://arxiv.org/abs/1806.08049" TargetMode="External" /><Relationship Type="http://schemas.openxmlformats.org/officeDocument/2006/relationships/hyperlink" Id="rId279" Target="https://catalog.princeton.edu/catalog/2081365" TargetMode="External" /><Relationship Type="http://schemas.openxmlformats.org/officeDocument/2006/relationships/hyperlink" Id="rId204" Target="https://doi.org/10.1002/widm.1424" TargetMode="External" /><Relationship Type="http://schemas.openxmlformats.org/officeDocument/2006/relationships/hyperlink" Id="rId265" Target="https://doi.org/10.1002/widm.1493" TargetMode="External" /><Relationship Type="http://schemas.openxmlformats.org/officeDocument/2006/relationships/hyperlink" Id="rId298" Target="https://doi.org/10.1007/978-3-030-28954-6" TargetMode="External" /><Relationship Type="http://schemas.openxmlformats.org/officeDocument/2006/relationships/hyperlink" Id="rId314" Target="https://doi.org/10.1007/978-3-319-57959-7" TargetMode="External" /><Relationship Type="http://schemas.openxmlformats.org/officeDocument/2006/relationships/hyperlink" Id="rId300" Target="https://doi.org/10.1007/s10618-022-00867-8" TargetMode="External" /><Relationship Type="http://schemas.openxmlformats.org/officeDocument/2006/relationships/hyperlink" Id="rId226" Target="https://doi.org/10.1007/s11023-018-9482-5" TargetMode="External" /><Relationship Type="http://schemas.openxmlformats.org/officeDocument/2006/relationships/hyperlink" Id="rId236" Target="https://doi.org/10.1007/s12559-023-10179-8" TargetMode="External" /><Relationship Type="http://schemas.openxmlformats.org/officeDocument/2006/relationships/hyperlink" Id="rId304" Target="https://doi.org/10.1007/s13218-020-00637-y" TargetMode="External" /><Relationship Type="http://schemas.openxmlformats.org/officeDocument/2006/relationships/hyperlink" Id="rId239" Target="https://doi.org/10.1007/s13218-023-00806-9" TargetMode="External" /><Relationship Type="http://schemas.openxmlformats.org/officeDocument/2006/relationships/hyperlink" Id="rId267" Target="https://doi.org/10.1016/j.artint.2018.07.007" TargetMode="External" /><Relationship Type="http://schemas.openxmlformats.org/officeDocument/2006/relationships/hyperlink" Id="rId253" Target="https://doi.org/10.1016/j.artint.2021.103473" TargetMode="External" /><Relationship Type="http://schemas.openxmlformats.org/officeDocument/2006/relationships/hyperlink" Id="rId206" Target="https://doi.org/10.1016/j.inffus.2019.12.012" TargetMode="External" /><Relationship Type="http://schemas.openxmlformats.org/officeDocument/2006/relationships/hyperlink" Id="rId196" Target="https://doi.org/10.1016/j.inffus.2023.101805" TargetMode="External" /><Relationship Type="http://schemas.openxmlformats.org/officeDocument/2006/relationships/hyperlink" Id="rId249" Target="https://doi.org/10.1016/j.jcm.2016.02.012" TargetMode="External" /><Relationship Type="http://schemas.openxmlformats.org/officeDocument/2006/relationships/hyperlink" Id="rId284" Target="https://doi.org/10.1016/j.neucom.2024.128282" TargetMode="External" /><Relationship Type="http://schemas.openxmlformats.org/officeDocument/2006/relationships/hyperlink" Id="rId212" Target="https://doi.org/10.1023/a:1010933404324" TargetMode="External" /><Relationship Type="http://schemas.openxmlformats.org/officeDocument/2006/relationships/hyperlink" Id="rId282" Target="https://doi.org/10.1038/s41467-022-33417-3" TargetMode="External" /><Relationship Type="http://schemas.openxmlformats.org/officeDocument/2006/relationships/hyperlink" Id="rId275" Target="https://doi.org/10.1073/pnas.1900654116" TargetMode="External" /><Relationship Type="http://schemas.openxmlformats.org/officeDocument/2006/relationships/hyperlink" Id="rId228" Target="https://doi.org/10.1080/01621459.1937.10503522" TargetMode="External" /><Relationship Type="http://schemas.openxmlformats.org/officeDocument/2006/relationships/hyperlink" Id="rId191" Target="https://doi.org/10.1109/INES59045.2023.1030000" TargetMode="External" /><Relationship Type="http://schemas.openxmlformats.org/officeDocument/2006/relationships/hyperlink" Id="rId306" Target="https://doi.org/10.1109/TNNLS.2020.3027314" TargetMode="External" /><Relationship Type="http://schemas.openxmlformats.org/officeDocument/2006/relationships/hyperlink" Id="rId292" Target="https://doi.org/10.1109/TPAMI.2023.3331846" TargetMode="External" /><Relationship Type="http://schemas.openxmlformats.org/officeDocument/2006/relationships/hyperlink" Id="rId193" Target="https://doi.org/10.1109/access.2018.2870052" TargetMode="External" /><Relationship Type="http://schemas.openxmlformats.org/officeDocument/2006/relationships/hyperlink" Id="rId230" Target="https://doi.org/10.1109/dsaa.2018.00018" TargetMode="External" /><Relationship Type="http://schemas.openxmlformats.org/officeDocument/2006/relationships/hyperlink" Id="rId241" Target="https://doi.org/10.1126/science.359.6377.725" TargetMode="External" /><Relationship Type="http://schemas.openxmlformats.org/officeDocument/2006/relationships/hyperlink" Id="rId288" Target="https://doi.org/10.1145/2939672.2939778" TargetMode="External" /><Relationship Type="http://schemas.openxmlformats.org/officeDocument/2006/relationships/hyperlink" Id="rId189" Target="https://doi.org/10.1145/3173574.3174156" TargetMode="External" /><Relationship Type="http://schemas.openxmlformats.org/officeDocument/2006/relationships/hyperlink" Id="rId232" Target="https://doi.org/10.1145/3236009" TargetMode="External" /><Relationship Type="http://schemas.openxmlformats.org/officeDocument/2006/relationships/hyperlink" Id="rId259" Target="https://doi.org/10.1145/3236386.3241340" TargetMode="External" /><Relationship Type="http://schemas.openxmlformats.org/officeDocument/2006/relationships/hyperlink" Id="rId269" Target="https://doi.org/10.1145/3287560.3287574" TargetMode="External" /><Relationship Type="http://schemas.openxmlformats.org/officeDocument/2006/relationships/hyperlink" Id="rId245" Target="https://doi.org/10.1145/3313831.3376219" TargetMode="External" /><Relationship Type="http://schemas.openxmlformats.org/officeDocument/2006/relationships/hyperlink" Id="rId273" Target="https://doi.org/10.1145/3351095.3372850" TargetMode="External" /><Relationship Type="http://schemas.openxmlformats.org/officeDocument/2006/relationships/hyperlink" Id="rId302" Target="https://doi.org/10.1145/3375627.3375830" TargetMode="External" /><Relationship Type="http://schemas.openxmlformats.org/officeDocument/2006/relationships/hyperlink" Id="rId286" Target="https://doi.org/10.1145/3375627.3375850" TargetMode="External" /><Relationship Type="http://schemas.openxmlformats.org/officeDocument/2006/relationships/hyperlink" Id="rId271" Target="https://doi.org/10.1145/3387166" TargetMode="External" /><Relationship Type="http://schemas.openxmlformats.org/officeDocument/2006/relationships/hyperlink" Id="rId243" Target="https://doi.org/10.1145/3527848" TargetMode="External" /><Relationship Type="http://schemas.openxmlformats.org/officeDocument/2006/relationships/hyperlink" Id="rId277" Target="https://doi.org/10.1145/3583558" TargetMode="External" /><Relationship Type="http://schemas.openxmlformats.org/officeDocument/2006/relationships/hyperlink" Id="rId210" Target="https://doi.org/10.1145/3631700.3664911" TargetMode="External" /><Relationship Type="http://schemas.openxmlformats.org/officeDocument/2006/relationships/hyperlink" Id="rId263" Target="https://doi.org/10.1145/3647444.3647912" TargetMode="External" /><Relationship Type="http://schemas.openxmlformats.org/officeDocument/2006/relationships/hyperlink" Id="rId216" Target="https://doi.org/10.1145/3737445" TargetMode="External" /><Relationship Type="http://schemas.openxmlformats.org/officeDocument/2006/relationships/hyperlink" Id="rId198" Target="https://doi.org/10.1146/annurev-statistics-040120-030919" TargetMode="External" /><Relationship Type="http://schemas.openxmlformats.org/officeDocument/2006/relationships/hyperlink" Id="rId310" Target="https://doi.org/10.1201/9781003442509" TargetMode="External" /><Relationship Type="http://schemas.openxmlformats.org/officeDocument/2006/relationships/hyperlink" Id="rId294" Target="https://doi.org/10.1214/21-ss133" TargetMode="External" /><Relationship Type="http://schemas.openxmlformats.org/officeDocument/2006/relationships/hyperlink" Id="rId290" Target="https://doi.org/10.1609/aaai.v32i1.11491" TargetMode="External" /><Relationship Type="http://schemas.openxmlformats.org/officeDocument/2006/relationships/hyperlink" Id="rId308" Target="https://doi.org/10.1609/aaai.v34i04.6064" TargetMode="External" /><Relationship Type="http://schemas.openxmlformats.org/officeDocument/2006/relationships/hyperlink" Id="rId312" Target="https://doi.org/10.1613/jair.1.13283" TargetMode="External" /><Relationship Type="http://schemas.openxmlformats.org/officeDocument/2006/relationships/hyperlink" Id="rId234" Target="https://doi.org/10.18653/v1/2020.acl-main.491" TargetMode="External" /><Relationship Type="http://schemas.openxmlformats.org/officeDocument/2006/relationships/hyperlink" Id="rId214" Target="https://doi.org/10.18653/v1/2023.emnlp-main.792" TargetMode="External" /><Relationship Type="http://schemas.openxmlformats.org/officeDocument/2006/relationships/hyperlink" Id="rId316" Target="https://doi.org/10.2139/ssrn.3063289" TargetMode="External" /><Relationship Type="http://schemas.openxmlformats.org/officeDocument/2006/relationships/hyperlink" Id="rId318" Target="https://doi.org/10.2307/3001968" TargetMode="External" /><Relationship Type="http://schemas.openxmlformats.org/officeDocument/2006/relationships/hyperlink" Id="rId255" Target="https://doi.org/10.24963/ijcai.2019/388" TargetMode="External" /><Relationship Type="http://schemas.openxmlformats.org/officeDocument/2006/relationships/hyperlink" Id="rId208" Target="https://doi.org/10.3389/fdata.2021.688969" TargetMode="External" /><Relationship Type="http://schemas.openxmlformats.org/officeDocument/2006/relationships/hyperlink" Id="rId251" Target="https://doi.org/10.3389/fpsyg.2013.00863" TargetMode="External" /><Relationship Type="http://schemas.openxmlformats.org/officeDocument/2006/relationships/hyperlink" Id="rId296" Target="https://doi.org/10.3390/app14198884" TargetMode="External" /><Relationship Type="http://schemas.openxmlformats.org/officeDocument/2006/relationships/hyperlink" Id="rId257" Target="https://doi.org/10.3390/e23010018" TargetMode="External" /><Relationship Type="http://schemas.openxmlformats.org/officeDocument/2006/relationships/hyperlink" Id="rId218" Target="https://doi.org/10.3390/electronics8080832" TargetMode="External" /><Relationship Type="http://schemas.openxmlformats.org/officeDocument/2006/relationships/hyperlink" Id="rId200" Target="https://doi.org/10.3390/technologies13030093" TargetMode="External" /><Relationship Type="http://schemas.openxmlformats.org/officeDocument/2006/relationships/hyperlink" Id="rId222" Target="https://doi.org/10.48550/arxiv.1702.08608" TargetMode="External" /><Relationship Type="http://schemas.openxmlformats.org/officeDocument/2006/relationships/hyperlink" Id="rId261" Target="https://doi.org/10.48550/arxiv.1705.07874" TargetMode="External" /><Relationship Type="http://schemas.openxmlformats.org/officeDocument/2006/relationships/hyperlink" Id="rId320" Target="https://trustai4s-lab.github.io/ffidelity" TargetMode="External" /><Relationship Type="http://schemas.openxmlformats.org/officeDocument/2006/relationships/hyperlink" Id="rId220" Target="https://www.jmlr.org/papers/v7/demsar06a.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para la Evaluación Multinivel de la Explicabilidad en IA</dc:title>
  <dc:creator>J. Herrera</dc:creator>
  <cp:keywords/>
  <dcterms:created xsi:type="dcterms:W3CDTF">2026-08-29T00:39:20Z</dcterms:created>
  <dcterms:modified xsi:type="dcterms:W3CDTF">2026-08-29T00:39:20Z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Table of contents</vt:lpwstr>
  </property>
</Properties>
</file>