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Tesis doctoral: incorporación de los estudios de seguimiento</w:t>
      </w:r>
    </w:p>
    <w:p>
      <w:pPr>
        <w:pStyle w:val="Subtitle"/>
      </w:pPr>
      <w:r>
        <w:t xml:space="preserve">Registro de cambios para el tutor</w:t>
      </w:r>
    </w:p>
    <w:p>
      <w:pPr>
        <w:pStyle w:val="Author"/>
      </w:pPr>
      <w:r>
        <w:t xml:space="preserve">Jonathan Herrera Vásquez</w:t>
      </w:r>
    </w:p>
    <w:p>
      <w:pPr>
        <w:pStyle w:val="Date"/>
      </w:pPr>
      <w:r>
        <w:t xml:space="preserve">12 de octubre de 2026</w:t>
      </w:r>
    </w:p>
    <w:bookmarkStart w:id="9" w:name="propósito-de-este-documento"/>
    <w:p>
      <w:pPr>
        <w:pStyle w:val="Heading1"/>
      </w:pPr>
      <w:r>
        <w:t xml:space="preserve">Propósito de este documento</w:t>
      </w:r>
    </w:p>
    <w:p>
      <w:pPr>
        <w:pStyle w:val="FirstParagraph"/>
      </w:pPr>
      <w:r>
        <w:t xml:space="preserve">Desde la versión de la tesis que usted revisó se han completado tres estudios</w:t>
      </w:r>
      <w:r>
        <w:t xml:space="preserve"> </w:t>
      </w:r>
      <w:r>
        <w:t xml:space="preserve">nuevos y se han añadido controles al estudio de los jueces basados en modelos</w:t>
      </w:r>
      <w:r>
        <w:t xml:space="preserve"> </w:t>
      </w:r>
      <w:r>
        <w:t xml:space="preserve">de lenguaje. Los cuatro trabajos están enviados a revistas. Este documento</w:t>
      </w:r>
      <w:r>
        <w:t xml:space="preserve"> </w:t>
      </w:r>
      <w:r>
        <w:t xml:space="preserve">describe cómo se han incorporado a la tesis, qué cambia en cada capítulo y qué</w:t>
      </w:r>
      <w:r>
        <w:t xml:space="preserve"> </w:t>
      </w:r>
      <w:r>
        <w:t xml:space="preserve">no cambia, y las decisiones que se someten a su criterio.</w:t>
      </w:r>
    </w:p>
    <w:p>
      <w:pPr>
        <w:pStyle w:val="BodyText"/>
      </w:pPr>
      <w:r>
        <w:t xml:space="preserve">El criterio seguido es el que usted destacó en su última nota: separar lo que se</w:t>
      </w:r>
      <w:r>
        <w:t xml:space="preserve"> </w:t>
      </w:r>
      <w:r>
        <w:t xml:space="preserve">planificó de lo que se descubrió después. Por eso los estudios nuevos no se</w:t>
      </w:r>
      <w:r>
        <w:t xml:space="preserve"> </w:t>
      </w:r>
      <w:r>
        <w:t xml:space="preserve">mezclan con los capítulos confirmativos.</w:t>
      </w:r>
    </w:p>
    <w:bookmarkEnd w:id="9"/>
    <w:bookmarkStart w:id="10" w:name="lo-que-no-cambia"/>
    <w:p>
      <w:pPr>
        <w:pStyle w:val="Heading1"/>
      </w:pPr>
      <w:r>
        <w:t xml:space="preserve">Lo que no cambia</w:t>
      </w:r>
    </w:p>
    <w:p>
      <w:pPr>
        <w:pStyle w:val="Compact"/>
        <w:numPr>
          <w:ilvl w:val="0"/>
          <w:numId w:val="1001"/>
        </w:numPr>
      </w:pPr>
      <w:r>
        <w:t xml:space="preserve">El objetivo general, los seis objetivos específicos, las hipótesis H1–H3 y</w:t>
      </w:r>
      <w:r>
        <w:t xml:space="preserve"> </w:t>
      </w:r>
      <w:r>
        <w:t xml:space="preserve">las proposiciones P1 y P2, con su redacción actual.</w:t>
      </w:r>
    </w:p>
    <w:p>
      <w:pPr>
        <w:pStyle w:val="Compact"/>
        <w:numPr>
          <w:ilvl w:val="0"/>
          <w:numId w:val="1001"/>
        </w:numPr>
      </w:pPr>
      <w:r>
        <w:t xml:space="preserve">El protocolo FOM-7 y la decisión de la puerta 3.</w:t>
      </w:r>
    </w:p>
    <w:p>
      <w:pPr>
        <w:pStyle w:val="Compact"/>
        <w:numPr>
          <w:ilvl w:val="0"/>
          <w:numId w:val="1001"/>
        </w:numPr>
      </w:pPr>
      <w:r>
        <w:t xml:space="preserve">Todas las tablas de resultados de los Capítulos 4 y 5 y la resolución de las</w:t>
      </w:r>
      <w:r>
        <w:t xml:space="preserve"> </w:t>
      </w:r>
      <w:r>
        <w:t xml:space="preserve">hipótesis.</w:t>
      </w:r>
    </w:p>
    <w:p>
      <w:pPr>
        <w:pStyle w:val="Compact"/>
        <w:numPr>
          <w:ilvl w:val="0"/>
          <w:numId w:val="1001"/>
        </w:numPr>
      </w:pPr>
      <w:r>
        <w:t xml:space="preserve">El contraste de Wilcoxon sobre bloques agregados y su declaración como</w:t>
      </w:r>
      <w:r>
        <w:t xml:space="preserve"> </w:t>
      </w:r>
      <w:r>
        <w:t xml:space="preserve">seguimiento posterior.</w:t>
      </w:r>
    </w:p>
    <w:p>
      <w:pPr>
        <w:pStyle w:val="Compact"/>
        <w:numPr>
          <w:ilvl w:val="0"/>
          <w:numId w:val="1001"/>
        </w:numPr>
      </w:pPr>
      <w:r>
        <w:t xml:space="preserve">La tabla de amenazas a la validez, salvo una fila (véase más abajo), y la</w:t>
      </w:r>
      <w:r>
        <w:t xml:space="preserve"> </w:t>
      </w:r>
      <w:r>
        <w:t xml:space="preserve">frase sobre el límite de constructo.</w:t>
      </w:r>
    </w:p>
    <w:p>
      <w:pPr>
        <w:pStyle w:val="Compact"/>
        <w:numPr>
          <w:ilvl w:val="0"/>
          <w:numId w:val="1001"/>
        </w:numPr>
      </w:pPr>
      <w:r>
        <w:t xml:space="preserve">Los criterios de selección de métodos.</w:t>
      </w:r>
    </w:p>
    <w:bookmarkEnd w:id="10"/>
    <w:bookmarkStart w:id="11" w:name="lo-que-se-añade-un-capítulo-nuevo"/>
    <w:p>
      <w:pPr>
        <w:pStyle w:val="Heading1"/>
      </w:pPr>
      <w:r>
        <w:t xml:space="preserve">Lo que se añade: un capítulo nuevo</w:t>
      </w:r>
    </w:p>
    <w:p>
      <w:pPr>
        <w:pStyle w:val="FirstParagraph"/>
      </w:pPr>
      <w:r>
        <w:t xml:space="preserve">Se añade el</w:t>
      </w:r>
      <w:r>
        <w:t xml:space="preserve"> </w:t>
      </w:r>
      <w:r>
        <w:rPr>
          <w:b/>
          <w:bCs/>
        </w:rPr>
        <w:t xml:space="preserve">Capítulo 6, «Estudios de seguimiento: alcance de validez de las</w:t>
      </w:r>
      <w:r>
        <w:rPr>
          <w:b/>
          <w:bCs/>
        </w:rPr>
        <w:t xml:space="preserve"> </w:t>
      </w:r>
      <w:r>
        <w:rPr>
          <w:b/>
          <w:bCs/>
        </w:rPr>
        <w:t xml:space="preserve">conclusiones»</w:t>
      </w:r>
      <w:r>
        <w:t xml:space="preserve">, entre la taxonomía y las conclusiones, que pasan a ser el</w:t>
      </w:r>
      <w:r>
        <w:t xml:space="preserve"> </w:t>
      </w:r>
      <w:r>
        <w:t xml:space="preserve">Capítulo 7. Tiene unas 3,400 palabras y cinco tablas.</w:t>
      </w:r>
    </w:p>
    <w:p>
      <w:pPr>
        <w:pStyle w:val="BodyText"/>
      </w:pPr>
      <w:r>
        <w:t xml:space="preserve">El capítulo abre con una sección que declara el estatuto de estos trabajos</w:t>
      </w:r>
      <w:r>
        <w:t xml:space="preserve"> </w:t>
      </w:r>
      <w:r>
        <w:t xml:space="preserve">antes de reportar ningún resultado:</w:t>
      </w:r>
    </w:p>
    <w:p>
      <w:pPr>
        <w:pStyle w:val="Compact"/>
        <w:numPr>
          <w:ilvl w:val="0"/>
          <w:numId w:val="1002"/>
        </w:numPr>
      </w:pPr>
      <w:r>
        <w:t xml:space="preserve">son posteriores al plan inferencial congelado en la puerta 1 de FOM-7;</w:t>
      </w:r>
    </w:p>
    <w:p>
      <w:pPr>
        <w:pStyle w:val="Compact"/>
        <w:numPr>
          <w:ilvl w:val="0"/>
          <w:numId w:val="1002"/>
        </w:numPr>
      </w:pPr>
      <w:r>
        <w:t xml:space="preserve">no añaden objetivos específicos ni hipótesis, y se adscriben a la cláusula</w:t>
      </w:r>
      <w:r>
        <w:t xml:space="preserve"> </w:t>
      </w:r>
      <w:r>
        <w:t xml:space="preserve">final del objetivo general («delimitando explícitamente el alcance de validez</w:t>
      </w:r>
      <w:r>
        <w:t xml:space="preserve"> </w:t>
      </w:r>
      <w:r>
        <w:t xml:space="preserve">de la evidencia obtenida»);</w:t>
      </w:r>
    </w:p>
    <w:p>
      <w:pPr>
        <w:pStyle w:val="Compact"/>
        <w:numPr>
          <w:ilvl w:val="0"/>
          <w:numId w:val="1002"/>
        </w:numPr>
      </w:pPr>
      <w:r>
        <w:t xml:space="preserve">cada uno tuvo su propio plan de análisis, registrado en el repositorio antes</w:t>
      </w:r>
      <w:r>
        <w:t xml:space="preserve"> </w:t>
      </w:r>
      <w:r>
        <w:t xml:space="preserve">de calcular sus resultados, y los análisis añadidos después se señalan como</w:t>
      </w:r>
      <w:r>
        <w:t xml:space="preserve"> </w:t>
      </w:r>
      <w:r>
        <w:rPr>
          <w:i/>
          <w:iCs/>
        </w:rPr>
        <w:t xml:space="preserve">post hoc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ninguno modifica la resolución de H1–H3, P1 o P2.</w:t>
      </w:r>
    </w:p>
    <w:p>
      <w:pPr>
        <w:pStyle w:val="FirstParagraph"/>
      </w:pPr>
      <w:r>
        <w:t xml:space="preserve">Cada estudio examina un eje sobre el cual una conclusión del benchmark podría</w:t>
      </w:r>
      <w:r>
        <w:t xml:space="preserve"> </w:t>
      </w:r>
      <w:r>
        <w:t xml:space="preserve">no sostenerse.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Fiabilidad ante el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¿Son menos fiables las explicaciones cuando el modelo se equivoca?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Reanálisis de 265 ejecuciones del benchmark. La estabilidad es menor en las instancias mal clasificadas para los cuatro explicadores. El déficit es grande para SHAP (</w:t>
            </w:r>
            <m:oMath>
              <m:sSub>
                <m:e>
                  <m:r>
                    <m:t>d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1.36</m:t>
              </m:r>
            </m:oMath>
            <w:r>
              <w:t xml:space="preserve">) y DiCE (</w:t>
            </w:r>
            <m:oMath>
              <m:sSub>
                <m:e>
                  <m:r>
                    <m:t>d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2.15</m:t>
              </m:r>
            </m:oMath>
            <w:r>
              <w:t xml:space="preserve">). El de DiCE se explica por la cercanía a la frontera de decisión; el de SHAP,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contraste externo en German Credit no reproduce el déficit de SHAP.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Concordancia entre Explicadores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¿Cuánto coinciden SHAP y LIME sobre la misma instancia?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31,411 explicaciones pareadas. El solapamiento medio de las cinco características principales es 0.393 en Adult, 0.387 en German Credit y 0.714 en Breast Cancer. Ningún método se reproduce por completo a sí mismo al repetirse.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conjuntos de datos y una configuración por explicador.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Transferencia entre Conjuntos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¿Se mantiene el orden de los métodos en otros conjuntos de datos?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Experimento nuevo: 16 conjuntos de datos, 1,280 ejecuciones. La concordancia de los órdenes entre conjuntos es 0.67 en la brecha de fidelidad, 0.88 en estabilidad, 0.79 en parsimonia y 0.87 en coste. El orden entre Anchors y DiCE no se transfiere.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 la concordancia bajo un protocolo de evaluación fijo, no la calidad de las explicaciones en general.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Controles del Estudio de Fiabilidad Inter-juez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¿Sobre qué acuerdan los jueces cuando acuerdan?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el 67 % de la varianza de las puntuaciones se sitúa entre métodos. Al eliminar siete de diez elementos, los tres jueces lo detectan; al asignar los pesos a características equivocadas, solo uno de los tres.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puntuaciones humanas; una llamada por juez en los controles.</w:t>
            </w:r>
          </w:p>
        </w:tc>
      </w:tr>
    </w:tbl>
    <w:p>
      <w:pPr>
        <w:pStyle w:val="BodyText"/>
      </w:pPr>
      <w:r>
        <w:t xml:space="preserve">El capítulo cierra con una tabla que indica, para cada conclusión de los</w:t>
      </w:r>
      <w:r>
        <w:t xml:space="preserve"> </w:t>
      </w:r>
      <w:r>
        <w:t xml:space="preserve">estudios principales, qué añade el seguimiento. En los cinco casos la conclusión</w:t>
      </w:r>
      <w:r>
        <w:t xml:space="preserve"> </w:t>
      </w:r>
      <w:r>
        <w:t xml:space="preserve">se mantiene, con precisiones sobre su alcance.</w:t>
      </w:r>
    </w:p>
    <w:p>
      <w:pPr>
        <w:pStyle w:val="BodyText"/>
      </w:pPr>
      <w:r>
        <w:t xml:space="preserve">El resultado sobre los jueces queda reforzado: los jueces de esta clase</w:t>
      </w:r>
      <w:r>
        <w:t xml:space="preserve"> </w:t>
      </w:r>
      <w:r>
        <w:t xml:space="preserve">acuerdan sobre el método y sobre la forma visible de una explicación, no sobre</w:t>
      </w:r>
      <w:r>
        <w:t xml:space="preserve"> </w:t>
      </w:r>
      <w:r>
        <w:t xml:space="preserve">si es correcta.</w:t>
      </w:r>
    </w:p>
    <w:bookmarkEnd w:id="11"/>
    <w:bookmarkStart w:id="12" w:name="cambios-en-los-capítulos-existentes"/>
    <w:p>
      <w:pPr>
        <w:pStyle w:val="Heading1"/>
      </w:pPr>
      <w:r>
        <w:t xml:space="preserve">Cambios en los capítulos existentes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Lugar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Resumen y 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frase añadida, idéntica en ambos idiomas y sin cifras nuevas, que enumera los cuatro trabajos de seguimiento.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«Seis capítulos» pasa a «siete»; una frase sobre los trabajos de seguimiento; el párrafo de estructura menciona el Capítulo 6 nuevo.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Capítulo 1, tabla de estudios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Tres filas nuevas, marcadas como «seguimiento» y adscritas al objetivo general. Un párrafo bajo la tabla declara su estatuto. La columna de capítulos del Estudio de Fiabilidad Inter-juez añade el 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Capítulo 3, amenazas a la validez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de validez externa: el control aplicado menciona el estudio sobre 16 conjuntos de datos; el riesgo residual precisa que ese estudio cubre el orden de los métodos y no los valores del benchmark.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Capítulo 3, estudios complementarios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párrafo que remite al Capítulo 6. Una frase sobre la condición primaria de la segunda cohorte de jueces (véase «Dos precisiones»).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Capítulo 5, estudio inter-juez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párrafo, «Controles posteriores», que remite al Capítulo 6. El cierre del capítulo anuncia los Capítulos 6 y 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Capítulo 7 (conclusiones)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Subsección nueva, «Aportes de los estudios de seguimiento», con cuatro precisiones y tres recomendaciones de reporte. Se actualizan la primera limitación, una celda de la tabla de fronteras de generalización, la línea futura 4 y la síntesis final.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Apéndices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Apéndice G nuevo, con el plan, el código, los resultados y el archivo Zenodo de cada estudio de seguimiento.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 el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menciones literales al «Capítulo 6» como conclusiones pasan a «Capítulo 7».</w:t>
            </w:r>
          </w:p>
        </w:tc>
      </w:tr>
    </w:tbl>
    <w:p>
      <w:pPr>
        <w:pStyle w:val="BodyText"/>
      </w:pPr>
      <w:r>
        <w:t xml:space="preserve">Las tres recomendaciones de reporte que se incorporan a las conclusiones son:</w:t>
      </w:r>
      <w:r>
        <w:t xml:space="preserve"> </w:t>
      </w:r>
      <w:r>
        <w:t xml:space="preserve">reportar la calidad de la explicación por separado para predicciones correctas</w:t>
      </w:r>
      <w:r>
        <w:t xml:space="preserve"> </w:t>
      </w:r>
      <w:r>
        <w:t xml:space="preserve">e incorrectas; acompañar toda comparación entre explicadores de la</w:t>
      </w:r>
      <w:r>
        <w:t xml:space="preserve"> </w:t>
      </w:r>
      <w:r>
        <w:t xml:space="preserve">repetibilidad de cada uno; y declarar el protocolo del que depende un orden</w:t>
      </w:r>
      <w:r>
        <w:t xml:space="preserve"> </w:t>
      </w:r>
      <w:r>
        <w:t xml:space="preserve">entre métodos antes de tratarlo como propiedad de los métodos.</w:t>
      </w:r>
    </w:p>
    <w:bookmarkEnd w:id="12"/>
    <w:bookmarkStart w:id="13" w:name="dos-precisiones-sobre-lo-ya-escrito"/>
    <w:p>
      <w:pPr>
        <w:pStyle w:val="Heading1"/>
      </w:pPr>
      <w:r>
        <w:t xml:space="preserve">Dos precisiones sobre lo ya escrito</w:t>
      </w:r>
    </w:p>
    <w:p>
      <w:pPr>
        <w:pStyle w:val="FirstParagraph"/>
      </w:pPr>
      <w:r>
        <w:t xml:space="preserve">La revisión posterior del estudio de jueces encontró dos hechos que afectan a</w:t>
      </w:r>
      <w:r>
        <w:t xml:space="preserve"> </w:t>
      </w:r>
      <w:r>
        <w:t xml:space="preserve">la lectura del Capítulo 5, y la tesis ahora los declara.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 condición «con la etiqueta oculta» no la ocultaba de forma efectiva.</w:t>
      </w:r>
      <w:r>
        <w:t xml:space="preserve"> </w:t>
      </w:r>
      <w:r>
        <w:t xml:space="preserve">El registro entregado a los jueces contenía las métricas técnicas y el</w:t>
      </w:r>
      <w:r>
        <w:t xml:space="preserve"> </w:t>
      </w:r>
      <w:r>
        <w:t xml:space="preserve">resultado de la predicción, de los que se deduce la etiqueta. Se añadió una</w:t>
      </w:r>
      <w:r>
        <w:t xml:space="preserve"> </w:t>
      </w:r>
      <w:r>
        <w:t xml:space="preserve">condición sin esa información. El resultado negativo de P2 no cambia.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Anchors y DiCE se puntuaron en un formato que no es el suyo.</w:t>
      </w:r>
      <w:r>
        <w:t xml:space="preserve"> </w:t>
      </w:r>
      <w:r>
        <w:t xml:space="preserve">El formato</w:t>
      </w:r>
      <w:r>
        <w:t xml:space="preserve"> </w:t>
      </w:r>
      <w:r>
        <w:t xml:space="preserve">común presenta la regla sin umbrales y el contrafactual sin dirección. Los</w:t>
      </w:r>
      <w:r>
        <w:t xml:space="preserve"> </w:t>
      </w:r>
      <w:r>
        <w:t xml:space="preserve">controles posteriores se restringen por ello a SHAP y LIME.</w:t>
      </w:r>
    </w:p>
    <w:bookmarkEnd w:id="13"/>
    <w:bookmarkStart w:id="14" w:name="Xe8ab25c678455cba6b35324068b26df16cb7417"/>
    <w:p>
      <w:pPr>
        <w:pStyle w:val="Heading1"/>
      </w:pPr>
      <w:r>
        <w:t xml:space="preserve">Correcciones menores halladas en la revisión final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Tres figuras del Capítulo 4</w:t>
      </w:r>
      <w:r>
        <w:t xml:space="preserve"> </w:t>
      </w:r>
      <w:r>
        <w:t xml:space="preserve">habían sido sustituidas por error, el 5 de</w:t>
      </w:r>
      <w:r>
        <w:t xml:space="preserve"> </w:t>
      </w:r>
      <w:r>
        <w:t xml:space="preserve">octubre, por sus versiones en blanco y negro preparadas para el capítulo de</w:t>
      </w:r>
      <w:r>
        <w:t xml:space="preserve"> </w:t>
      </w:r>
      <w:r>
        <w:t xml:space="preserve">libro. Los datos eran los mismos, pero una etiqueta de la matriz de</w:t>
      </w:r>
      <w:r>
        <w:t xml:space="preserve"> </w:t>
      </w:r>
      <w:r>
        <w:t xml:space="preserve">correlación no se leía. Se han restaurado las versiones en color y se ha</w:t>
      </w:r>
      <w:r>
        <w:t xml:space="preserve"> </w:t>
      </w:r>
      <w:r>
        <w:t xml:space="preserve">corregido el generador para que no vuelva a ocurrir.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Apéndice B:</w:t>
      </w:r>
      <w:r>
        <w:t xml:space="preserve"> </w:t>
      </w:r>
      <w:r>
        <w:t xml:space="preserve">una referencia a la «Tabla 3.1» estaba escrita a mano; ahora</w:t>
      </w:r>
      <w:r>
        <w:t xml:space="preserve"> </w:t>
      </w:r>
      <w:r>
        <w:t xml:space="preserve">es una referencia cruzada generada.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Apéndice C:</w:t>
      </w:r>
      <w:r>
        <w:t xml:space="preserve"> </w:t>
      </w:r>
      <w:r>
        <w:t xml:space="preserve">la tabla de sensibilidad de KernelSHAP al conjunto de</w:t>
      </w:r>
      <w:r>
        <w:t xml:space="preserve"> </w:t>
      </w:r>
      <w:r>
        <w:t xml:space="preserve">referencia declara ahora que sus archivos de salida no se conservan y que se</w:t>
      </w:r>
      <w:r>
        <w:t xml:space="preserve"> </w:t>
      </w:r>
      <w:r>
        <w:t xml:space="preserve">reporta como medición exploratoria.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Barrido de cifras.</w:t>
      </w:r>
      <w:r>
        <w:t xml:space="preserve"> </w:t>
      </w:r>
      <w:r>
        <w:t xml:space="preserve">La verificación automática cubre ahora todos los</w:t>
      </w:r>
      <w:r>
        <w:t xml:space="preserve"> </w:t>
      </w:r>
      <w:r>
        <w:t xml:space="preserve">archivos de la tesis. La introducción y los Capítulos 1 y 2 no tenían ninguna</w:t>
      </w:r>
      <w:r>
        <w:t xml:space="preserve"> </w:t>
      </w:r>
      <w:r>
        <w:t xml:space="preserve">cifra sin registrar; los apéndices tenían diez, todas resueltas.</w:t>
      </w:r>
    </w:p>
    <w:bookmarkEnd w:id="14"/>
    <w:bookmarkStart w:id="15" w:name="decisiones-que-se-someten-a-su-criterio"/>
    <w:p>
      <w:pPr>
        <w:pStyle w:val="Heading1"/>
      </w:pPr>
      <w:r>
        <w:t xml:space="preserve">Decisiones que se someten a su criterio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Capítulo propio para los estudios de seguimiento.</w:t>
      </w:r>
      <w:r>
        <w:t xml:space="preserve"> </w:t>
      </w:r>
      <w:r>
        <w:t xml:space="preserve">La alternativa es</w:t>
      </w:r>
      <w:r>
        <w:t xml:space="preserve"> </w:t>
      </w:r>
      <w:r>
        <w:t xml:space="preserve">repartir su diseño en el Capítulo 3 y sus resultados en el Capítulo 4. Se</w:t>
      </w:r>
      <w:r>
        <w:t xml:space="preserve"> </w:t>
      </w:r>
      <w:r>
        <w:t xml:space="preserve">descartó porque mezcla resultados posteriores con los confirmativos.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Ningún objetivo específico nuevo.</w:t>
      </w:r>
      <w:r>
        <w:t xml:space="preserve"> </w:t>
      </w:r>
      <w:r>
        <w:t xml:space="preserve">La alternativa es un objetivo</w:t>
      </w:r>
      <w:r>
        <w:t xml:space="preserve"> </w:t>
      </w:r>
      <w:r>
        <w:t xml:space="preserve">exploratorio OE7, redactado como OE6. Se descartó porque un objetivo se</w:t>
      </w:r>
      <w:r>
        <w:t xml:space="preserve"> </w:t>
      </w:r>
      <w:r>
        <w:t xml:space="preserve">formula antes de su resultado, pero es una decisión que le corresponde</w:t>
      </w:r>
      <w:r>
        <w:t xml:space="preserve"> </w:t>
      </w:r>
      <w:r>
        <w:t xml:space="preserve">valorar.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Nombres de los estudios:</w:t>
      </w:r>
      <w:r>
        <w:t xml:space="preserve"> </w:t>
      </w:r>
      <w:r>
        <w:t xml:space="preserve">Estudio de Fiabilidad ante el Error, Estudio de</w:t>
      </w:r>
      <w:r>
        <w:t xml:space="preserve"> </w:t>
      </w:r>
      <w:r>
        <w:t xml:space="preserve">Concordancia entre Explicadores y Estudio de Transferencia entre Conjuntos</w:t>
      </w:r>
      <w:r>
        <w:t xml:space="preserve"> </w:t>
      </w:r>
      <w:r>
        <w:t xml:space="preserve">de Datos.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Extensión.</w:t>
      </w:r>
      <w:r>
        <w:t xml:space="preserve"> </w:t>
      </w:r>
      <w:r>
        <w:t xml:space="preserve">El capítulo nuevo resume cada estudio en una o dos páginas.</w:t>
      </w:r>
      <w:r>
        <w:t xml:space="preserve"> </w:t>
      </w:r>
      <w:r>
        <w:t xml:space="preserve">Puede ampliarse si lo considera necesario.</w:t>
      </w:r>
    </w:p>
    <w:bookmarkEnd w:id="15"/>
    <w:bookmarkStart w:id="16" w:name="verificación-realizada"/>
    <w:p>
      <w:pPr>
        <w:pStyle w:val="Heading1"/>
      </w:pPr>
      <w:r>
        <w:t xml:space="preserve">Verificación realizada</w:t>
      </w:r>
    </w:p>
    <w:p>
      <w:pPr>
        <w:pStyle w:val="Compact"/>
        <w:numPr>
          <w:ilvl w:val="0"/>
          <w:numId w:val="1006"/>
        </w:numPr>
      </w:pPr>
      <w:r>
        <w:t xml:space="preserve">Las 79 cifras del capítulo nuevo se vuelven a derivar de los archivos de</w:t>
      </w:r>
      <w:r>
        <w:t xml:space="preserve"> </w:t>
      </w:r>
      <w:r>
        <w:t xml:space="preserve">resultados en la verificación automática; ninguna se escribió a mano.</w:t>
      </w:r>
    </w:p>
    <w:p>
      <w:pPr>
        <w:pStyle w:val="Compact"/>
        <w:numPr>
          <w:ilvl w:val="0"/>
          <w:numId w:val="1006"/>
        </w:numPr>
      </w:pPr>
      <w:r>
        <w:t xml:space="preserve">La verificación completa pasa: 1,387 afirmaciones, 1,728 lugares, 38 archivos</w:t>
      </w:r>
      <w:r>
        <w:t xml:space="preserve"> </w:t>
      </w:r>
      <w:r>
        <w:t xml:space="preserve">cubiertos.</w:t>
      </w:r>
    </w:p>
    <w:p>
      <w:pPr>
        <w:pStyle w:val="Compact"/>
        <w:numPr>
          <w:ilvl w:val="0"/>
          <w:numId w:val="1006"/>
        </w:numPr>
      </w:pPr>
      <w:r>
        <w:t xml:space="preserve">La tesis se ha renderizado completa a Word: siete capítulos, ninguna</w:t>
      </w:r>
      <w:r>
        <w:t xml:space="preserve"> </w:t>
      </w:r>
      <w:r>
        <w:t xml:space="preserve">referencia cruzada sin resolver.</w:t>
      </w:r>
    </w:p>
    <w:p>
      <w:pPr>
        <w:pStyle w:val="Compact"/>
        <w:numPr>
          <w:ilvl w:val="0"/>
          <w:numId w:val="1006"/>
        </w:numPr>
      </w:pPr>
      <w:r>
        <w:t xml:space="preserve">Se ha repasado la lista de enunciados de primer nivel (objetivos, hipótesis,</w:t>
      </w:r>
      <w:r>
        <w:t xml:space="preserve"> </w:t>
      </w:r>
      <w:r>
        <w:t xml:space="preserve">proposiciones, Resumen y Abstract) frente al cuerpo: son coherentes.</w:t>
      </w:r>
    </w:p>
    <w:p>
      <w:pPr>
        <w:pStyle w:val="FirstParagraph"/>
      </w:pPr>
      <w:r>
        <w:t xml:space="preserve">Queda pendiente, antes del depósito, comprobar la política de publicación previa</w:t>
      </w:r>
      <w:r>
        <w:t xml:space="preserve"> </w:t>
      </w:r>
      <w:r>
        <w:t xml:space="preserve">de cada revista con un artículo en revisión, dado que la tesis incluirá sus</w:t>
      </w:r>
      <w:r>
        <w:t xml:space="preserve"> </w:t>
      </w:r>
      <w:r>
        <w:t xml:space="preserve">resultados.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Tesis doctoral: incorporación de los estudios de seguimiento</dc:title>
  <dc:creator>Jonathan Herrera Vásquez</dc:creator>
  <dc:language>es</dc:language>
  <cp:keywords/>
  <dcterms:created xsi:type="dcterms:W3CDTF">2026-10-13T01:11:00Z</dcterms:created>
  <dcterms:modified xsi:type="dcterms:W3CDTF">2026-10-13T01:11:00Z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12 de octubre de 2026</vt:lpwstr>
  </property>
  <property fmtid="{D5CDD505-2E9C-101B-9397-08002B2CF9AE}" pid="3" name="subtitle">
    <vt:lpwstr>Registro de cambios para el tutor</vt:lpwstr>
  </property>
</Properties>
</file>