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360"/>
              <w:left w:type="dxa" w:w="400"/>
              <w:bottom w:type="dxa" w:w="280"/>
              <w:right w:type="dxa" w:w="400"/>
            </w:tcMar>
          </w:tcPr>
          <w:p>
            <w:pPr>
              <w:spacing w:after="60" w:before="0"/>
            </w:pPr>
            <w:r>
              <w:rPr>
                <w:rFonts w:ascii="Arial" w:cs="Arial" w:eastAsia="Arial" w:hAnsi="Arial"/>
                <w:b/>
                <w:bCs/>
                <w:color w:val="E94560"/>
                <w:sz w:val="64"/>
                <w:szCs w:val="64"/>
              </w:rPr>
              <w:t xml:space="preserve">SLURRY</w:t>
            </w:r>
            <w:r>
              <w:rPr>
                <w:rFonts w:ascii="Arial" w:cs="Arial" w:eastAsia="Arial" w:hAnsi="Arial"/>
                <w:b/>
                <w:bCs/>
                <w:color w:val="888888"/>
                <w:sz w:val="48"/>
                <w:szCs w:val="48"/>
              </w:rPr>
              <w:t xml:space="preserve">  1.0</w:t>
            </w:r>
          </w:p>
          <w:p>
            <w:pPr>
              <w:spacing w:after="40" w:before="0"/>
            </w:pPr>
            <w:r>
              <w:rPr>
                <w:rFonts w:ascii="Arial" w:cs="Arial" w:eastAsia="Arial" w:hAnsi="Arial"/>
                <w:color w:val="CCCCCC"/>
                <w:sz w:val="22"/>
                <w:szCs w:val="22"/>
              </w:rPr>
              <w:t xml:space="preserve">A Multi-Axis Epistemic Risk Protocol for Synthetic Media Environments</w:t>
            </w:r>
          </w:p>
          <w:p>
            <w:pPr>
              <w:spacing w:after="0" w:before="40"/>
            </w:pPr>
            <w:r>
              <w:rPr>
                <w:rFonts w:ascii="Arial" w:cs="Arial" w:eastAsia="Arial" w:hAnsi="Arial"/>
                <w:color w:val="888888"/>
                <w:sz w:val="17"/>
                <w:szCs w:val="17"/>
              </w:rPr>
              <w:t xml:space="preserve">Jon Nealon  ·  </w:t>
            </w:r>
            <w:r>
              <w:rPr>
                <w:rFonts w:ascii="Arial" w:cs="Arial" w:eastAsia="Arial" w:hAnsi="Arial"/>
                <w:i/>
                <w:iCs/>
                <w:color w:val="888888"/>
                <w:sz w:val="17"/>
                <w:szCs w:val="17"/>
              </w:rPr>
              <w:t xml:space="preserve">DMI Summer School 2026  ·  University of Amsterdam</w:t>
            </w:r>
          </w:p>
        </w:tc>
      </w:tr>
    </w:tbl>
    <w:p>
      <w:pPr>
        <w:spacing w:after="0" w:before="160"/>
      </w:pPr>
    </w:p>
    <w:p>
      <w:pPr>
        <w:pBdr>
          <w:bottom w:val="single" w:color="E94560" w:sz="6" w:space="1"/>
        </w:pBdr>
        <w:spacing w:after="0" w:before="0"/>
      </w:pPr>
    </w:p>
    <w:p>
      <w:pPr>
        <w:spacing w:after="0" w:before="160"/>
      </w:pPr>
    </w:p>
    <w:p>
      <w:pPr>
        <w:spacing w:after="40" w:before="160"/>
      </w:pPr>
      <w:r>
        <w:rPr>
          <w:rFonts w:ascii="Arial" w:cs="Arial" w:eastAsia="Arial" w:hAnsi="Arial"/>
          <w:b/>
          <w:bCs/>
          <w:color w:val="E94560"/>
          <w:spacing w:val="40"/>
          <w:sz w:val="16"/>
          <w:szCs w:val="16"/>
        </w:rPr>
        <w:t xml:space="preserve">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F0" w:val="clear"/>
            <w:tcMar>
              <w:top w:type="dxa" w:w="180"/>
              <w:left w:type="dxa" w:w="360"/>
              <w:bottom w:type="dxa" w:w="180"/>
              <w:right w:type="dxa" w:w="360"/>
            </w:tcMar>
          </w:tcPr>
          <w:p>
            <w:pPr>
              <w:spacing w:after="60" w:before="0"/>
            </w:pPr>
            <w:r>
              <w:rPr>
                <w:rFonts w:ascii="Arial" w:cs="Arial" w:eastAsia="Arial" w:hAnsi="Arial"/>
                <w:b/>
                <w:bCs/>
                <w:color w:val="E94560"/>
                <w:sz w:val="19"/>
                <w:szCs w:val="19"/>
              </w:rPr>
              <w:t xml:space="preserve">The central claim</w:t>
            </w:r>
          </w:p>
          <w:p>
            <w:pPr>
              <w:spacing w:after="0" w:before="0"/>
            </w:pPr>
            <w:r>
              <w:rPr>
                <w:rFonts w:ascii="Arial" w:cs="Arial" w:eastAsia="Arial" w:hAnsi="Arial"/>
                <w:i w:val="false"/>
                <w:iCs w:val="false"/>
                <w:color w:val="1A1A2E"/>
                <w:sz w:val="20"/>
                <w:szCs w:val="20"/>
              </w:rPr>
              <w:t xml:space="preserve">Existing deepfake detection frameworks produce binary verdicts on individual artifacts — real or fake, pass or fail. SLURRY rejects this forensic paradigm. Slop is not an artifact property. It is an ecological condition: content that contaminates epistemic environments regardless of how it was produced. The question is not "was this made by AI?" but "what does this content do to an information environment, and what does it carry ideologically?"</w:t>
            </w:r>
          </w:p>
        </w:tc>
      </w:tr>
    </w:tbl>
    <w:p>
      <w:pPr>
        <w:spacing w:after="0" w:before="200"/>
      </w:pPr>
    </w:p>
    <w:p>
      <w:pPr>
        <w:spacing w:after="40" w:before="160"/>
      </w:pPr>
      <w:r>
        <w:rPr>
          <w:rFonts w:ascii="Arial" w:cs="Arial" w:eastAsia="Arial" w:hAnsi="Arial"/>
          <w:b/>
          <w:bCs/>
          <w:color w:val="E94560"/>
          <w:spacing w:val="40"/>
          <w:sz w:val="16"/>
          <w:szCs w:val="16"/>
        </w:rPr>
        <w:t xml:space="preserve">WHY CHARACTERIZATION, NOT DETECTION</w:t>
      </w:r>
    </w:p>
    <w:p>
      <w:pPr>
        <w:spacing w:after="120" w:before="60"/>
        <w:jc w:val="left"/>
      </w:pPr>
      <w:r>
        <w:rPr>
          <w:rFonts w:ascii="Arial" w:cs="Arial" w:eastAsia="Arial" w:hAnsi="Arial"/>
          <w:b w:val="false"/>
          <w:bCs w:val="false"/>
          <w:i w:val="false"/>
          <w:iCs w:val="false"/>
          <w:color w:val="1A1A2E"/>
          <w:sz w:val="20"/>
          <w:szCs w:val="20"/>
        </w:rPr>
        <w:t xml:space="preserve">Detection is the wrong frame because slop's harm is ecological, not individual. A deepfake of a politician that reaches twelve people is a different phenomenon than the same deepfake that reaches twelve million the day before an election — even if the pixel-level forensic verdict is identical. What matters is not whether an artifact is synthetic but whether it contaminates the epistemic environment it enters, what ideological payload it carries, and what subjects and contexts attract synthetic amplification. A protocol designed to answer those questions cannot be a binary classifier.</w:t>
      </w:r>
    </w:p>
    <w:p>
      <w:pPr>
        <w:spacing w:after="0" w:before="160"/>
      </w:pPr>
    </w:p>
    <w:p>
      <w:pPr>
        <w:spacing w:after="40" w:before="160"/>
      </w:pPr>
      <w:r>
        <w:rPr>
          <w:rFonts w:ascii="Arial" w:cs="Arial" w:eastAsia="Arial" w:hAnsi="Arial"/>
          <w:b/>
          <w:bCs/>
          <w:color w:val="E94560"/>
          <w:spacing w:val="40"/>
          <w:sz w:val="16"/>
          <w:szCs w:val="16"/>
        </w:rPr>
        <w:t xml:space="preserve">THE FOUR AXES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AXIS</w:t>
            </w:r>
          </w:p>
        </w:tc>
        <w:tc>
          <w:tcPr>
            <w:tcW w:type="dxa" w:w="220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18"/>
                <w:szCs w:val="18"/>
              </w:rPr>
              <w:t xml:space="preserve">NAME / SIGNAL</w:t>
            </w:r>
          </w:p>
        </w:tc>
        <w:tc>
          <w:tcPr>
            <w:tcW w:type="dxa" w:w="63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18"/>
                <w:szCs w:val="18"/>
              </w:rPr>
              <w:t xml:space="preserve">WHAT IT MEASURES</w:t>
            </w:r>
          </w:p>
        </w:tc>
      </w:tr>
      <w:tr>
        <w:tc>
          <w:tcPr>
            <w:tcW w:type="dxa" w:w="800"/>
            <w:tcBorders>
              <w:top w:val="single" w:color="CCCCCC" w:sz="1"/>
              <w:left w:val="single" w:color="CCCCCC" w:sz="1"/>
              <w:bottom w:val="single" w:color="CCCCCC" w:sz="1"/>
              <w:right w:val="single" w:color="CCCCCC"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1</w:t>
            </w:r>
          </w:p>
        </w:tc>
        <w:tc>
          <w:tcPr>
            <w:tcW w:type="dxa" w:w="2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bCs/>
                <w:color w:val="1A1A2E"/>
                <w:sz w:val="20"/>
                <w:szCs w:val="20"/>
              </w:rPr>
              <w:t xml:space="preserve">Biological Signal</w:t>
            </w:r>
          </w:p>
          <w:p>
            <w:r>
              <w:rPr>
                <w:rFonts w:ascii="Arial" w:cs="Arial" w:eastAsia="Arial" w:hAnsi="Arial"/>
                <w:i/>
                <w:iCs/>
                <w:color w:val="666666"/>
                <w:sz w:val="17"/>
                <w:szCs w:val="17"/>
              </w:rPr>
              <w:t xml:space="preserve">EVM · rPPG · Heartbeat band power</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Eulerian Video Magnification detects periodic color variation in the heartbeat frequency band (0.83–2.5 Hz). Real human faces show structured cardiac signal. AI-generated or face-swapped video shows absent, aperiodic, or spatially incoherent signal in this band. The probe does not ask whether blood is present — it asks whether the temporal traces of biological life are encoded in the pixel structure.</w:t>
            </w:r>
          </w:p>
        </w:tc>
      </w:tr>
      <w:tr>
        <w:tc>
          <w:tcPr>
            <w:tcW w:type="dxa" w:w="800"/>
            <w:tcBorders>
              <w:top w:val="single" w:color="CCCCCC" w:sz="1"/>
              <w:left w:val="single" w:color="CCCCCC" w:sz="1"/>
              <w:bottom w:val="single" w:color="CCCCCC" w:sz="1"/>
              <w:right w:val="single" w:color="CCCCCC"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2</w:t>
            </w:r>
          </w:p>
        </w:tc>
        <w:tc>
          <w:tcPr>
            <w:tcW w:type="dxa" w:w="2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bCs/>
                <w:color w:val="1A1A2E"/>
                <w:sz w:val="20"/>
                <w:szCs w:val="20"/>
              </w:rPr>
              <w:t xml:space="preserve">Physical Plausibility</w:t>
            </w:r>
          </w:p>
          <w:p>
            <w:r>
              <w:rPr>
                <w:rFonts w:ascii="Arial" w:cs="Arial" w:eastAsia="Arial" w:hAnsi="Arial"/>
                <w:i/>
                <w:iCs/>
                <w:color w:val="666666"/>
                <w:sz w:val="17"/>
                <w:szCs w:val="17"/>
              </w:rPr>
              <w:t xml:space="preserve">PRNU · FFT fingerprint · Chromatic aberration · Bayer statistics</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Real cameras leave measurable physical traces: PRNU sensor noise, chromatic lens aberration, Bayer filter color channel statistics, characteristic frequency spectra. AI-generated content approximates the appearance of these traces but is not constrained by optics or physics. This axis asks not whether the content looks real, but whether it bears evidence of having existed as light hitting a sensor.</w:t>
            </w:r>
          </w:p>
        </w:tc>
      </w:tr>
      <w:tr>
        <w:tc>
          <w:tcPr>
            <w:tcW w:type="dxa" w:w="800"/>
            <w:tcBorders>
              <w:top w:val="single" w:color="CCCCCC" w:sz="1"/>
              <w:left w:val="single" w:color="CCCCCC" w:sz="1"/>
              <w:bottom w:val="single" w:color="CCCCCC" w:sz="1"/>
              <w:right w:val="single" w:color="CCCCCC"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3</w:t>
            </w:r>
          </w:p>
        </w:tc>
        <w:tc>
          <w:tcPr>
            <w:tcW w:type="dxa" w:w="2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bCs/>
                <w:color w:val="1A1A2E"/>
                <w:sz w:val="20"/>
                <w:szCs w:val="20"/>
              </w:rPr>
              <w:t xml:space="preserve">Subject Prior</w:t>
            </w:r>
          </w:p>
          <w:p>
            <w:r>
              <w:rPr>
                <w:rFonts w:ascii="Arial" w:cs="Arial" w:eastAsia="Arial" w:hAnsi="Arial"/>
                <w:i/>
                <w:iCs/>
                <w:color w:val="666666"/>
                <w:sz w:val="17"/>
                <w:szCs w:val="17"/>
              </w:rPr>
              <w:t xml:space="preserve">Taxonomy · Vessel risk · Trend amplifier</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Some subjects systematically attract synthetic manipulation because of their epistemic utility — their capacity to polarize, suppress, incite, or manufacture consent. A scored taxonomy (20 categories) encodes base priors from documented manipulation patterns, emotional arousal, political valence loading, and vessel risk. Vessel risk is critical: cute/wholesome content carries a low base prior but high vessel risk — it lowers epistemic guard and smuggles ideological payload (the Springfield pets case).</w:t>
            </w:r>
          </w:p>
        </w:tc>
      </w:tr>
      <w:tr>
        <w:tc>
          <w:tcPr>
            <w:tcW w:type="dxa" w:w="800"/>
            <w:tcBorders>
              <w:top w:val="single" w:color="CCCCCC" w:sz="1"/>
              <w:left w:val="single" w:color="CCCCCC" w:sz="1"/>
              <w:bottom w:val="single" w:color="CCCCCC" w:sz="1"/>
              <w:right w:val="single" w:color="CCCCCC" w:sz="1"/>
            </w:tcBorders>
            <w:shd w:fill="E94560" w:val="clear"/>
            <w:tcMar>
              <w:top w:type="dxa" w:w="100"/>
              <w:left w:type="dxa" w:w="140"/>
              <w:bottom w:type="dxa" w:w="100"/>
              <w:right w:type="dxa" w:w="140"/>
            </w:tcMar>
          </w:tcPr>
          <w:p>
            <w:pPr>
              <w:jc w:val="center"/>
            </w:pPr>
            <w:r>
              <w:rPr>
                <w:rFonts w:ascii="Arial" w:cs="Arial" w:eastAsia="Arial" w:hAnsi="Arial"/>
                <w:b/>
                <w:bCs/>
                <w:color w:val="FFFFFF"/>
                <w:sz w:val="24"/>
                <w:szCs w:val="24"/>
              </w:rPr>
              <w:t xml:space="preserve">4</w:t>
            </w:r>
          </w:p>
        </w:tc>
        <w:tc>
          <w:tcPr>
            <w:tcW w:type="dxa" w:w="2200"/>
            <w:tcBorders>
              <w:top w:val="single" w:color="CCCCCC" w:sz="1"/>
              <w:left w:val="single" w:color="CCCCCC" w:sz="1"/>
              <w:bottom w:val="single" w:color="CCCCCC" w:sz="1"/>
              <w:right w:val="single" w:color="CCCCCC" w:sz="1"/>
            </w:tcBorders>
            <w:shd w:fill="F8F8F8" w:val="clear"/>
            <w:tcMar>
              <w:top w:type="dxa" w:w="100"/>
              <w:left w:type="dxa" w:w="140"/>
              <w:bottom w:type="dxa" w:w="100"/>
              <w:right w:type="dxa" w:w="140"/>
            </w:tcMar>
          </w:tcPr>
          <w:p>
            <w:r>
              <w:rPr>
                <w:rFonts w:ascii="Arial" w:cs="Arial" w:eastAsia="Arial" w:hAnsi="Arial"/>
                <w:b/>
                <w:bCs/>
                <w:color w:val="1A1A2E"/>
                <w:sz w:val="20"/>
                <w:szCs w:val="20"/>
              </w:rPr>
              <w:t xml:space="preserve">Context &amp; Trend Signal</w:t>
            </w:r>
          </w:p>
          <w:p>
            <w:r>
              <w:rPr>
                <w:rFonts w:ascii="Arial" w:cs="Arial" w:eastAsia="Arial" w:hAnsi="Arial"/>
                <w:i/>
                <w:iCs/>
                <w:color w:val="666666"/>
                <w:sz w:val="17"/>
                <w:szCs w:val="17"/>
              </w:rPr>
              <w:t xml:space="preserve">Google Trends · Reddit · Wikipedia · Platform risk · Election proximity</w:t>
            </w:r>
          </w:p>
        </w:tc>
        <w:tc>
          <w:tcPr>
            <w:tcW w:type="dxa" w:w="6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color w:val="1A1A2E"/>
                <w:sz w:val="19"/>
                <w:szCs w:val="19"/>
              </w:rPr>
              <w:t xml:space="preserve">What trends on platforms today is the raw material the sloposphere synthesizes tomorrow. This axis computes a dynamic leading indicator from Google Trends, Reddit, and Wikipedia pageview velocity, then applies it as an amplifier to the subject prior. Platform of distribution, account age, posting velocity, election proximity, and first-hour virality also contribute. The trend signal makes the protocol anticipatory rather than purely reactive.</w:t>
            </w:r>
          </w:p>
        </w:tc>
      </w:tr>
    </w:tbl>
    <w:p>
      <w:pPr>
        <w:spacing w:after="0" w:before="200"/>
      </w:pPr>
    </w:p>
    <w:p>
      <w:pPr>
        <w:spacing w:after="40" w:before="160"/>
      </w:pPr>
      <w:r>
        <w:rPr>
          <w:rFonts w:ascii="Arial" w:cs="Arial" w:eastAsia="Arial" w:hAnsi="Arial"/>
          <w:b/>
          <w:bCs/>
          <w:color w:val="E94560"/>
          <w:spacing w:val="40"/>
          <w:sz w:val="16"/>
          <w:szCs w:val="16"/>
        </w:rPr>
        <w:t xml:space="preserve">THE EQUATION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160"/>
              <w:left w:type="dxa" w:w="320"/>
              <w:bottom w:type="dxa" w:w="160"/>
              <w:right w:type="dxa" w:w="320"/>
            </w:tcMar>
          </w:tcPr>
          <w:p>
            <w:pPr>
              <w:spacing w:after="60" w:before="0"/>
              <w:jc w:val="center"/>
            </w:pPr>
            <w:r>
              <w:rPr>
                <w:rFonts w:ascii="Courier New" w:cs="Courier New" w:eastAsia="Courier New" w:hAnsi="Courier New"/>
                <w:b/>
                <w:bCs/>
                <w:color w:val="1A1A2E"/>
                <w:sz w:val="22"/>
                <w:szCs w:val="22"/>
              </w:rPr>
              <w:t xml:space="preserve">P(slop | content)  =  f [ P(slop | signal)  ×  P(slop | subject)  ×  P(slop | context) ]</w:t>
            </w:r>
          </w:p>
          <w:p>
            <w:pPr>
              <w:spacing w:after="0" w:before="0"/>
              <w:jc w:val="center"/>
            </w:pPr>
            <w:r>
              <w:rPr>
                <w:rFonts w:ascii="Arial" w:cs="Arial" w:eastAsia="Arial" w:hAnsi="Arial"/>
                <w:i/>
                <w:iCs/>
                <w:color w:val="666666"/>
                <w:sz w:val="17"/>
                <w:szCs w:val="17"/>
              </w:rPr>
              <w:t xml:space="preserve">Composite score weighted by evidence strength — not a binary verdict, a characterization profile</w:t>
            </w:r>
          </w:p>
        </w:tc>
      </w:tr>
    </w:tbl>
    <w:p>
      <w:pPr>
        <w:spacing w:after="0" w:before="200"/>
      </w:pPr>
    </w:p>
    <w:p>
      <w:pPr>
        <w:spacing w:after="40" w:before="160"/>
      </w:pPr>
      <w:r>
        <w:rPr>
          <w:rFonts w:ascii="Arial" w:cs="Arial" w:eastAsia="Arial" w:hAnsi="Arial"/>
          <w:b/>
          <w:bCs/>
          <w:color w:val="E94560"/>
          <w:spacing w:val="40"/>
          <w:sz w:val="16"/>
          <w:szCs w:val="16"/>
        </w:rPr>
        <w:t xml:space="preserve">THE FORENSIC DISTINCTION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shd w:fill="FFF0F0" w:val="clear"/>
            <w:tcMar>
              <w:top w:type="dxa" w:w="120"/>
              <w:left w:type="dxa" w:w="160"/>
              <w:bottom w:type="dxa" w:w="120"/>
              <w:right w:type="dxa" w:w="160"/>
            </w:tcMar>
          </w:tcPr>
          <w:p>
            <w:pPr>
              <w:spacing w:after="60" w:before="0"/>
            </w:pPr>
            <w:r>
              <w:rPr>
                <w:rFonts w:ascii="Arial" w:cs="Arial" w:eastAsia="Arial" w:hAnsi="Arial"/>
                <w:b/>
                <w:bCs/>
                <w:color w:val="CC0000"/>
                <w:sz w:val="19"/>
                <w:szCs w:val="19"/>
              </w:rPr>
              <w:t xml:space="preserve">The forensic paradigm (Farid et al.)</w:t>
            </w:r>
          </w:p>
          <w:p>
            <w:pPr>
              <w:spacing w:after="40" w:before="0"/>
            </w:pPr>
            <w:r>
              <w:rPr>
                <w:rFonts w:ascii="Arial" w:cs="Arial" w:eastAsia="Arial" w:hAnsi="Arial"/>
                <w:color w:val="1A1A2E"/>
                <w:sz w:val="18"/>
                <w:szCs w:val="18"/>
              </w:rPr>
              <w:t xml:space="preserve">Works on slop artifact by artifact</w:t>
            </w:r>
          </w:p>
          <w:p>
            <w:pPr>
              <w:spacing w:after="40" w:before="0"/>
            </w:pPr>
            <w:r>
              <w:rPr>
                <w:rFonts w:ascii="Arial" w:cs="Arial" w:eastAsia="Arial" w:hAnsi="Arial"/>
                <w:color w:val="1A1A2E"/>
                <w:sz w:val="18"/>
                <w:szCs w:val="18"/>
              </w:rPr>
              <w:t xml:space="preserve">Produces binary real/fake verdicts</w:t>
            </w:r>
          </w:p>
          <w:p>
            <w:pPr>
              <w:spacing w:after="40" w:before="0"/>
            </w:pPr>
            <w:r>
              <w:rPr>
                <w:rFonts w:ascii="Arial" w:cs="Arial" w:eastAsia="Arial" w:hAnsi="Arial"/>
                <w:color w:val="1A1A2E"/>
                <w:sz w:val="18"/>
                <w:szCs w:val="18"/>
              </w:rPr>
              <w:t xml:space="preserve">Reactive — detects after circulation</w:t>
            </w:r>
          </w:p>
          <w:p>
            <w:pPr>
              <w:spacing w:after="40" w:before="0"/>
            </w:pPr>
            <w:r>
              <w:rPr>
                <w:rFonts w:ascii="Arial" w:cs="Arial" w:eastAsia="Arial" w:hAnsi="Arial"/>
                <w:color w:val="1A1A2E"/>
                <w:sz w:val="18"/>
                <w:szCs w:val="18"/>
              </w:rPr>
              <w:t xml:space="preserve">Fails to generalize across generators</w:t>
            </w:r>
          </w:p>
          <w:p>
            <w:pPr>
              <w:spacing w:after="0" w:before="0"/>
            </w:pPr>
            <w:r>
              <w:rPr>
                <w:rFonts w:ascii="Arial" w:cs="Arial" w:eastAsia="Arial" w:hAnsi="Arial"/>
                <w:color w:val="1A1A2E"/>
                <w:sz w:val="18"/>
                <w:szCs w:val="18"/>
              </w:rPr>
              <w:t xml:space="preserve">Does not ask what content does or carries</w:t>
            </w:r>
          </w:p>
        </w:tc>
        <w:tc>
          <w:tcPr>
            <w:tcW w:type="dxa" w:w="4800"/>
            <w:tcBorders>
              <w:top w:val="single" w:color="CCCCCC" w:sz="1"/>
              <w:left w:val="single" w:color="CCCCCC" w:sz="1"/>
              <w:bottom w:val="single" w:color="CCCCCC" w:sz="1"/>
              <w:right w:val="single" w:color="CCCCCC" w:sz="1"/>
            </w:tcBorders>
            <w:shd w:fill="F0FFF0" w:val="clear"/>
            <w:tcMar>
              <w:top w:type="dxa" w:w="120"/>
              <w:left w:type="dxa" w:w="160"/>
              <w:bottom w:type="dxa" w:w="120"/>
              <w:right w:type="dxa" w:w="160"/>
            </w:tcMar>
          </w:tcPr>
          <w:p>
            <w:pPr>
              <w:spacing w:after="60" w:before="0"/>
            </w:pPr>
            <w:r>
              <w:rPr>
                <w:rFonts w:ascii="Arial" w:cs="Arial" w:eastAsia="Arial" w:hAnsi="Arial"/>
                <w:b/>
                <w:bCs/>
                <w:color w:val="006600"/>
                <w:sz w:val="19"/>
                <w:szCs w:val="19"/>
              </w:rPr>
              <w:t xml:space="preserve">SLURRY</w:t>
            </w:r>
          </w:p>
          <w:p>
            <w:pPr>
              <w:spacing w:after="40" w:before="0"/>
            </w:pPr>
            <w:r>
              <w:rPr>
                <w:rFonts w:ascii="Arial" w:cs="Arial" w:eastAsia="Arial" w:hAnsi="Arial"/>
                <w:color w:val="1A1A2E"/>
                <w:sz w:val="18"/>
                <w:szCs w:val="18"/>
              </w:rPr>
              <w:t xml:space="preserve">Works through slop at population level</w:t>
            </w:r>
          </w:p>
          <w:p>
            <w:pPr>
              <w:spacing w:after="40" w:before="0"/>
            </w:pPr>
            <w:r>
              <w:rPr>
                <w:rFonts w:ascii="Arial" w:cs="Arial" w:eastAsia="Arial" w:hAnsi="Arial"/>
                <w:color w:val="1A1A2E"/>
                <w:sz w:val="18"/>
                <w:szCs w:val="18"/>
              </w:rPr>
              <w:t xml:space="preserve">Produces epistemic risk characterization</w:t>
            </w:r>
          </w:p>
          <w:p>
            <w:pPr>
              <w:spacing w:after="40" w:before="0"/>
            </w:pPr>
            <w:r>
              <w:rPr>
                <w:rFonts w:ascii="Arial" w:cs="Arial" w:eastAsia="Arial" w:hAnsi="Arial"/>
                <w:color w:val="1A1A2E"/>
                <w:sz w:val="18"/>
                <w:szCs w:val="18"/>
              </w:rPr>
              <w:t xml:space="preserve">Anticipatory — trend signal as leading indicator</w:t>
            </w:r>
          </w:p>
          <w:p>
            <w:pPr>
              <w:spacing w:after="40" w:before="0"/>
            </w:pPr>
            <w:r>
              <w:rPr>
                <w:rFonts w:ascii="Arial" w:cs="Arial" w:eastAsia="Arial" w:hAnsi="Arial"/>
                <w:color w:val="1A1A2E"/>
                <w:sz w:val="18"/>
                <w:szCs w:val="18"/>
              </w:rPr>
              <w:t xml:space="preserve">Defined by function, not production method</w:t>
            </w:r>
          </w:p>
          <w:p>
            <w:pPr>
              <w:spacing w:after="0" w:before="0"/>
            </w:pPr>
            <w:r>
              <w:rPr>
                <w:rFonts w:ascii="Arial" w:cs="Arial" w:eastAsia="Arial" w:hAnsi="Arial"/>
                <w:color w:val="1A1A2E"/>
                <w:sz w:val="18"/>
                <w:szCs w:val="18"/>
              </w:rPr>
              <w:t xml:space="preserve">Asks what content does and what it carries</w:t>
            </w:r>
          </w:p>
        </w:tc>
      </w:tr>
    </w:tbl>
    <w:p>
      <w:pPr>
        <w:spacing w:after="0" w:before="200"/>
      </w:pPr>
    </w:p>
    <w:p>
      <w:pPr>
        <w:spacing w:after="40" w:before="160"/>
      </w:pPr>
      <w:r>
        <w:rPr>
          <w:rFonts w:ascii="Arial" w:cs="Arial" w:eastAsia="Arial" w:hAnsi="Arial"/>
          <w:b/>
          <w:bCs/>
          <w:color w:val="E94560"/>
          <w:spacing w:val="40"/>
          <w:sz w:val="16"/>
          <w:szCs w:val="16"/>
        </w:rPr>
        <w:t xml:space="preserve">FIT WITH DMI METHODOLOGY</w:t>
      </w:r>
    </w:p>
    <w:p>
      <w:pPr>
        <w:spacing w:after="120" w:before="60"/>
        <w:jc w:val="left"/>
      </w:pPr>
      <w:r>
        <w:rPr>
          <w:rFonts w:ascii="Arial" w:cs="Arial" w:eastAsia="Arial" w:hAnsi="Arial"/>
          <w:b w:val="false"/>
          <w:bCs w:val="false"/>
          <w:i w:val="false"/>
          <w:iCs w:val="false"/>
          <w:color w:val="1A1A2E"/>
          <w:sz w:val="20"/>
          <w:szCs w:val="20"/>
        </w:rPr>
        <w:t xml:space="preserve">SLURRY is natively digital in Rogers' sense: it reads platform data as its primary evidence base, treats trending content as a signal about the information environment rather than individual behavior, and asks what platforms do to epistemic conditions rather than what individual actors intend. The trend-signal module — which computes a leading indicator from Google Trends, Reddit, and Wikipedia velocity — is a direct application of DMI's attention-as-data approach. The protocol also extends the summer school theme by moving beyond "on and beyond slop" into the infrastructure of the sloposphere itself: what produces slop, where it concentrates, and how it circulates before detection is possible.</w:t>
      </w:r>
    </w:p>
    <w:p>
      <w:pPr>
        <w:spacing w:after="0" w:before="160"/>
      </w:pPr>
    </w:p>
    <w:p>
      <w:pPr>
        <w:spacing w:after="40" w:before="160"/>
      </w:pPr>
      <w:r>
        <w:rPr>
          <w:rFonts w:ascii="Arial" w:cs="Arial" w:eastAsia="Arial" w:hAnsi="Arial"/>
          <w:b/>
          <w:bCs/>
          <w:color w:val="E94560"/>
          <w:spacing w:val="40"/>
          <w:sz w:val="16"/>
          <w:szCs w:val="16"/>
        </w:rPr>
        <w:t xml:space="preserve">CURRENT IMPLEMENTATION</w:t>
      </w:r>
    </w:p>
    <w:p>
      <w:pPr>
        <w:spacing w:after="120" w:before="60"/>
        <w:jc w:val="left"/>
      </w:pPr>
      <w:r>
        <w:rPr>
          <w:rFonts w:ascii="Arial" w:cs="Arial" w:eastAsia="Arial" w:hAnsi="Arial"/>
          <w:b w:val="false"/>
          <w:bCs w:val="false"/>
          <w:i w:val="false"/>
          <w:iCs w:val="false"/>
          <w:color w:val="1A1A2E"/>
          <w:sz w:val="20"/>
          <w:szCs w:val="20"/>
        </w:rPr>
        <w:t xml:space="preserve">SLURRY 1.0 is implemented as a Google Colab notebook (81 cells) comprising: Axis 1 — Eulerian Video Magnification pipeline with heartbeat band power analysis and spatiotemporal mapping; Axis 2 — PRNU noise residual analysis, 2D FFT fingerprinting, chromatic aberration detection, and Bayer color statistics; Axis 3 — 20-category subject taxonomy with vessel risk scoring, live trend fetching from Google Trends / Reddit / Wikipedia, and LLM-based topic classification; Axis 4 — platform risk, account behavior, election proximity, and virality signals; Data acquisition module covering three tiers from FaceForensics++ to in-the-wild political slop with SLURRY intake forms including epistemic function metadata. The composite equation runs on documented GMF Spitting Images cases with per-axis breakdown and full provenance.</w:t>
      </w:r>
    </w:p>
    <w:p>
      <w:pPr>
        <w:spacing w:after="0" w:before="200"/>
      </w:pPr>
    </w:p>
    <w:p>
      <w:pPr>
        <w:pBdr>
          <w:bottom w:val="single" w:color="E94560" w:sz="6" w:space="1"/>
        </w:pBdr>
        <w:spacing w:after="0" w:before="0"/>
      </w:pP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A2E" w:val="clear"/>
            <w:tcMar>
              <w:top w:type="dxa" w:w="120"/>
              <w:left w:type="dxa" w:w="320"/>
              <w:bottom w:type="dxa" w:w="120"/>
              <w:right w:type="dxa" w:w="320"/>
            </w:tcMar>
          </w:tcPr>
          <w:p>
            <w:pPr>
              <w:jc w:val="center"/>
            </w:pPr>
            <w:r>
              <w:rPr>
                <w:rFonts w:ascii="Arial" w:cs="Arial" w:eastAsia="Arial" w:hAnsi="Arial"/>
                <w:i/>
                <w:iCs/>
                <w:color w:val="AAAAAA"/>
                <w:sz w:val="17"/>
                <w:szCs w:val="17"/>
              </w:rPr>
              <w:t xml:space="preserve">The wastewater metaphor  ·  Slop is not detected at the source. It is characterized by what it carries, what it does to the system it enters, and what remains after treatment.</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2026-06-24T18:47:27.373Z</dcterms:created>
  <dcterms:modified xsi:type="dcterms:W3CDTF">2026-06-24T18:47:27.374Z</dcterms:modified>
</cp:coreProperties>
</file>

<file path=docProps/custom.xml><?xml version="1.0" encoding="utf-8"?>
<Properties xmlns="http://schemas.openxmlformats.org/officeDocument/2006/custom-properties" xmlns:vt="http://schemas.openxmlformats.org/officeDocument/2006/docPropsVTypes"/>
</file>