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35B8" w14:textId="7523675D" w:rsidR="003F4E2B" w:rsidRPr="004711F7" w:rsidRDefault="003F4E2B" w:rsidP="00937A1A">
      <w:pPr>
        <w:pStyle w:val="FirstParagraph"/>
        <w:spacing w:line="480" w:lineRule="auto"/>
        <w:ind w:firstLine="720"/>
        <w:rPr>
          <w:rFonts w:ascii="Times New Roman" w:hAnsi="Times New Roman" w:cs="Times New Roman"/>
          <w:sz w:val="22"/>
          <w:szCs w:val="22"/>
        </w:rPr>
      </w:pPr>
      <w:r w:rsidRPr="004711F7">
        <w:rPr>
          <w:rFonts w:ascii="Times New Roman" w:hAnsi="Times New Roman" w:cs="Times New Roman"/>
          <w:sz w:val="22"/>
          <w:szCs w:val="22"/>
        </w:rPr>
        <w:t xml:space="preserve">An Alzheimer’s Disease (AD) diagnosis can only be confirmed through post-mortem analyses of neurofibrillary tangles and plaque deposits, and so it is necessary to identify alternative prospective biomarkers that can aid in the classification of patients as demented or non-demented. It has been known that changes in premorbid brain volume have been associated with AD neuropathology (Silbert et al 2003), and because brain and intracranial volume are easily assessed by MRI, </w:t>
      </w:r>
      <w:r w:rsidR="004F752C" w:rsidRPr="004711F7">
        <w:rPr>
          <w:rFonts w:ascii="Times New Roman" w:hAnsi="Times New Roman" w:cs="Times New Roman"/>
          <w:sz w:val="22"/>
          <w:szCs w:val="22"/>
        </w:rPr>
        <w:t>whole brain volume</w:t>
      </w:r>
      <w:r w:rsidRPr="004711F7">
        <w:rPr>
          <w:rFonts w:ascii="Times New Roman" w:hAnsi="Times New Roman" w:cs="Times New Roman"/>
          <w:sz w:val="22"/>
          <w:szCs w:val="22"/>
        </w:rPr>
        <w:t xml:space="preserve"> is naturally a promising candidate biomarker (Kehoe et al 2014).</w:t>
      </w:r>
      <w:r w:rsidR="004F752C" w:rsidRPr="004711F7">
        <w:rPr>
          <w:rFonts w:ascii="Times New Roman" w:hAnsi="Times New Roman" w:cs="Times New Roman"/>
          <w:sz w:val="22"/>
          <w:szCs w:val="22"/>
        </w:rPr>
        <w:t xml:space="preserve"> In order to determine whether normalized whole brain volume (nWBV) estimated via MRI is a suitable biomarker for AD diagnosis, I will first assess differences in the development of</w:t>
      </w:r>
      <w:r w:rsidR="00AC171A" w:rsidRPr="004711F7">
        <w:rPr>
          <w:rFonts w:ascii="Times New Roman" w:hAnsi="Times New Roman" w:cs="Times New Roman"/>
          <w:sz w:val="22"/>
          <w:szCs w:val="22"/>
        </w:rPr>
        <w:t xml:space="preserve"> nWBV </w:t>
      </w:r>
      <w:r w:rsidR="004F752C" w:rsidRPr="004711F7">
        <w:rPr>
          <w:rFonts w:ascii="Times New Roman" w:hAnsi="Times New Roman" w:cs="Times New Roman"/>
          <w:sz w:val="22"/>
          <w:szCs w:val="22"/>
        </w:rPr>
        <w:t xml:space="preserve">in normally aging adults vs demented adults, and then lastly, I will </w:t>
      </w:r>
      <w:r w:rsidR="00CE22AE" w:rsidRPr="004711F7">
        <w:rPr>
          <w:rFonts w:ascii="Times New Roman" w:hAnsi="Times New Roman" w:cs="Times New Roman"/>
          <w:sz w:val="22"/>
          <w:szCs w:val="22"/>
        </w:rPr>
        <w:t xml:space="preserve">evaluate how well linear discriminant analysis and random forests are able to classify patients as being either demented or nondemented based on these data. </w:t>
      </w:r>
    </w:p>
    <w:p w14:paraId="08D79F6A" w14:textId="77FA693F" w:rsidR="00CE22AE" w:rsidRPr="004711F7" w:rsidRDefault="00CE22AE" w:rsidP="00937A1A">
      <w:pPr>
        <w:pStyle w:val="FirstParagraph"/>
        <w:spacing w:line="480" w:lineRule="auto"/>
        <w:ind w:firstLine="720"/>
        <w:rPr>
          <w:rFonts w:ascii="Times New Roman" w:hAnsi="Times New Roman" w:cs="Times New Roman"/>
          <w:sz w:val="22"/>
          <w:szCs w:val="22"/>
        </w:rPr>
      </w:pPr>
      <w:r w:rsidRPr="004711F7">
        <w:rPr>
          <w:rFonts w:ascii="Times New Roman" w:hAnsi="Times New Roman" w:cs="Times New Roman"/>
        </w:rPr>
        <w:t xml:space="preserve">MRI data was collected at the Knight Alzheimer Disease Research Center (ADRC) at Washington University as part of OASIS: Open Access Series of Imaging Studies </w:t>
      </w:r>
      <w:r w:rsidR="00C53DDF" w:rsidRPr="004711F7">
        <w:rPr>
          <w:rFonts w:ascii="Times New Roman" w:hAnsi="Times New Roman" w:cs="Times New Roman"/>
        </w:rPr>
        <w:t>(</w:t>
      </w:r>
      <w:hyperlink r:id="rId7" w:history="1">
        <w:r w:rsidR="00C53DDF" w:rsidRPr="004711F7">
          <w:rPr>
            <w:rStyle w:val="Hyperlink"/>
            <w:rFonts w:ascii="Times New Roman" w:hAnsi="Times New Roman" w:cs="Times New Roman"/>
          </w:rPr>
          <w:t>https://www.oasis-brains.org/</w:t>
        </w:r>
      </w:hyperlink>
      <w:r w:rsidR="00C53DDF" w:rsidRPr="004711F7">
        <w:rPr>
          <w:rFonts w:ascii="Times New Roman" w:hAnsi="Times New Roman" w:cs="Times New Roman"/>
        </w:rPr>
        <w:t xml:space="preserve">) </w:t>
      </w:r>
      <w:r w:rsidRPr="004711F7">
        <w:rPr>
          <w:rFonts w:ascii="Times New Roman" w:hAnsi="Times New Roman" w:cs="Times New Roman"/>
        </w:rPr>
        <w:t>and for this project I will only be examining the longitudinal study</w:t>
      </w:r>
      <w:r w:rsidR="00C53DDF" w:rsidRPr="004711F7">
        <w:rPr>
          <w:rFonts w:ascii="Times New Roman" w:hAnsi="Times New Roman" w:cs="Times New Roman"/>
        </w:rPr>
        <w:t>, accessible via</w:t>
      </w:r>
      <w:r w:rsidR="00A40C62" w:rsidRPr="004711F7">
        <w:rPr>
          <w:rFonts w:ascii="Times New Roman" w:hAnsi="Times New Roman" w:cs="Times New Roman"/>
        </w:rPr>
        <w:t xml:space="preserve"> </w:t>
      </w:r>
      <w:hyperlink r:id="rId8" w:history="1">
        <w:r w:rsidR="00A40C62" w:rsidRPr="004711F7">
          <w:rPr>
            <w:rStyle w:val="Hyperlink"/>
            <w:rFonts w:ascii="Times New Roman" w:hAnsi="Times New Roman" w:cs="Times New Roman"/>
          </w:rPr>
          <w:t>kaggle</w:t>
        </w:r>
      </w:hyperlink>
      <w:r w:rsidRPr="004711F7">
        <w:rPr>
          <w:rFonts w:ascii="Times New Roman" w:hAnsi="Times New Roman" w:cs="Times New Roman"/>
        </w:rPr>
        <w:t xml:space="preserve">. </w:t>
      </w:r>
      <w:r w:rsidRPr="004711F7">
        <w:rPr>
          <w:rFonts w:ascii="Times New Roman" w:hAnsi="Times New Roman" w:cs="Times New Roman"/>
          <w:sz w:val="22"/>
          <w:szCs w:val="22"/>
        </w:rPr>
        <w:t xml:space="preserve">In the longitudinal data set, normalized nWBV as well as other potentially useful metrics were measured in 150 participants aged 60-96. Participants were scanned 2 or more times with each visit separated by at least one year. Of the 150 participants, 72 were characterized as nondemented for the duration of the study, 64 were characterized as demented throughout the study and 14 were characterized as non-demented during the initial visit but were later characterized as demented by the end of the study. It is important to note that in this data set, the label “nondemented” means the participant maintained a clinical dementia rating (CDR) of 0 for the duration of the study, the label “demented” means the participant maintained a CDR of 0.5 of greater for the duration of the study, and the label “converted” means the participant entered the study with a CDR of 0, but ended the study with a CDR of 0.5 or higher (that is, a higher CDR indicates more severe dementia).  </w:t>
      </w:r>
    </w:p>
    <w:p w14:paraId="24D8A4F8" w14:textId="639F5FB6" w:rsidR="007F7356" w:rsidRPr="004711F7" w:rsidRDefault="00CE22AE" w:rsidP="00937A1A">
      <w:pPr>
        <w:pStyle w:val="BodyText"/>
        <w:spacing w:line="480" w:lineRule="auto"/>
        <w:rPr>
          <w:rFonts w:ascii="Times New Roman" w:hAnsi="Times New Roman" w:cs="Times New Roman"/>
        </w:rPr>
      </w:pPr>
      <w:r w:rsidRPr="004711F7">
        <w:rPr>
          <w:rFonts w:ascii="Times New Roman" w:hAnsi="Times New Roman" w:cs="Times New Roman"/>
        </w:rPr>
        <w:lastRenderedPageBreak/>
        <w:tab/>
        <w:t xml:space="preserve">Ultimately, CDR is going to be the </w:t>
      </w:r>
      <w:r w:rsidR="002402DF" w:rsidRPr="004711F7">
        <w:rPr>
          <w:rFonts w:ascii="Times New Roman" w:hAnsi="Times New Roman" w:cs="Times New Roman"/>
        </w:rPr>
        <w:t>c</w:t>
      </w:r>
      <w:r w:rsidRPr="004711F7">
        <w:rPr>
          <w:rFonts w:ascii="Times New Roman" w:hAnsi="Times New Roman" w:cs="Times New Roman"/>
        </w:rPr>
        <w:t xml:space="preserve">lass that </w:t>
      </w:r>
      <w:r w:rsidR="002402DF" w:rsidRPr="004711F7">
        <w:rPr>
          <w:rFonts w:ascii="Times New Roman" w:hAnsi="Times New Roman" w:cs="Times New Roman"/>
        </w:rPr>
        <w:t>is to</w:t>
      </w:r>
      <w:r w:rsidRPr="004711F7">
        <w:rPr>
          <w:rFonts w:ascii="Times New Roman" w:hAnsi="Times New Roman" w:cs="Times New Roman"/>
        </w:rPr>
        <w:t xml:space="preserve"> be predicted w</w:t>
      </w:r>
      <w:r w:rsidR="002402DF" w:rsidRPr="004711F7">
        <w:rPr>
          <w:rFonts w:ascii="Times New Roman" w:hAnsi="Times New Roman" w:cs="Times New Roman"/>
        </w:rPr>
        <w:t xml:space="preserve">ith our classification models, so the first portion of exploratory analyses focuses on identifying any relationships between CDR and other variables. From the correlation heat map and pair plot in </w:t>
      </w:r>
      <w:r w:rsidR="00AF2824">
        <w:rPr>
          <w:rFonts w:ascii="Times New Roman" w:hAnsi="Times New Roman" w:cs="Times New Roman"/>
        </w:rPr>
        <w:t>Fig</w:t>
      </w:r>
      <w:r w:rsidR="002402DF" w:rsidRPr="004711F7">
        <w:rPr>
          <w:rFonts w:ascii="Times New Roman" w:hAnsi="Times New Roman" w:cs="Times New Roman"/>
        </w:rPr>
        <w:t xml:space="preserve"> 1</w:t>
      </w:r>
      <w:r w:rsidR="0048033E">
        <w:rPr>
          <w:rFonts w:ascii="Times New Roman" w:hAnsi="Times New Roman" w:cs="Times New Roman"/>
        </w:rPr>
        <w:t>A</w:t>
      </w:r>
      <w:r w:rsidR="00971047">
        <w:rPr>
          <w:rFonts w:ascii="Times New Roman" w:hAnsi="Times New Roman" w:cs="Times New Roman"/>
        </w:rPr>
        <w:t xml:space="preserve"> and </w:t>
      </w:r>
      <w:r w:rsidR="003521B5">
        <w:rPr>
          <w:rFonts w:ascii="Times New Roman" w:hAnsi="Times New Roman" w:cs="Times New Roman"/>
        </w:rPr>
        <w:t>Fig 1</w:t>
      </w:r>
      <w:r w:rsidR="00971047">
        <w:rPr>
          <w:rFonts w:ascii="Times New Roman" w:hAnsi="Times New Roman" w:cs="Times New Roman"/>
        </w:rPr>
        <w:t>B,</w:t>
      </w:r>
      <w:r w:rsidR="002402DF" w:rsidRPr="004711F7">
        <w:rPr>
          <w:rFonts w:ascii="Times New Roman" w:hAnsi="Times New Roman" w:cs="Times New Roman"/>
        </w:rPr>
        <w:t xml:space="preserve"> </w:t>
      </w:r>
      <w:r w:rsidR="00D96C1A" w:rsidRPr="004711F7">
        <w:rPr>
          <w:rFonts w:ascii="Times New Roman" w:hAnsi="Times New Roman" w:cs="Times New Roman"/>
        </w:rPr>
        <w:t xml:space="preserve">CDR is negatively correlated with nWBV and mini mental state examination (MMSE). CDR is negatively correlated with MMSE because MMSE is the </w:t>
      </w:r>
      <w:r w:rsidR="00937A1A" w:rsidRPr="004711F7">
        <w:rPr>
          <w:rFonts w:ascii="Times New Roman" w:hAnsi="Times New Roman" w:cs="Times New Roman"/>
        </w:rPr>
        <w:t>in-person</w:t>
      </w:r>
      <w:r w:rsidR="00D96C1A" w:rsidRPr="004711F7">
        <w:rPr>
          <w:rFonts w:ascii="Times New Roman" w:hAnsi="Times New Roman" w:cs="Times New Roman"/>
        </w:rPr>
        <w:t xml:space="preserve"> examination that is </w:t>
      </w:r>
      <w:r w:rsidR="00A076F7">
        <w:rPr>
          <w:rFonts w:ascii="Times New Roman" w:hAnsi="Times New Roman" w:cs="Times New Roman"/>
        </w:rPr>
        <w:t xml:space="preserve">a </w:t>
      </w:r>
      <w:r w:rsidR="00D96C1A" w:rsidRPr="004711F7">
        <w:rPr>
          <w:rFonts w:ascii="Times New Roman" w:hAnsi="Times New Roman" w:cs="Times New Roman"/>
        </w:rPr>
        <w:t>part of the CDR scoring. The negative correlation between nWBV and CDR, further explored in the violin plot visualizations</w:t>
      </w:r>
      <w:r w:rsidR="00A076F7">
        <w:rPr>
          <w:rFonts w:ascii="Times New Roman" w:hAnsi="Times New Roman" w:cs="Times New Roman"/>
        </w:rPr>
        <w:t xml:space="preserve"> (</w:t>
      </w:r>
      <w:r w:rsidR="00AF2824">
        <w:rPr>
          <w:rFonts w:ascii="Times New Roman" w:hAnsi="Times New Roman" w:cs="Times New Roman"/>
        </w:rPr>
        <w:t>Fig</w:t>
      </w:r>
      <w:r w:rsidR="00A076F7">
        <w:rPr>
          <w:rFonts w:ascii="Times New Roman" w:hAnsi="Times New Roman" w:cs="Times New Roman"/>
        </w:rPr>
        <w:t xml:space="preserve"> 1</w:t>
      </w:r>
      <w:r w:rsidR="00007DCA">
        <w:rPr>
          <w:rFonts w:ascii="Times New Roman" w:hAnsi="Times New Roman" w:cs="Times New Roman"/>
        </w:rPr>
        <w:t>D, panel 3)</w:t>
      </w:r>
      <w:r w:rsidR="00D96C1A" w:rsidRPr="004711F7">
        <w:rPr>
          <w:rFonts w:ascii="Times New Roman" w:hAnsi="Times New Roman" w:cs="Times New Roman"/>
        </w:rPr>
        <w:t xml:space="preserve">, suggests that a higher cdr rating tends to be associated with a smaller nWBV, which supports the idea that nWBV decreases with AD progression. Lastly </w:t>
      </w:r>
      <w:r w:rsidR="00F30C5F" w:rsidRPr="004711F7">
        <w:rPr>
          <w:rFonts w:ascii="Times New Roman" w:hAnsi="Times New Roman" w:cs="Times New Roman"/>
        </w:rPr>
        <w:t xml:space="preserve">the correlation heatmap also suggests </w:t>
      </w:r>
      <w:r w:rsidR="00D96C1A" w:rsidRPr="004711F7">
        <w:rPr>
          <w:rFonts w:ascii="Times New Roman" w:hAnsi="Times New Roman" w:cs="Times New Roman"/>
        </w:rPr>
        <w:t>nWBV is also negatively correlated with age</w:t>
      </w:r>
      <w:r w:rsidR="00971047">
        <w:rPr>
          <w:rFonts w:ascii="Times New Roman" w:hAnsi="Times New Roman" w:cs="Times New Roman"/>
        </w:rPr>
        <w:t xml:space="preserve"> (</w:t>
      </w:r>
      <w:r w:rsidR="00AF2824">
        <w:rPr>
          <w:rFonts w:ascii="Times New Roman" w:hAnsi="Times New Roman" w:cs="Times New Roman"/>
        </w:rPr>
        <w:t>Fig</w:t>
      </w:r>
      <w:r w:rsidR="00971047">
        <w:rPr>
          <w:rFonts w:ascii="Times New Roman" w:hAnsi="Times New Roman" w:cs="Times New Roman"/>
        </w:rPr>
        <w:t xml:space="preserve"> 1A, B)</w:t>
      </w:r>
      <w:r w:rsidR="00AC171A" w:rsidRPr="004711F7">
        <w:rPr>
          <w:rFonts w:ascii="Times New Roman" w:hAnsi="Times New Roman" w:cs="Times New Roman"/>
        </w:rPr>
        <w:t>. This suggests that there is a natural decrease in nWBV that occurs as part of the normal aging process.</w:t>
      </w:r>
      <w:r w:rsidR="007F7356" w:rsidRPr="004711F7">
        <w:rPr>
          <w:rFonts w:ascii="Times New Roman" w:hAnsi="Times New Roman" w:cs="Times New Roman"/>
        </w:rPr>
        <w:t xml:space="preserve"> </w:t>
      </w:r>
    </w:p>
    <w:p w14:paraId="219CCADC" w14:textId="1AA14840" w:rsidR="00AC171A" w:rsidRPr="004711F7" w:rsidRDefault="007F7356" w:rsidP="00937A1A">
      <w:pPr>
        <w:pStyle w:val="BodyText"/>
        <w:spacing w:line="480" w:lineRule="auto"/>
        <w:ind w:firstLine="720"/>
        <w:rPr>
          <w:rFonts w:ascii="Times New Roman" w:hAnsi="Times New Roman" w:cs="Times New Roman"/>
        </w:rPr>
      </w:pPr>
      <w:r w:rsidRPr="004711F7">
        <w:rPr>
          <w:rFonts w:ascii="Times New Roman" w:hAnsi="Times New Roman" w:cs="Times New Roman"/>
        </w:rPr>
        <w:t>Next</w:t>
      </w:r>
      <w:r w:rsidR="00AF2824">
        <w:rPr>
          <w:rFonts w:ascii="Times New Roman" w:hAnsi="Times New Roman" w:cs="Times New Roman"/>
        </w:rPr>
        <w:t>,</w:t>
      </w:r>
      <w:r w:rsidRPr="004711F7">
        <w:rPr>
          <w:rFonts w:ascii="Times New Roman" w:hAnsi="Times New Roman" w:cs="Times New Roman"/>
        </w:rPr>
        <w:t xml:space="preserve"> in order to further explore the relationship between CDR and nWBV, I used a </w:t>
      </w:r>
      <w:r w:rsidR="00937A1A" w:rsidRPr="004711F7">
        <w:rPr>
          <w:rFonts w:ascii="Times New Roman" w:hAnsi="Times New Roman" w:cs="Times New Roman"/>
        </w:rPr>
        <w:t>one-way</w:t>
      </w:r>
      <w:r w:rsidRPr="004711F7">
        <w:rPr>
          <w:rFonts w:ascii="Times New Roman" w:hAnsi="Times New Roman" w:cs="Times New Roman"/>
        </w:rPr>
        <w:t xml:space="preserve"> ANOVA to test whether there is a difference in mean nWBV between participants who have a CDR of either 0, 0.5 or 1. Note that in order to not </w:t>
      </w:r>
      <w:r w:rsidR="00937A1A" w:rsidRPr="004711F7">
        <w:rPr>
          <w:rFonts w:ascii="Times New Roman" w:hAnsi="Times New Roman" w:cs="Times New Roman"/>
        </w:rPr>
        <w:t>overrepresent</w:t>
      </w:r>
      <w:r w:rsidRPr="004711F7">
        <w:rPr>
          <w:rFonts w:ascii="Times New Roman" w:hAnsi="Times New Roman" w:cs="Times New Roman"/>
        </w:rPr>
        <w:t xml:space="preserve"> certain participants (some participants returned more than others during the study) data will only be taken from each participant’s initial visit. From </w:t>
      </w:r>
      <w:r w:rsidR="00F70B8E">
        <w:rPr>
          <w:rFonts w:ascii="Times New Roman" w:hAnsi="Times New Roman" w:cs="Times New Roman"/>
        </w:rPr>
        <w:t>Fig</w:t>
      </w:r>
      <w:r w:rsidR="00384801" w:rsidRPr="004711F7">
        <w:rPr>
          <w:rFonts w:ascii="Times New Roman" w:hAnsi="Times New Roman" w:cs="Times New Roman"/>
        </w:rPr>
        <w:t xml:space="preserve"> 2</w:t>
      </w:r>
      <w:r w:rsidR="00F70B8E">
        <w:rPr>
          <w:rFonts w:ascii="Times New Roman" w:hAnsi="Times New Roman" w:cs="Times New Roman"/>
        </w:rPr>
        <w:t xml:space="preserve"> B</w:t>
      </w:r>
      <w:r w:rsidR="00384801" w:rsidRPr="004711F7">
        <w:rPr>
          <w:rFonts w:ascii="Times New Roman" w:hAnsi="Times New Roman" w:cs="Times New Roman"/>
        </w:rPr>
        <w:t>, the p-value of the ANOVA is 0.00012 and so we may reject the null hypothesis and conclude that at least one of the means is different. From the post-hoc Welch’s t-tests, all 3 p-values are less than 0.016667 (Bonferroni corrected p value for 3 comparisons) and so we may reject all three null hypotheses and conclude that the mean nWBV between participants whose CDR is 0, 0.5 or 1 are all different from each other (</w:t>
      </w:r>
      <w:r w:rsidR="003521B5">
        <w:rPr>
          <w:rFonts w:ascii="Times New Roman" w:hAnsi="Times New Roman" w:cs="Times New Roman"/>
        </w:rPr>
        <w:t>Fig 2B</w:t>
      </w:r>
      <w:r w:rsidR="00384801" w:rsidRPr="004711F7">
        <w:rPr>
          <w:rFonts w:ascii="Times New Roman" w:hAnsi="Times New Roman" w:cs="Times New Roman"/>
        </w:rPr>
        <w:t xml:space="preserve">). The scatter plot and regression line in </w:t>
      </w:r>
      <w:r w:rsidR="0005185F">
        <w:rPr>
          <w:rFonts w:ascii="Times New Roman" w:hAnsi="Times New Roman" w:cs="Times New Roman"/>
        </w:rPr>
        <w:t>Fig</w:t>
      </w:r>
      <w:r w:rsidR="00384801" w:rsidRPr="004711F7">
        <w:rPr>
          <w:rFonts w:ascii="Times New Roman" w:hAnsi="Times New Roman" w:cs="Times New Roman"/>
        </w:rPr>
        <w:t xml:space="preserve"> </w:t>
      </w:r>
      <w:r w:rsidR="007B4DD7" w:rsidRPr="004711F7">
        <w:rPr>
          <w:rFonts w:ascii="Times New Roman" w:hAnsi="Times New Roman" w:cs="Times New Roman"/>
        </w:rPr>
        <w:t>2</w:t>
      </w:r>
      <w:r w:rsidR="0005185F">
        <w:rPr>
          <w:rFonts w:ascii="Times New Roman" w:hAnsi="Times New Roman" w:cs="Times New Roman"/>
        </w:rPr>
        <w:t>A</w:t>
      </w:r>
      <w:r w:rsidR="007B4DD7" w:rsidRPr="004711F7">
        <w:rPr>
          <w:rFonts w:ascii="Times New Roman" w:hAnsi="Times New Roman" w:cs="Times New Roman"/>
        </w:rPr>
        <w:t xml:space="preserve"> shows that nWBV is negatively correlated with Age (Pearson’s r, p=1.18e-13) and so we may conclude that there is a relationship between nWBV and age; </w:t>
      </w:r>
      <w:r w:rsidR="00937A1A" w:rsidRPr="004711F7">
        <w:rPr>
          <w:rFonts w:ascii="Times New Roman" w:hAnsi="Times New Roman" w:cs="Times New Roman"/>
        </w:rPr>
        <w:t>however,</w:t>
      </w:r>
      <w:r w:rsidR="007B4DD7" w:rsidRPr="004711F7">
        <w:rPr>
          <w:rFonts w:ascii="Times New Roman" w:hAnsi="Times New Roman" w:cs="Times New Roman"/>
        </w:rPr>
        <w:t xml:space="preserve"> the spread of CDR across Ages (indicated by color) suggests that even though nWBV naturally decreases with age, it is not necessarily that case that CDR also increases with age. Taken together with the box plots from Figure 2B, this </w:t>
      </w:r>
      <w:r w:rsidR="00F30C5F" w:rsidRPr="004711F7">
        <w:rPr>
          <w:rFonts w:ascii="Times New Roman" w:hAnsi="Times New Roman" w:cs="Times New Roman"/>
        </w:rPr>
        <w:t>indicates</w:t>
      </w:r>
      <w:r w:rsidR="007B4DD7" w:rsidRPr="004711F7">
        <w:rPr>
          <w:rFonts w:ascii="Times New Roman" w:hAnsi="Times New Roman" w:cs="Times New Roman"/>
        </w:rPr>
        <w:t xml:space="preserve"> that the differences in nWBV based on CDR are not just due to age, but </w:t>
      </w:r>
      <w:r w:rsidR="0036464F">
        <w:rPr>
          <w:rFonts w:ascii="Times New Roman" w:hAnsi="Times New Roman" w:cs="Times New Roman"/>
        </w:rPr>
        <w:t xml:space="preserve">suggests that they </w:t>
      </w:r>
      <w:r w:rsidR="007B4DD7" w:rsidRPr="004711F7">
        <w:rPr>
          <w:rFonts w:ascii="Times New Roman" w:hAnsi="Times New Roman" w:cs="Times New Roman"/>
        </w:rPr>
        <w:t xml:space="preserve">may </w:t>
      </w:r>
      <w:r w:rsidR="0036464F">
        <w:rPr>
          <w:rFonts w:ascii="Times New Roman" w:hAnsi="Times New Roman" w:cs="Times New Roman"/>
        </w:rPr>
        <w:t xml:space="preserve">instead </w:t>
      </w:r>
      <w:r w:rsidR="007B4DD7" w:rsidRPr="004711F7">
        <w:rPr>
          <w:rFonts w:ascii="Times New Roman" w:hAnsi="Times New Roman" w:cs="Times New Roman"/>
        </w:rPr>
        <w:t xml:space="preserve">be </w:t>
      </w:r>
      <w:r w:rsidR="00F30C5F" w:rsidRPr="004711F7">
        <w:rPr>
          <w:rFonts w:ascii="Times New Roman" w:hAnsi="Times New Roman" w:cs="Times New Roman"/>
        </w:rPr>
        <w:t>associated</w:t>
      </w:r>
      <w:r w:rsidR="007B4DD7" w:rsidRPr="004711F7">
        <w:rPr>
          <w:rFonts w:ascii="Times New Roman" w:hAnsi="Times New Roman" w:cs="Times New Roman"/>
        </w:rPr>
        <w:t xml:space="preserve"> with disease progression. </w:t>
      </w:r>
    </w:p>
    <w:p w14:paraId="2ED3AD28" w14:textId="6C4266E8" w:rsidR="007B4DD7" w:rsidRPr="004711F7" w:rsidRDefault="00712A13" w:rsidP="00937A1A">
      <w:pPr>
        <w:pStyle w:val="BodyText"/>
        <w:spacing w:line="480" w:lineRule="auto"/>
        <w:rPr>
          <w:rFonts w:ascii="Times New Roman" w:hAnsi="Times New Roman" w:cs="Times New Roman"/>
        </w:rPr>
      </w:pPr>
      <w:r w:rsidRPr="004711F7">
        <w:rPr>
          <w:rFonts w:ascii="Times New Roman" w:hAnsi="Times New Roman" w:cs="Times New Roman"/>
        </w:rPr>
        <w:lastRenderedPageBreak/>
        <w:tab/>
        <w:t>Next, rather than just looking at nWBV at a single timepoint, I wanted to assess whether or not demented vs nondemented participants have a different</w:t>
      </w:r>
      <w:r w:rsidR="00062525">
        <w:rPr>
          <w:rFonts w:ascii="Times New Roman" w:hAnsi="Times New Roman" w:cs="Times New Roman"/>
        </w:rPr>
        <w:t xml:space="preserve"> nWBV</w:t>
      </w:r>
      <w:r w:rsidRPr="004711F7">
        <w:rPr>
          <w:rFonts w:ascii="Times New Roman" w:hAnsi="Times New Roman" w:cs="Times New Roman"/>
        </w:rPr>
        <w:t xml:space="preserve"> rate of change</w:t>
      </w:r>
      <w:r w:rsidR="00F30C5F" w:rsidRPr="004711F7">
        <w:rPr>
          <w:rFonts w:ascii="Times New Roman" w:hAnsi="Times New Roman" w:cs="Times New Roman"/>
        </w:rPr>
        <w:t>, or atrophy rate.</w:t>
      </w:r>
      <w:r w:rsidRPr="004711F7">
        <w:rPr>
          <w:rFonts w:ascii="Times New Roman" w:hAnsi="Times New Roman" w:cs="Times New Roman"/>
        </w:rPr>
        <w:t xml:space="preserve"> That is, do demented participants lose brain volume faster than non demented participants? Because this is a longitudinal </w:t>
      </w:r>
      <w:r w:rsidR="00F30C5F" w:rsidRPr="004711F7">
        <w:rPr>
          <w:rFonts w:ascii="Times New Roman" w:hAnsi="Times New Roman" w:cs="Times New Roman"/>
        </w:rPr>
        <w:t>dataset,</w:t>
      </w:r>
      <w:r w:rsidRPr="004711F7">
        <w:rPr>
          <w:rFonts w:ascii="Times New Roman" w:hAnsi="Times New Roman" w:cs="Times New Roman"/>
        </w:rPr>
        <w:t xml:space="preserve"> </w:t>
      </w:r>
      <w:r w:rsidR="00062525">
        <w:rPr>
          <w:rFonts w:ascii="Times New Roman" w:hAnsi="Times New Roman" w:cs="Times New Roman"/>
        </w:rPr>
        <w:t xml:space="preserve">there are </w:t>
      </w:r>
      <w:r w:rsidRPr="004711F7">
        <w:rPr>
          <w:rFonts w:ascii="Times New Roman" w:hAnsi="Times New Roman" w:cs="Times New Roman"/>
        </w:rPr>
        <w:t xml:space="preserve">multiple </w:t>
      </w:r>
      <w:r w:rsidR="00F30C5F" w:rsidRPr="004711F7">
        <w:rPr>
          <w:rFonts w:ascii="Times New Roman" w:hAnsi="Times New Roman" w:cs="Times New Roman"/>
        </w:rPr>
        <w:t xml:space="preserve">nWBV </w:t>
      </w:r>
      <w:r w:rsidRPr="004711F7">
        <w:rPr>
          <w:rFonts w:ascii="Times New Roman" w:hAnsi="Times New Roman" w:cs="Times New Roman"/>
        </w:rPr>
        <w:t xml:space="preserve">measurements of each patient over at least one year. </w:t>
      </w:r>
      <w:r w:rsidR="00F30C5F" w:rsidRPr="004711F7">
        <w:rPr>
          <w:rFonts w:ascii="Times New Roman" w:hAnsi="Times New Roman" w:cs="Times New Roman"/>
        </w:rPr>
        <w:t>To</w:t>
      </w:r>
      <w:r w:rsidRPr="004711F7">
        <w:rPr>
          <w:rFonts w:ascii="Times New Roman" w:hAnsi="Times New Roman" w:cs="Times New Roman"/>
        </w:rPr>
        <w:t xml:space="preserve"> estimate the atrophy rate of each patient, I </w:t>
      </w:r>
      <w:r w:rsidR="00F30C5F" w:rsidRPr="004711F7">
        <w:rPr>
          <w:rFonts w:ascii="Times New Roman" w:hAnsi="Times New Roman" w:cs="Times New Roman"/>
        </w:rPr>
        <w:t xml:space="preserve">took </w:t>
      </w:r>
      <w:r w:rsidRPr="004711F7">
        <w:rPr>
          <w:rFonts w:ascii="Times New Roman" w:hAnsi="Times New Roman" w:cs="Times New Roman"/>
        </w:rPr>
        <w:t xml:space="preserve">the linear regression </w:t>
      </w:r>
      <w:r w:rsidR="00892E83" w:rsidRPr="004711F7">
        <w:rPr>
          <w:rFonts w:ascii="Times New Roman" w:hAnsi="Times New Roman" w:cs="Times New Roman"/>
        </w:rPr>
        <w:t>of nWBV over time for each patient, and then consider</w:t>
      </w:r>
      <w:r w:rsidR="00F30C5F" w:rsidRPr="004711F7">
        <w:rPr>
          <w:rFonts w:ascii="Times New Roman" w:hAnsi="Times New Roman" w:cs="Times New Roman"/>
        </w:rPr>
        <w:t>ed</w:t>
      </w:r>
      <w:r w:rsidR="00892E83" w:rsidRPr="004711F7">
        <w:rPr>
          <w:rFonts w:ascii="Times New Roman" w:hAnsi="Times New Roman" w:cs="Times New Roman"/>
        </w:rPr>
        <w:t xml:space="preserve"> the slope of the line as an estimate for the rate of change of nWBV</w:t>
      </w:r>
      <w:r w:rsidR="00F30C5F" w:rsidRPr="004711F7">
        <w:rPr>
          <w:rFonts w:ascii="Times New Roman" w:hAnsi="Times New Roman" w:cs="Times New Roman"/>
        </w:rPr>
        <w:t xml:space="preserve">, </w:t>
      </w:r>
      <w:r w:rsidR="00062525">
        <w:rPr>
          <w:rFonts w:ascii="Times New Roman" w:hAnsi="Times New Roman" w:cs="Times New Roman"/>
        </w:rPr>
        <w:t xml:space="preserve">which is taken to be the </w:t>
      </w:r>
      <w:r w:rsidR="00F30C5F" w:rsidRPr="004711F7">
        <w:rPr>
          <w:rFonts w:ascii="Times New Roman" w:hAnsi="Times New Roman" w:cs="Times New Roman"/>
        </w:rPr>
        <w:t xml:space="preserve"> estimated atrophy rate. </w:t>
      </w:r>
      <w:r w:rsidR="007A0D7D">
        <w:rPr>
          <w:rFonts w:ascii="Times New Roman" w:hAnsi="Times New Roman" w:cs="Times New Roman"/>
        </w:rPr>
        <w:t>Fig</w:t>
      </w:r>
      <w:r w:rsidR="00892E83" w:rsidRPr="004711F7">
        <w:rPr>
          <w:rFonts w:ascii="Times New Roman" w:hAnsi="Times New Roman" w:cs="Times New Roman"/>
        </w:rPr>
        <w:t xml:space="preserve"> 3 shows the nWBV measurements of a single representative participant over about 1200 days with the regression line plotted over it. After repeating this process for all 150 patients, I used </w:t>
      </w:r>
      <w:r w:rsidR="00F30C5F" w:rsidRPr="004711F7">
        <w:rPr>
          <w:rFonts w:ascii="Times New Roman" w:hAnsi="Times New Roman" w:cs="Times New Roman"/>
        </w:rPr>
        <w:t>a</w:t>
      </w:r>
      <w:r w:rsidR="00892E83" w:rsidRPr="004711F7">
        <w:rPr>
          <w:rFonts w:ascii="Times New Roman" w:hAnsi="Times New Roman" w:cs="Times New Roman"/>
        </w:rPr>
        <w:t xml:space="preserve"> </w:t>
      </w:r>
      <w:r w:rsidR="00F30C5F" w:rsidRPr="004711F7">
        <w:rPr>
          <w:rFonts w:ascii="Times New Roman" w:hAnsi="Times New Roman" w:cs="Times New Roman"/>
        </w:rPr>
        <w:t>one-way</w:t>
      </w:r>
      <w:r w:rsidR="00892E83" w:rsidRPr="004711F7">
        <w:rPr>
          <w:rFonts w:ascii="Times New Roman" w:hAnsi="Times New Roman" w:cs="Times New Roman"/>
        </w:rPr>
        <w:t xml:space="preserve"> ANOVA to determine if</w:t>
      </w:r>
      <w:r w:rsidR="00F30C5F" w:rsidRPr="004711F7">
        <w:rPr>
          <w:rFonts w:ascii="Times New Roman" w:hAnsi="Times New Roman" w:cs="Times New Roman"/>
        </w:rPr>
        <w:t xml:space="preserve"> there is a difference in mean atrophy rate amongst</w:t>
      </w:r>
      <w:r w:rsidR="00892E83" w:rsidRPr="004711F7">
        <w:rPr>
          <w:rFonts w:ascii="Times New Roman" w:hAnsi="Times New Roman" w:cs="Times New Roman"/>
        </w:rPr>
        <w:t xml:space="preserve"> any</w:t>
      </w:r>
      <w:r w:rsidR="00F30C5F" w:rsidRPr="004711F7">
        <w:rPr>
          <w:rFonts w:ascii="Times New Roman" w:hAnsi="Times New Roman" w:cs="Times New Roman"/>
        </w:rPr>
        <w:t xml:space="preserve"> of the</w:t>
      </w:r>
      <w:r w:rsidR="00892E83" w:rsidRPr="004711F7">
        <w:rPr>
          <w:rFonts w:ascii="Times New Roman" w:hAnsi="Times New Roman" w:cs="Times New Roman"/>
        </w:rPr>
        <w:t xml:space="preserve"> </w:t>
      </w:r>
      <w:r w:rsidR="00F30C5F" w:rsidRPr="004711F7">
        <w:rPr>
          <w:rFonts w:ascii="Times New Roman" w:hAnsi="Times New Roman" w:cs="Times New Roman"/>
        </w:rPr>
        <w:t>CDR</w:t>
      </w:r>
      <w:r w:rsidR="00892E83" w:rsidRPr="004711F7">
        <w:rPr>
          <w:rFonts w:ascii="Times New Roman" w:hAnsi="Times New Roman" w:cs="Times New Roman"/>
        </w:rPr>
        <w:t xml:space="preserve"> group</w:t>
      </w:r>
      <w:r w:rsidR="00F30C5F" w:rsidRPr="004711F7">
        <w:rPr>
          <w:rFonts w:ascii="Times New Roman" w:hAnsi="Times New Roman" w:cs="Times New Roman"/>
        </w:rPr>
        <w:t xml:space="preserve">s. </w:t>
      </w:r>
      <w:r w:rsidR="00892E83" w:rsidRPr="004711F7">
        <w:rPr>
          <w:rFonts w:ascii="Times New Roman" w:hAnsi="Times New Roman" w:cs="Times New Roman"/>
        </w:rPr>
        <w:t xml:space="preserve">From the ANOVA in </w:t>
      </w:r>
      <w:r w:rsidR="005D7680">
        <w:rPr>
          <w:rFonts w:ascii="Times New Roman" w:hAnsi="Times New Roman" w:cs="Times New Roman"/>
        </w:rPr>
        <w:t xml:space="preserve">Fig 4B, </w:t>
      </w:r>
      <w:r w:rsidR="00892E83" w:rsidRPr="004711F7">
        <w:rPr>
          <w:rFonts w:ascii="Times New Roman" w:hAnsi="Times New Roman" w:cs="Times New Roman"/>
        </w:rPr>
        <w:t>p</w:t>
      </w:r>
      <w:r w:rsidR="005E02BC" w:rsidRPr="004711F7">
        <w:rPr>
          <w:rFonts w:ascii="Times New Roman" w:hAnsi="Times New Roman" w:cs="Times New Roman"/>
        </w:rPr>
        <w:t>=</w:t>
      </w:r>
      <w:r w:rsidR="00892E83" w:rsidRPr="004711F7">
        <w:rPr>
          <w:rFonts w:ascii="Times New Roman" w:hAnsi="Times New Roman" w:cs="Times New Roman"/>
        </w:rPr>
        <w:t>0.02407 and so we reject the null hypothesis and conclude that at least one of the means is different. From the post hoc Welch’s t-tests, the only difference in atrophy rate is</w:t>
      </w:r>
      <w:r w:rsidR="005E02BC" w:rsidRPr="004711F7">
        <w:rPr>
          <w:rFonts w:ascii="Times New Roman" w:hAnsi="Times New Roman" w:cs="Times New Roman"/>
        </w:rPr>
        <w:t xml:space="preserve"> found</w:t>
      </w:r>
      <w:r w:rsidR="00892E83" w:rsidRPr="004711F7">
        <w:rPr>
          <w:rFonts w:ascii="Times New Roman" w:hAnsi="Times New Roman" w:cs="Times New Roman"/>
        </w:rPr>
        <w:t xml:space="preserve"> between Demented and Nondemented (</w:t>
      </w:r>
      <w:r w:rsidR="005D7680">
        <w:rPr>
          <w:rFonts w:ascii="Times New Roman" w:hAnsi="Times New Roman" w:cs="Times New Roman"/>
        </w:rPr>
        <w:t xml:space="preserve">Fig 4B </w:t>
      </w:r>
      <w:r w:rsidR="005D7680" w:rsidRPr="004711F7">
        <w:rPr>
          <w:rFonts w:ascii="Times New Roman" w:hAnsi="Times New Roman" w:cs="Times New Roman"/>
        </w:rPr>
        <w:t>Welch’s</w:t>
      </w:r>
      <w:r w:rsidR="00892E83" w:rsidRPr="004711F7">
        <w:rPr>
          <w:rFonts w:ascii="Times New Roman" w:hAnsi="Times New Roman" w:cs="Times New Roman"/>
        </w:rPr>
        <w:t xml:space="preserve"> t-test, p= 0.009001)</w:t>
      </w:r>
      <w:r w:rsidR="005D7680">
        <w:rPr>
          <w:rFonts w:ascii="Times New Roman" w:hAnsi="Times New Roman" w:cs="Times New Roman"/>
        </w:rPr>
        <w:t xml:space="preserve">. </w:t>
      </w:r>
      <w:r w:rsidR="005E02BC" w:rsidRPr="004711F7">
        <w:rPr>
          <w:rFonts w:ascii="Times New Roman" w:hAnsi="Times New Roman" w:cs="Times New Roman"/>
        </w:rPr>
        <w:t xml:space="preserve">This </w:t>
      </w:r>
      <w:r w:rsidR="00892E83" w:rsidRPr="004711F7">
        <w:rPr>
          <w:rFonts w:ascii="Times New Roman" w:hAnsi="Times New Roman" w:cs="Times New Roman"/>
        </w:rPr>
        <w:t xml:space="preserve">suggests that those who are labeled as Converted, which we may consider as </w:t>
      </w:r>
      <w:r w:rsidR="005D7680">
        <w:rPr>
          <w:rFonts w:ascii="Times New Roman" w:hAnsi="Times New Roman" w:cs="Times New Roman"/>
        </w:rPr>
        <w:t xml:space="preserve">being in the </w:t>
      </w:r>
      <w:r w:rsidR="00892E83" w:rsidRPr="004711F7">
        <w:rPr>
          <w:rFonts w:ascii="Times New Roman" w:hAnsi="Times New Roman" w:cs="Times New Roman"/>
        </w:rPr>
        <w:t xml:space="preserve">early stages of AD, fall somewhere in between. Lastly, the scatter plot and regression line of </w:t>
      </w:r>
      <w:r w:rsidR="000006C6">
        <w:rPr>
          <w:rFonts w:ascii="Times New Roman" w:hAnsi="Times New Roman" w:cs="Times New Roman"/>
        </w:rPr>
        <w:t>a</w:t>
      </w:r>
      <w:r w:rsidR="00892E83" w:rsidRPr="004711F7">
        <w:rPr>
          <w:rFonts w:ascii="Times New Roman" w:hAnsi="Times New Roman" w:cs="Times New Roman"/>
        </w:rPr>
        <w:t xml:space="preserve">trophy rate over </w:t>
      </w:r>
      <w:r w:rsidR="000006C6">
        <w:rPr>
          <w:rFonts w:ascii="Times New Roman" w:hAnsi="Times New Roman" w:cs="Times New Roman"/>
        </w:rPr>
        <w:t>a</w:t>
      </w:r>
      <w:r w:rsidR="00892E83" w:rsidRPr="004711F7">
        <w:rPr>
          <w:rFonts w:ascii="Times New Roman" w:hAnsi="Times New Roman" w:cs="Times New Roman"/>
        </w:rPr>
        <w:t>ge shows that atrophy rate is not related to age (</w:t>
      </w:r>
      <w:r w:rsidR="005D7680">
        <w:rPr>
          <w:rFonts w:ascii="Times New Roman" w:hAnsi="Times New Roman" w:cs="Times New Roman"/>
        </w:rPr>
        <w:t xml:space="preserve">Fig 4 A, </w:t>
      </w:r>
      <w:r w:rsidR="00892E83" w:rsidRPr="004711F7">
        <w:rPr>
          <w:rFonts w:ascii="Times New Roman" w:hAnsi="Times New Roman" w:cs="Times New Roman"/>
        </w:rPr>
        <w:t>Pearson’s r, p=</w:t>
      </w:r>
      <w:r w:rsidR="005D7680">
        <w:rPr>
          <w:rFonts w:ascii="Times New Roman" w:hAnsi="Times New Roman" w:cs="Times New Roman"/>
        </w:rPr>
        <w:t>0.</w:t>
      </w:r>
      <w:r w:rsidR="00892E83" w:rsidRPr="004711F7">
        <w:rPr>
          <w:rFonts w:ascii="Times New Roman" w:hAnsi="Times New Roman" w:cs="Times New Roman"/>
        </w:rPr>
        <w:t xml:space="preserve">2419). </w:t>
      </w:r>
      <w:r w:rsidR="005D7680" w:rsidRPr="004711F7">
        <w:rPr>
          <w:rFonts w:ascii="Times New Roman" w:hAnsi="Times New Roman" w:cs="Times New Roman"/>
        </w:rPr>
        <w:t>Altogether</w:t>
      </w:r>
      <w:r w:rsidR="005E02BC" w:rsidRPr="004711F7">
        <w:rPr>
          <w:rFonts w:ascii="Times New Roman" w:hAnsi="Times New Roman" w:cs="Times New Roman"/>
        </w:rPr>
        <w:t>, this</w:t>
      </w:r>
      <w:r w:rsidR="00892E83" w:rsidRPr="004711F7">
        <w:rPr>
          <w:rFonts w:ascii="Times New Roman" w:hAnsi="Times New Roman" w:cs="Times New Roman"/>
        </w:rPr>
        <w:t xml:space="preserve"> means that </w:t>
      </w:r>
      <w:r w:rsidR="005E02BC" w:rsidRPr="004711F7">
        <w:rPr>
          <w:rFonts w:ascii="Times New Roman" w:hAnsi="Times New Roman" w:cs="Times New Roman"/>
        </w:rPr>
        <w:t xml:space="preserve">we may conclude that </w:t>
      </w:r>
      <w:r w:rsidR="00892E83" w:rsidRPr="004711F7">
        <w:rPr>
          <w:rFonts w:ascii="Times New Roman" w:hAnsi="Times New Roman" w:cs="Times New Roman"/>
        </w:rPr>
        <w:t xml:space="preserve">demented participants have a higher atrophy rate than non demented participants </w:t>
      </w:r>
      <w:r w:rsidR="005E02BC" w:rsidRPr="004711F7">
        <w:rPr>
          <w:rFonts w:ascii="Times New Roman" w:hAnsi="Times New Roman" w:cs="Times New Roman"/>
        </w:rPr>
        <w:t>(sign is negative to indicate loss</w:t>
      </w:r>
      <w:r w:rsidR="005D7680">
        <w:rPr>
          <w:rFonts w:ascii="Times New Roman" w:hAnsi="Times New Roman" w:cs="Times New Roman"/>
        </w:rPr>
        <w:t xml:space="preserve"> </w:t>
      </w:r>
      <w:r w:rsidR="005E02BC" w:rsidRPr="004711F7">
        <w:rPr>
          <w:rFonts w:ascii="Times New Roman" w:hAnsi="Times New Roman" w:cs="Times New Roman"/>
        </w:rPr>
        <w:t xml:space="preserve">of brain mass) </w:t>
      </w:r>
      <w:r w:rsidR="00892E83" w:rsidRPr="004711F7">
        <w:rPr>
          <w:rFonts w:ascii="Times New Roman" w:hAnsi="Times New Roman" w:cs="Times New Roman"/>
        </w:rPr>
        <w:t>and that this difference in atrophy rate is not due to age.</w:t>
      </w:r>
    </w:p>
    <w:p w14:paraId="1A52F9C9" w14:textId="48CE983F" w:rsidR="00B44A1D" w:rsidRPr="004711F7" w:rsidRDefault="00892E83" w:rsidP="00937A1A">
      <w:pPr>
        <w:pStyle w:val="BodyText"/>
        <w:spacing w:line="480" w:lineRule="auto"/>
        <w:rPr>
          <w:rFonts w:ascii="Times New Roman" w:eastAsiaTheme="minorEastAsia" w:hAnsi="Times New Roman" w:cs="Times New Roman"/>
          <w:iCs/>
        </w:rPr>
      </w:pPr>
      <w:r w:rsidRPr="004711F7">
        <w:rPr>
          <w:rFonts w:ascii="Times New Roman" w:hAnsi="Times New Roman" w:cs="Times New Roman"/>
        </w:rPr>
        <w:tab/>
        <w:t>Lastly,</w:t>
      </w:r>
      <w:r w:rsidR="00FA3A5B" w:rsidRPr="004711F7">
        <w:rPr>
          <w:rFonts w:ascii="Times New Roman" w:hAnsi="Times New Roman" w:cs="Times New Roman"/>
        </w:rPr>
        <w:t xml:space="preserve"> because disease outcomes were determined by CDR,</w:t>
      </w:r>
      <w:r w:rsidRPr="004711F7">
        <w:rPr>
          <w:rFonts w:ascii="Times New Roman" w:hAnsi="Times New Roman" w:cs="Times New Roman"/>
        </w:rPr>
        <w:t xml:space="preserve"> I trained two models, linear discriminant (LDA) and random forest (RF), to classify participants</w:t>
      </w:r>
      <w:r w:rsidR="000006C6">
        <w:rPr>
          <w:rFonts w:ascii="Times New Roman" w:hAnsi="Times New Roman" w:cs="Times New Roman"/>
        </w:rPr>
        <w:t>’</w:t>
      </w:r>
      <w:r w:rsidRPr="004711F7">
        <w:rPr>
          <w:rFonts w:ascii="Times New Roman" w:hAnsi="Times New Roman" w:cs="Times New Roman"/>
        </w:rPr>
        <w:t xml:space="preserve"> CDR based on </w:t>
      </w:r>
      <w:r w:rsidR="00FA3A5B" w:rsidRPr="004711F7">
        <w:rPr>
          <w:rFonts w:ascii="Times New Roman" w:hAnsi="Times New Roman" w:cs="Times New Roman"/>
        </w:rPr>
        <w:t xml:space="preserve">atrophy rate, MR delay (the number of days between each visit), sex, age, education, socio-economic status, MMSE, estimated total intracranial volume and nWBV. Note that since I’m using the most up to date atrophy rate for all participants, that is, atrophy rate was estimated using all available nWBV data points, I will only be training/testing these models on data from the participants’ last visit. LDA is type of supervised classifier that works similarly to PCA but instead of maximizing variance, LDA maximizes the separability of two classes by maximizing the function </w:t>
      </w:r>
      <m:oMath>
        <m:func>
          <m:funcPr>
            <m:ctrlPr>
              <w:rPr>
                <w:rFonts w:ascii="Cambria Math" w:hAnsi="Cambria Math" w:cs="Times New Roman"/>
                <w:i/>
                <w:iCs/>
              </w:rPr>
            </m:ctrlPr>
          </m:funcPr>
          <m:fName>
            <m:limLow>
              <m:limLowPr>
                <m:ctrlPr>
                  <w:rPr>
                    <w:rFonts w:ascii="Cambria Math" w:hAnsi="Cambria Math" w:cs="Times New Roman"/>
                    <w:i/>
                    <w:iCs/>
                  </w:rPr>
                </m:ctrlPr>
              </m:limLowPr>
              <m:e>
                <m:r>
                  <w:rPr>
                    <w:rFonts w:ascii="Cambria Math" w:hAnsi="Cambria Math" w:cs="Times New Roman"/>
                  </w:rPr>
                  <m:t>max</m:t>
                </m:r>
              </m:e>
              <m:lim>
                <m:r>
                  <w:rPr>
                    <w:rFonts w:ascii="Cambria Math" w:hAnsi="Cambria Math" w:cs="Times New Roman"/>
                  </w:rPr>
                  <m:t>v:</m:t>
                </m:r>
                <m:d>
                  <m:dPr>
                    <m:begChr m:val="‖"/>
                    <m:endChr m:val="‖"/>
                    <m:ctrlPr>
                      <w:rPr>
                        <w:rFonts w:ascii="Cambria Math" w:hAnsi="Cambria Math" w:cs="Times New Roman"/>
                        <w:i/>
                        <w:iCs/>
                      </w:rPr>
                    </m:ctrlPr>
                  </m:dPr>
                  <m:e>
                    <m:r>
                      <w:rPr>
                        <w:rFonts w:ascii="Cambria Math" w:hAnsi="Cambria Math" w:cs="Times New Roman"/>
                      </w:rPr>
                      <m:t>v</m:t>
                    </m:r>
                  </m:e>
                </m:d>
                <m:r>
                  <w:rPr>
                    <w:rFonts w:ascii="Cambria Math" w:hAnsi="Cambria Math" w:cs="Times New Roman"/>
                  </w:rPr>
                  <m:t>=1</m:t>
                </m:r>
              </m:lim>
            </m:limLow>
          </m:fName>
          <m:e>
            <m:f>
              <m:fPr>
                <m:ctrlPr>
                  <w:rPr>
                    <w:rFonts w:ascii="Cambria Math" w:hAnsi="Cambria Math" w:cs="Times New Roman"/>
                    <w:i/>
                    <w:iCs/>
                  </w:rPr>
                </m:ctrlPr>
              </m:fPr>
              <m:num>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2</m:t>
                            </m:r>
                          </m:sub>
                        </m:sSub>
                      </m:e>
                    </m:d>
                  </m:e>
                  <m:sup>
                    <m:r>
                      <w:rPr>
                        <w:rFonts w:ascii="Cambria Math" w:hAnsi="Cambria Math" w:cs="Times New Roman"/>
                      </w:rPr>
                      <m:t>2</m:t>
                    </m:r>
                  </m:sup>
                </m:sSup>
              </m:num>
              <m:den>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2</m:t>
                        </m:r>
                      </m:sub>
                    </m:sSub>
                  </m:e>
                  <m:sup>
                    <m:r>
                      <w:rPr>
                        <w:rFonts w:ascii="Cambria Math" w:hAnsi="Cambria Math" w:cs="Times New Roman"/>
                      </w:rPr>
                      <m:t>2</m:t>
                    </m:r>
                  </m:sup>
                </m:sSup>
              </m:den>
            </m:f>
          </m:e>
        </m:func>
      </m:oMath>
      <w:r w:rsidR="00FA3A5B" w:rsidRPr="004711F7">
        <w:rPr>
          <w:rFonts w:ascii="Times New Roman" w:eastAsiaTheme="minorEastAsia" w:hAnsi="Times New Roman" w:cs="Times New Roman"/>
          <w:iCs/>
        </w:rPr>
        <w:t xml:space="preserve"> where </w:t>
      </w:r>
      <m:oMath>
        <m:sSub>
          <m:sSubPr>
            <m:ctrlPr>
              <w:rPr>
                <w:rFonts w:ascii="Cambria Math" w:eastAsiaTheme="minorEastAsia" w:hAnsi="Cambria Math" w:cs="Times New Roman"/>
                <w:i/>
                <w:iCs/>
              </w:rPr>
            </m:ctrlPr>
          </m:sSubPr>
          <m:e>
            <m:r>
              <w:rPr>
                <w:rFonts w:ascii="Cambria Math" w:eastAsiaTheme="minorEastAsia" w:hAnsi="Cambria Math" w:cs="Times New Roman"/>
              </w:rPr>
              <m:t>μ</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b/>
                <w:bCs/>
                <w:i/>
                <w:iCs/>
              </w:rPr>
            </m:ctrlPr>
          </m:sSupPr>
          <m:e>
            <m:r>
              <m:rPr>
                <m:sty m:val="bi"/>
              </m:rPr>
              <w:rPr>
                <w:rFonts w:ascii="Cambria Math" w:eastAsiaTheme="minorEastAsia" w:hAnsi="Cambria Math" w:cs="Times New Roman"/>
              </w:rPr>
              <m:t>v</m:t>
            </m:r>
          </m:e>
          <m:sup>
            <m:r>
              <w:rPr>
                <w:rFonts w:ascii="Cambria Math" w:eastAsiaTheme="minorEastAsia" w:hAnsi="Cambria Math" w:cs="Times New Roman"/>
              </w:rPr>
              <m:t>T</m:t>
            </m:r>
          </m:sup>
        </m:sSup>
        <m:sSub>
          <m:sSubPr>
            <m:ctrlPr>
              <w:rPr>
                <w:rFonts w:ascii="Cambria Math" w:eastAsiaTheme="minorEastAsia" w:hAnsi="Cambria Math" w:cs="Times New Roman"/>
                <w:b/>
                <w:bCs/>
                <w:i/>
                <w:iCs/>
              </w:rPr>
            </m:ctrlPr>
          </m:sSubPr>
          <m:e>
            <m:r>
              <m:rPr>
                <m:sty m:val="bi"/>
              </m:rP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   j=</m:t>
        </m:r>
        <m:r>
          <w:rPr>
            <w:rFonts w:ascii="Cambria Math" w:eastAsiaTheme="minorEastAsia" w:hAnsi="Cambria Math" w:cs="Times New Roman"/>
          </w:rPr>
          <w:lastRenderedPageBreak/>
          <m:t>1, 2 for class 1, class 2 etc.</m:t>
        </m:r>
      </m:oMath>
      <w:r w:rsidR="00FA3A5B" w:rsidRPr="004711F7">
        <w:rPr>
          <w:rFonts w:ascii="Times New Roman" w:eastAsiaTheme="minorEastAsia" w:hAnsi="Times New Roman" w:cs="Times New Roman"/>
          <w:iCs/>
        </w:rPr>
        <w:t xml:space="preserve"> In essence, it finds a new direction vector, </w:t>
      </w:r>
      <m:oMath>
        <m:r>
          <w:rPr>
            <w:rFonts w:ascii="Cambria Math" w:eastAsiaTheme="minorEastAsia" w:hAnsi="Cambria Math" w:cs="Times New Roman"/>
          </w:rPr>
          <m:t>v</m:t>
        </m:r>
      </m:oMath>
      <w:r w:rsidR="00FA3A5B" w:rsidRPr="004711F7">
        <w:rPr>
          <w:rFonts w:ascii="Times New Roman" w:eastAsiaTheme="minorEastAsia" w:hAnsi="Times New Roman" w:cs="Times New Roman"/>
          <w:iCs/>
        </w:rPr>
        <w:t xml:space="preserve">, that is some linear combination of the features where, once the data is projected on to </w:t>
      </w:r>
      <m:oMath>
        <m:r>
          <w:rPr>
            <w:rFonts w:ascii="Cambria Math" w:eastAsiaTheme="minorEastAsia" w:hAnsi="Cambria Math" w:cs="Times New Roman"/>
          </w:rPr>
          <m:t>v</m:t>
        </m:r>
      </m:oMath>
      <w:r w:rsidR="00FA3A5B" w:rsidRPr="004711F7">
        <w:rPr>
          <w:rFonts w:ascii="Times New Roman" w:eastAsiaTheme="minorEastAsia" w:hAnsi="Times New Roman" w:cs="Times New Roman"/>
          <w:iCs/>
        </w:rPr>
        <w:t>, the squared difference of the means between two classes is maximized and their variance</w:t>
      </w:r>
      <w:r w:rsidR="005E02BC" w:rsidRPr="004711F7">
        <w:rPr>
          <w:rFonts w:ascii="Times New Roman" w:eastAsiaTheme="minorEastAsia" w:hAnsi="Times New Roman" w:cs="Times New Roman"/>
          <w:iCs/>
        </w:rPr>
        <w:t>s are</w:t>
      </w:r>
      <w:r w:rsidR="00FA3A5B" w:rsidRPr="004711F7">
        <w:rPr>
          <w:rFonts w:ascii="Times New Roman" w:eastAsiaTheme="minorEastAsia" w:hAnsi="Times New Roman" w:cs="Times New Roman"/>
          <w:iCs/>
        </w:rPr>
        <w:t xml:space="preserve"> minimized </w:t>
      </w:r>
      <w:r w:rsidR="000006C6">
        <w:rPr>
          <w:rFonts w:ascii="Times New Roman" w:eastAsiaTheme="minorEastAsia" w:hAnsi="Times New Roman" w:cs="Times New Roman"/>
          <w:iCs/>
        </w:rPr>
        <w:t xml:space="preserve">resulting in minimal overlap. </w:t>
      </w:r>
      <w:r w:rsidR="00B44A1D" w:rsidRPr="004711F7">
        <w:rPr>
          <w:rFonts w:ascii="Times New Roman" w:eastAsiaTheme="minorEastAsia" w:hAnsi="Times New Roman" w:cs="Times New Roman"/>
          <w:iCs/>
        </w:rPr>
        <w:t xml:space="preserve">In random forest, rather than training a single decision tree, which can be highly sensitive to training data and might fail to generalize, we train many random </w:t>
      </w:r>
      <w:r w:rsidR="005E02BC" w:rsidRPr="004711F7">
        <w:rPr>
          <w:rFonts w:ascii="Times New Roman" w:eastAsiaTheme="minorEastAsia" w:hAnsi="Times New Roman" w:cs="Times New Roman"/>
          <w:iCs/>
        </w:rPr>
        <w:t>trees</w:t>
      </w:r>
      <w:r w:rsidR="00B44A1D" w:rsidRPr="004711F7">
        <w:rPr>
          <w:rFonts w:ascii="Times New Roman" w:eastAsiaTheme="minorEastAsia" w:hAnsi="Times New Roman" w:cs="Times New Roman"/>
          <w:iCs/>
        </w:rPr>
        <w:t>. First</w:t>
      </w:r>
      <w:r w:rsidR="005E02BC" w:rsidRPr="004711F7">
        <w:rPr>
          <w:rFonts w:ascii="Times New Roman" w:eastAsiaTheme="minorEastAsia" w:hAnsi="Times New Roman" w:cs="Times New Roman"/>
          <w:iCs/>
        </w:rPr>
        <w:t>,</w:t>
      </w:r>
      <w:r w:rsidR="00B44A1D" w:rsidRPr="004711F7">
        <w:rPr>
          <w:rFonts w:ascii="Times New Roman" w:eastAsiaTheme="minorEastAsia" w:hAnsi="Times New Roman" w:cs="Times New Roman"/>
          <w:iCs/>
        </w:rPr>
        <w:t xml:space="preserve"> data is bootstrapped (rows are randomly selected with replacement to generate many new sets), then each tree is trained on a randomly selected subset of features</w:t>
      </w:r>
      <w:r w:rsidR="000006C6">
        <w:rPr>
          <w:rFonts w:ascii="Times New Roman" w:eastAsiaTheme="minorEastAsia" w:hAnsi="Times New Roman" w:cs="Times New Roman"/>
          <w:iCs/>
        </w:rPr>
        <w:t>. The f</w:t>
      </w:r>
      <w:r w:rsidR="00B44A1D" w:rsidRPr="004711F7">
        <w:rPr>
          <w:rFonts w:ascii="Times New Roman" w:eastAsiaTheme="minorEastAsia" w:hAnsi="Times New Roman" w:cs="Times New Roman"/>
          <w:iCs/>
        </w:rPr>
        <w:t>inal output is the majority vote of all the trees</w:t>
      </w:r>
      <w:r w:rsidR="000006C6">
        <w:rPr>
          <w:rFonts w:ascii="Times New Roman" w:eastAsiaTheme="minorEastAsia" w:hAnsi="Times New Roman" w:cs="Times New Roman"/>
          <w:iCs/>
        </w:rPr>
        <w:t>, a process also known as “bagging.”</w:t>
      </w:r>
      <w:r w:rsidR="00B44A1D" w:rsidRPr="004711F7">
        <w:rPr>
          <w:rFonts w:ascii="Times New Roman" w:eastAsiaTheme="minorEastAsia" w:hAnsi="Times New Roman" w:cs="Times New Roman"/>
          <w:iCs/>
        </w:rPr>
        <w:t xml:space="preserve"> </w:t>
      </w:r>
    </w:p>
    <w:p w14:paraId="5AC4B80E" w14:textId="2C23A18B" w:rsidR="00B44A1D" w:rsidRPr="004711F7" w:rsidRDefault="00B44A1D" w:rsidP="00937A1A">
      <w:pPr>
        <w:pStyle w:val="BodyText"/>
        <w:spacing w:line="480" w:lineRule="auto"/>
        <w:rPr>
          <w:rFonts w:ascii="Times New Roman" w:eastAsiaTheme="minorEastAsia" w:hAnsi="Times New Roman" w:cs="Times New Roman"/>
          <w:iCs/>
        </w:rPr>
      </w:pPr>
      <w:r w:rsidRPr="004711F7">
        <w:rPr>
          <w:rFonts w:ascii="Times New Roman" w:eastAsiaTheme="minorEastAsia" w:hAnsi="Times New Roman" w:cs="Times New Roman"/>
          <w:iCs/>
        </w:rPr>
        <w:tab/>
      </w:r>
      <w:r w:rsidR="00567DFD">
        <w:rPr>
          <w:rFonts w:ascii="Times New Roman" w:eastAsiaTheme="minorEastAsia" w:hAnsi="Times New Roman" w:cs="Times New Roman"/>
          <w:iCs/>
        </w:rPr>
        <w:t>Fig</w:t>
      </w:r>
      <w:r w:rsidRPr="004711F7">
        <w:rPr>
          <w:rFonts w:ascii="Times New Roman" w:eastAsiaTheme="minorEastAsia" w:hAnsi="Times New Roman" w:cs="Times New Roman"/>
          <w:iCs/>
        </w:rPr>
        <w:t xml:space="preserve"> </w:t>
      </w:r>
      <w:r w:rsidR="00F052FA">
        <w:rPr>
          <w:rFonts w:ascii="Times New Roman" w:eastAsiaTheme="minorEastAsia" w:hAnsi="Times New Roman" w:cs="Times New Roman"/>
          <w:iCs/>
        </w:rPr>
        <w:t>5</w:t>
      </w:r>
      <w:r w:rsidRPr="004711F7">
        <w:rPr>
          <w:rFonts w:ascii="Times New Roman" w:eastAsiaTheme="minorEastAsia" w:hAnsi="Times New Roman" w:cs="Times New Roman"/>
          <w:iCs/>
        </w:rPr>
        <w:t xml:space="preserve"> summarizes the </w:t>
      </w:r>
      <w:r w:rsidR="00567DFD">
        <w:rPr>
          <w:rFonts w:ascii="Times New Roman" w:eastAsiaTheme="minorEastAsia" w:hAnsi="Times New Roman" w:cs="Times New Roman"/>
          <w:iCs/>
        </w:rPr>
        <w:t>LDA model</w:t>
      </w:r>
      <w:r w:rsidRPr="004711F7">
        <w:rPr>
          <w:rFonts w:ascii="Times New Roman" w:eastAsiaTheme="minorEastAsia" w:hAnsi="Times New Roman" w:cs="Times New Roman"/>
          <w:iCs/>
        </w:rPr>
        <w:t xml:space="preserve"> trained to classify CDR into 0, 0.5, 1 or 2. The ordination plot for the trained LDA model in </w:t>
      </w:r>
      <w:r w:rsidR="00567DFD">
        <w:rPr>
          <w:rFonts w:ascii="Times New Roman" w:eastAsiaTheme="minorEastAsia" w:hAnsi="Times New Roman" w:cs="Times New Roman"/>
          <w:iCs/>
        </w:rPr>
        <w:t xml:space="preserve">Fig </w:t>
      </w:r>
      <w:r w:rsidR="00F052FA">
        <w:rPr>
          <w:rFonts w:ascii="Times New Roman" w:eastAsiaTheme="minorEastAsia" w:hAnsi="Times New Roman" w:cs="Times New Roman"/>
          <w:iCs/>
        </w:rPr>
        <w:t>5</w:t>
      </w:r>
      <w:r w:rsidR="00567DFD">
        <w:rPr>
          <w:rFonts w:ascii="Times New Roman" w:eastAsiaTheme="minorEastAsia" w:hAnsi="Times New Roman" w:cs="Times New Roman"/>
          <w:iCs/>
        </w:rPr>
        <w:t>A,B</w:t>
      </w:r>
      <w:r w:rsidRPr="004711F7">
        <w:rPr>
          <w:rFonts w:ascii="Times New Roman" w:eastAsiaTheme="minorEastAsia" w:hAnsi="Times New Roman" w:cs="Times New Roman"/>
          <w:iCs/>
        </w:rPr>
        <w:t xml:space="preserve"> shows that despite LDA </w:t>
      </w:r>
      <w:r w:rsidR="00567DFD">
        <w:rPr>
          <w:rFonts w:ascii="Times New Roman" w:eastAsiaTheme="minorEastAsia" w:hAnsi="Times New Roman" w:cs="Times New Roman"/>
          <w:iCs/>
        </w:rPr>
        <w:t xml:space="preserve">finding </w:t>
      </w:r>
      <w:r w:rsidRPr="004711F7">
        <w:rPr>
          <w:rFonts w:ascii="Times New Roman" w:eastAsiaTheme="minorEastAsia" w:hAnsi="Times New Roman" w:cs="Times New Roman"/>
          <w:iCs/>
        </w:rPr>
        <w:t>maximal separation, there is still a decent amount of overlap. Ideally, if LDA was very effective,</w:t>
      </w:r>
      <w:r w:rsidR="00C92747">
        <w:rPr>
          <w:rFonts w:ascii="Times New Roman" w:eastAsiaTheme="minorEastAsia" w:hAnsi="Times New Roman" w:cs="Times New Roman"/>
          <w:iCs/>
        </w:rPr>
        <w:t xml:space="preserve"> there would</w:t>
      </w:r>
      <w:r w:rsidR="00567DFD">
        <w:rPr>
          <w:rFonts w:ascii="Times New Roman" w:eastAsiaTheme="minorEastAsia" w:hAnsi="Times New Roman" w:cs="Times New Roman"/>
          <w:iCs/>
        </w:rPr>
        <w:t xml:space="preserve"> be no </w:t>
      </w:r>
      <w:r w:rsidRPr="004711F7">
        <w:rPr>
          <w:rFonts w:ascii="Times New Roman" w:eastAsiaTheme="minorEastAsia" w:hAnsi="Times New Roman" w:cs="Times New Roman"/>
          <w:iCs/>
        </w:rPr>
        <w:t xml:space="preserve">overlap between classes. It is interesting to note that </w:t>
      </w:r>
      <w:r w:rsidR="00C20E4D" w:rsidRPr="004711F7">
        <w:rPr>
          <w:rFonts w:ascii="Times New Roman" w:eastAsiaTheme="minorEastAsia" w:hAnsi="Times New Roman" w:cs="Times New Roman"/>
          <w:iCs/>
        </w:rPr>
        <w:t xml:space="preserve">classes of CDR that are more different from each other tend to be farther apart than adjacent classes, </w:t>
      </w:r>
      <w:r w:rsidR="00C92747" w:rsidRPr="004711F7">
        <w:rPr>
          <w:rFonts w:ascii="Times New Roman" w:eastAsiaTheme="minorEastAsia" w:hAnsi="Times New Roman" w:cs="Times New Roman"/>
          <w:iCs/>
        </w:rPr>
        <w:t>i.e.</w:t>
      </w:r>
      <w:r w:rsidR="00C20E4D" w:rsidRPr="004711F7">
        <w:rPr>
          <w:rFonts w:ascii="Times New Roman" w:eastAsiaTheme="minorEastAsia" w:hAnsi="Times New Roman" w:cs="Times New Roman"/>
          <w:iCs/>
        </w:rPr>
        <w:t xml:space="preserve"> CDR 0 and CDR 2 do not share overlap whereas CDR 0 and CDR 0.5 share much more overlap. From the confusion matrices, the training accuracy was 68.57% and the testing accuracy was only 64.44%. The confusion matrices also show that adjacent CDR classes tended to get the most confused, </w:t>
      </w:r>
      <w:r w:rsidR="00180FE1">
        <w:rPr>
          <w:rFonts w:ascii="Times New Roman" w:eastAsiaTheme="minorEastAsia" w:hAnsi="Times New Roman" w:cs="Times New Roman"/>
          <w:iCs/>
        </w:rPr>
        <w:t xml:space="preserve">that is, </w:t>
      </w:r>
      <w:r w:rsidR="00C20E4D" w:rsidRPr="004711F7">
        <w:rPr>
          <w:rFonts w:ascii="Times New Roman" w:eastAsiaTheme="minorEastAsia" w:hAnsi="Times New Roman" w:cs="Times New Roman"/>
          <w:iCs/>
        </w:rPr>
        <w:t>it is more likely to confuse CDR 0 and CDR 0.5, but not CDR 0 and CDR 2</w:t>
      </w:r>
      <w:r w:rsidR="00567DFD">
        <w:rPr>
          <w:rFonts w:ascii="Times New Roman" w:eastAsiaTheme="minorEastAsia" w:hAnsi="Times New Roman" w:cs="Times New Roman"/>
          <w:iCs/>
        </w:rPr>
        <w:t xml:space="preserve"> (Fig 5</w:t>
      </w:r>
      <w:r w:rsidR="00F052FA">
        <w:rPr>
          <w:rFonts w:ascii="Times New Roman" w:eastAsiaTheme="minorEastAsia" w:hAnsi="Times New Roman" w:cs="Times New Roman"/>
          <w:iCs/>
        </w:rPr>
        <w:t>C)</w:t>
      </w:r>
      <w:r w:rsidR="00C20E4D" w:rsidRPr="004711F7">
        <w:rPr>
          <w:rFonts w:ascii="Times New Roman" w:eastAsiaTheme="minorEastAsia" w:hAnsi="Times New Roman" w:cs="Times New Roman"/>
          <w:iCs/>
        </w:rPr>
        <w:t>. The RF model did not fair any better with a training accuracy of 54.29%, a testing accuracy of 64.44% and an out of bag (OOB) of about 40%</w:t>
      </w:r>
      <w:r w:rsidR="00F052FA">
        <w:rPr>
          <w:rFonts w:ascii="Times New Roman" w:eastAsiaTheme="minorEastAsia" w:hAnsi="Times New Roman" w:cs="Times New Roman"/>
          <w:iCs/>
        </w:rPr>
        <w:t xml:space="preserve"> (Fig 6</w:t>
      </w:r>
      <w:r w:rsidR="00515C91">
        <w:rPr>
          <w:rFonts w:ascii="Times New Roman" w:eastAsiaTheme="minorEastAsia" w:hAnsi="Times New Roman" w:cs="Times New Roman"/>
          <w:iCs/>
        </w:rPr>
        <w:t>A,C)</w:t>
      </w:r>
      <w:r w:rsidR="00C20E4D" w:rsidRPr="004711F7">
        <w:rPr>
          <w:rFonts w:ascii="Times New Roman" w:eastAsiaTheme="minorEastAsia" w:hAnsi="Times New Roman" w:cs="Times New Roman"/>
          <w:iCs/>
        </w:rPr>
        <w:t xml:space="preserve">. </w:t>
      </w:r>
      <w:r w:rsidR="00180FE1" w:rsidRPr="004711F7">
        <w:rPr>
          <w:rFonts w:ascii="Times New Roman" w:eastAsiaTheme="minorEastAsia" w:hAnsi="Times New Roman" w:cs="Times New Roman"/>
          <w:iCs/>
        </w:rPr>
        <w:t>Again,</w:t>
      </w:r>
      <w:r w:rsidR="00C20E4D" w:rsidRPr="004711F7">
        <w:rPr>
          <w:rFonts w:ascii="Times New Roman" w:eastAsiaTheme="minorEastAsia" w:hAnsi="Times New Roman" w:cs="Times New Roman"/>
          <w:iCs/>
        </w:rPr>
        <w:t xml:space="preserve"> from the RF confusion matrices, the most mistakes were made between adjacent CDR classes. </w:t>
      </w:r>
      <w:r w:rsidR="00515C91">
        <w:rPr>
          <w:rFonts w:ascii="Times New Roman" w:eastAsiaTheme="minorEastAsia" w:hAnsi="Times New Roman" w:cs="Times New Roman"/>
          <w:iCs/>
        </w:rPr>
        <w:t>Features axes</w:t>
      </w:r>
      <w:r w:rsidR="00515C91" w:rsidRPr="004711F7">
        <w:rPr>
          <w:rFonts w:ascii="Times New Roman" w:eastAsiaTheme="minorEastAsia" w:hAnsi="Times New Roman" w:cs="Times New Roman"/>
          <w:iCs/>
        </w:rPr>
        <w:t xml:space="preserve"> plot</w:t>
      </w:r>
      <w:r w:rsidR="00515C91">
        <w:rPr>
          <w:rFonts w:ascii="Times New Roman" w:eastAsiaTheme="minorEastAsia" w:hAnsi="Times New Roman" w:cs="Times New Roman"/>
          <w:iCs/>
        </w:rPr>
        <w:t>ted on the ordination plot</w:t>
      </w:r>
      <w:r w:rsidR="00515C91" w:rsidRPr="004711F7">
        <w:rPr>
          <w:rFonts w:ascii="Times New Roman" w:eastAsiaTheme="minorEastAsia" w:hAnsi="Times New Roman" w:cs="Times New Roman"/>
          <w:iCs/>
        </w:rPr>
        <w:t xml:space="preserve"> as well as the mean decrease GINI plots</w:t>
      </w:r>
      <w:r w:rsidR="00515C91">
        <w:rPr>
          <w:rFonts w:ascii="Times New Roman" w:eastAsiaTheme="minorEastAsia" w:hAnsi="Times New Roman" w:cs="Times New Roman"/>
          <w:iCs/>
        </w:rPr>
        <w:t xml:space="preserve"> </w:t>
      </w:r>
      <w:r w:rsidR="00A10638">
        <w:rPr>
          <w:rFonts w:ascii="Times New Roman" w:eastAsiaTheme="minorEastAsia" w:hAnsi="Times New Roman" w:cs="Times New Roman"/>
          <w:iCs/>
        </w:rPr>
        <w:t xml:space="preserve">indicate that both models </w:t>
      </w:r>
      <w:r w:rsidR="00515C91" w:rsidRPr="004711F7">
        <w:rPr>
          <w:rFonts w:ascii="Times New Roman" w:eastAsiaTheme="minorEastAsia" w:hAnsi="Times New Roman" w:cs="Times New Roman"/>
          <w:iCs/>
        </w:rPr>
        <w:t>consider nWBV and atrophy rate to be important features but the RF model weighs MMSE and MR Delay more heavily</w:t>
      </w:r>
      <w:r w:rsidR="00A10638">
        <w:rPr>
          <w:rFonts w:ascii="Times New Roman" w:eastAsiaTheme="minorEastAsia" w:hAnsi="Times New Roman" w:cs="Times New Roman"/>
          <w:iCs/>
        </w:rPr>
        <w:t xml:space="preserve"> than the LDA model (Fig 5A, Fig 6B)</w:t>
      </w:r>
      <w:r w:rsidR="00515C91" w:rsidRPr="004711F7">
        <w:rPr>
          <w:rFonts w:ascii="Times New Roman" w:eastAsiaTheme="minorEastAsia" w:hAnsi="Times New Roman" w:cs="Times New Roman"/>
          <w:iCs/>
        </w:rPr>
        <w:t>.</w:t>
      </w:r>
    </w:p>
    <w:p w14:paraId="2AF3D354" w14:textId="2B10C59E" w:rsidR="001A4A9C" w:rsidRPr="004711F7" w:rsidRDefault="00C20E4D" w:rsidP="00937A1A">
      <w:pPr>
        <w:pStyle w:val="BodyText"/>
        <w:spacing w:line="480" w:lineRule="auto"/>
        <w:rPr>
          <w:rFonts w:ascii="Times New Roman" w:eastAsiaTheme="minorEastAsia" w:hAnsi="Times New Roman" w:cs="Times New Roman"/>
          <w:iCs/>
        </w:rPr>
      </w:pPr>
      <w:r w:rsidRPr="004711F7">
        <w:rPr>
          <w:rFonts w:ascii="Times New Roman" w:eastAsiaTheme="minorEastAsia" w:hAnsi="Times New Roman" w:cs="Times New Roman"/>
          <w:iCs/>
        </w:rPr>
        <w:tab/>
        <w:t xml:space="preserve">Because </w:t>
      </w:r>
      <w:r w:rsidR="00825BE7" w:rsidRPr="004711F7">
        <w:rPr>
          <w:rFonts w:ascii="Times New Roman" w:eastAsiaTheme="minorEastAsia" w:hAnsi="Times New Roman" w:cs="Times New Roman"/>
          <w:iCs/>
        </w:rPr>
        <w:t>both models were unbalanced and performed poorly</w:t>
      </w:r>
      <w:r w:rsidRPr="004711F7">
        <w:rPr>
          <w:rFonts w:ascii="Times New Roman" w:eastAsiaTheme="minorEastAsia" w:hAnsi="Times New Roman" w:cs="Times New Roman"/>
          <w:iCs/>
        </w:rPr>
        <w:t xml:space="preserve">, I thought to reframe the question. Rather than trying to classify </w:t>
      </w:r>
      <w:r w:rsidR="00BE6EB3" w:rsidRPr="004711F7">
        <w:rPr>
          <w:rFonts w:ascii="Times New Roman" w:eastAsiaTheme="minorEastAsia" w:hAnsi="Times New Roman" w:cs="Times New Roman"/>
          <w:iCs/>
        </w:rPr>
        <w:t>subtle</w:t>
      </w:r>
      <w:r w:rsidRPr="004711F7">
        <w:rPr>
          <w:rFonts w:ascii="Times New Roman" w:eastAsiaTheme="minorEastAsia" w:hAnsi="Times New Roman" w:cs="Times New Roman"/>
          <w:iCs/>
        </w:rPr>
        <w:t xml:space="preserve"> </w:t>
      </w:r>
      <w:r w:rsidR="00A10638">
        <w:rPr>
          <w:rFonts w:ascii="Times New Roman" w:eastAsiaTheme="minorEastAsia" w:hAnsi="Times New Roman" w:cs="Times New Roman"/>
          <w:iCs/>
        </w:rPr>
        <w:t>differences in the level of</w:t>
      </w:r>
      <w:r w:rsidRPr="004711F7">
        <w:rPr>
          <w:rFonts w:ascii="Times New Roman" w:eastAsiaTheme="minorEastAsia" w:hAnsi="Times New Roman" w:cs="Times New Roman"/>
          <w:iCs/>
        </w:rPr>
        <w:t xml:space="preserve"> dementia, it might still be informative to classify whether a participant had any dementia at all</w:t>
      </w:r>
      <w:r w:rsidR="004A3E04">
        <w:rPr>
          <w:rFonts w:ascii="Times New Roman" w:eastAsiaTheme="minorEastAsia" w:hAnsi="Times New Roman" w:cs="Times New Roman"/>
          <w:iCs/>
        </w:rPr>
        <w:t xml:space="preserve"> or no dementia</w:t>
      </w:r>
      <w:r w:rsidRPr="004711F7">
        <w:rPr>
          <w:rFonts w:ascii="Times New Roman" w:eastAsiaTheme="minorEastAsia" w:hAnsi="Times New Roman" w:cs="Times New Roman"/>
          <w:iCs/>
        </w:rPr>
        <w:t xml:space="preserve">. This means that at the end of the </w:t>
      </w:r>
      <w:r w:rsidRPr="004711F7">
        <w:rPr>
          <w:rFonts w:ascii="Times New Roman" w:eastAsiaTheme="minorEastAsia" w:hAnsi="Times New Roman" w:cs="Times New Roman"/>
          <w:iCs/>
        </w:rPr>
        <w:lastRenderedPageBreak/>
        <w:t xml:space="preserve">study, </w:t>
      </w:r>
      <w:r w:rsidR="004A3E04">
        <w:rPr>
          <w:rFonts w:ascii="Times New Roman" w:eastAsiaTheme="minorEastAsia" w:hAnsi="Times New Roman" w:cs="Times New Roman"/>
          <w:iCs/>
        </w:rPr>
        <w:t>“</w:t>
      </w:r>
      <w:r w:rsidR="005E02BC" w:rsidRPr="004711F7">
        <w:rPr>
          <w:rFonts w:ascii="Times New Roman" w:eastAsiaTheme="minorEastAsia" w:hAnsi="Times New Roman" w:cs="Times New Roman"/>
          <w:iCs/>
        </w:rPr>
        <w:t>converted</w:t>
      </w:r>
      <w:r w:rsidR="004A3E04">
        <w:rPr>
          <w:rFonts w:ascii="Times New Roman" w:eastAsiaTheme="minorEastAsia" w:hAnsi="Times New Roman" w:cs="Times New Roman"/>
          <w:iCs/>
        </w:rPr>
        <w:t>”</w:t>
      </w:r>
      <w:r w:rsidRPr="004711F7">
        <w:rPr>
          <w:rFonts w:ascii="Times New Roman" w:eastAsiaTheme="minorEastAsia" w:hAnsi="Times New Roman" w:cs="Times New Roman"/>
          <w:iCs/>
        </w:rPr>
        <w:t xml:space="preserve"> participants are considered as </w:t>
      </w:r>
      <w:r w:rsidR="004A3E04">
        <w:rPr>
          <w:rFonts w:ascii="Times New Roman" w:eastAsiaTheme="minorEastAsia" w:hAnsi="Times New Roman" w:cs="Times New Roman"/>
          <w:iCs/>
        </w:rPr>
        <w:t>“</w:t>
      </w:r>
      <w:r w:rsidR="005E02BC" w:rsidRPr="004711F7">
        <w:rPr>
          <w:rFonts w:ascii="Times New Roman" w:eastAsiaTheme="minorEastAsia" w:hAnsi="Times New Roman" w:cs="Times New Roman"/>
          <w:iCs/>
        </w:rPr>
        <w:t>d</w:t>
      </w:r>
      <w:r w:rsidRPr="004711F7">
        <w:rPr>
          <w:rFonts w:ascii="Times New Roman" w:eastAsiaTheme="minorEastAsia" w:hAnsi="Times New Roman" w:cs="Times New Roman"/>
          <w:iCs/>
        </w:rPr>
        <w:t>emented</w:t>
      </w:r>
      <w:r w:rsidR="004A3E04">
        <w:rPr>
          <w:rFonts w:ascii="Times New Roman" w:eastAsiaTheme="minorEastAsia" w:hAnsi="Times New Roman" w:cs="Times New Roman"/>
          <w:iCs/>
        </w:rPr>
        <w:t>”</w:t>
      </w:r>
      <w:r w:rsidR="00BE6EB3" w:rsidRPr="004711F7">
        <w:rPr>
          <w:rFonts w:ascii="Times New Roman" w:eastAsiaTheme="minorEastAsia" w:hAnsi="Times New Roman" w:cs="Times New Roman"/>
          <w:iCs/>
        </w:rPr>
        <w:t xml:space="preserve">. Specifically, all CDR </w:t>
      </w:r>
      <w:r w:rsidR="005E02BC" w:rsidRPr="004711F7">
        <w:rPr>
          <w:rFonts w:ascii="Times New Roman" w:eastAsiaTheme="minorEastAsia" w:hAnsi="Times New Roman" w:cs="Times New Roman"/>
          <w:iCs/>
        </w:rPr>
        <w:t xml:space="preserve">scores </w:t>
      </w:r>
      <w:r w:rsidR="00BE6EB3" w:rsidRPr="004711F7">
        <w:rPr>
          <w:rFonts w:ascii="Times New Roman" w:eastAsiaTheme="minorEastAsia" w:hAnsi="Times New Roman" w:cs="Times New Roman"/>
          <w:iCs/>
        </w:rPr>
        <w:t xml:space="preserve">equal to 0 were considered nondemented </w:t>
      </w:r>
      <w:r w:rsidR="0032227F">
        <w:rPr>
          <w:rFonts w:ascii="Times New Roman" w:eastAsiaTheme="minorEastAsia" w:hAnsi="Times New Roman" w:cs="Times New Roman"/>
          <w:iCs/>
        </w:rPr>
        <w:t xml:space="preserve">(Class 2) </w:t>
      </w:r>
      <w:r w:rsidR="00BE6EB3" w:rsidRPr="004711F7">
        <w:rPr>
          <w:rFonts w:ascii="Times New Roman" w:eastAsiaTheme="minorEastAsia" w:hAnsi="Times New Roman" w:cs="Times New Roman"/>
          <w:iCs/>
        </w:rPr>
        <w:t xml:space="preserve">and any </w:t>
      </w:r>
      <w:r w:rsidR="00825BE7" w:rsidRPr="004711F7">
        <w:rPr>
          <w:rFonts w:ascii="Times New Roman" w:eastAsiaTheme="minorEastAsia" w:hAnsi="Times New Roman" w:cs="Times New Roman"/>
          <w:iCs/>
        </w:rPr>
        <w:t>non-zero</w:t>
      </w:r>
      <w:r w:rsidR="00BE6EB3" w:rsidRPr="004711F7">
        <w:rPr>
          <w:rFonts w:ascii="Times New Roman" w:eastAsiaTheme="minorEastAsia" w:hAnsi="Times New Roman" w:cs="Times New Roman"/>
          <w:iCs/>
        </w:rPr>
        <w:t xml:space="preserve"> CDR was set equal to 1 and considered </w:t>
      </w:r>
      <w:r w:rsidR="005E02BC" w:rsidRPr="004711F7">
        <w:rPr>
          <w:rFonts w:ascii="Times New Roman" w:eastAsiaTheme="minorEastAsia" w:hAnsi="Times New Roman" w:cs="Times New Roman"/>
          <w:iCs/>
        </w:rPr>
        <w:t>d</w:t>
      </w:r>
      <w:r w:rsidR="00BE6EB3" w:rsidRPr="004711F7">
        <w:rPr>
          <w:rFonts w:ascii="Times New Roman" w:eastAsiaTheme="minorEastAsia" w:hAnsi="Times New Roman" w:cs="Times New Roman"/>
          <w:iCs/>
        </w:rPr>
        <w:t>emented</w:t>
      </w:r>
      <w:r w:rsidR="0032227F">
        <w:rPr>
          <w:rFonts w:ascii="Times New Roman" w:eastAsiaTheme="minorEastAsia" w:hAnsi="Times New Roman" w:cs="Times New Roman"/>
          <w:iCs/>
        </w:rPr>
        <w:t xml:space="preserve"> (Class 1) where demented was treated as the positive class</w:t>
      </w:r>
      <w:r w:rsidR="00BE6EB3" w:rsidRPr="004711F7">
        <w:rPr>
          <w:rFonts w:ascii="Times New Roman" w:eastAsiaTheme="minorEastAsia" w:hAnsi="Times New Roman" w:cs="Times New Roman"/>
          <w:iCs/>
        </w:rPr>
        <w:t xml:space="preserve">. This also made the groups more balanced with 72 nondemented and 78 demented.  </w:t>
      </w:r>
      <w:r w:rsidR="005E02BC" w:rsidRPr="004711F7">
        <w:rPr>
          <w:rFonts w:ascii="Times New Roman" w:eastAsiaTheme="minorEastAsia" w:hAnsi="Times New Roman" w:cs="Times New Roman"/>
          <w:iCs/>
        </w:rPr>
        <w:t xml:space="preserve">From </w:t>
      </w:r>
      <w:r w:rsidR="00681BAD">
        <w:rPr>
          <w:rFonts w:ascii="Times New Roman" w:eastAsiaTheme="minorEastAsia" w:hAnsi="Times New Roman" w:cs="Times New Roman"/>
          <w:iCs/>
        </w:rPr>
        <w:t>Fig</w:t>
      </w:r>
      <w:r w:rsidR="005E02BC" w:rsidRPr="004711F7">
        <w:rPr>
          <w:rFonts w:ascii="Times New Roman" w:eastAsiaTheme="minorEastAsia" w:hAnsi="Times New Roman" w:cs="Times New Roman"/>
          <w:iCs/>
        </w:rPr>
        <w:t xml:space="preserve"> </w:t>
      </w:r>
      <w:r w:rsidR="00681BAD">
        <w:rPr>
          <w:rFonts w:ascii="Times New Roman" w:eastAsiaTheme="minorEastAsia" w:hAnsi="Times New Roman" w:cs="Times New Roman"/>
          <w:iCs/>
        </w:rPr>
        <w:t>7A</w:t>
      </w:r>
      <w:r w:rsidR="005E02BC" w:rsidRPr="004711F7">
        <w:rPr>
          <w:rFonts w:ascii="Times New Roman" w:eastAsiaTheme="minorEastAsia" w:hAnsi="Times New Roman" w:cs="Times New Roman"/>
          <w:iCs/>
        </w:rPr>
        <w:t>, despite there still being some overlap</w:t>
      </w:r>
      <w:r w:rsidR="00825BE7" w:rsidRPr="004711F7">
        <w:rPr>
          <w:rFonts w:ascii="Times New Roman" w:eastAsiaTheme="minorEastAsia" w:hAnsi="Times New Roman" w:cs="Times New Roman"/>
          <w:iCs/>
        </w:rPr>
        <w:t xml:space="preserve">, </w:t>
      </w:r>
      <w:r w:rsidR="005E02BC" w:rsidRPr="004711F7">
        <w:rPr>
          <w:rFonts w:ascii="Times New Roman" w:eastAsiaTheme="minorEastAsia" w:hAnsi="Times New Roman" w:cs="Times New Roman"/>
          <w:iCs/>
        </w:rPr>
        <w:t>the density plot</w:t>
      </w:r>
      <w:r w:rsidR="00681BAD">
        <w:rPr>
          <w:rFonts w:ascii="Times New Roman" w:eastAsiaTheme="minorEastAsia" w:hAnsi="Times New Roman" w:cs="Times New Roman"/>
          <w:iCs/>
        </w:rPr>
        <w:t xml:space="preserve"> across</w:t>
      </w:r>
      <w:r w:rsidR="005E02BC" w:rsidRPr="004711F7">
        <w:rPr>
          <w:rFonts w:ascii="Times New Roman" w:eastAsiaTheme="minorEastAsia" w:hAnsi="Times New Roman" w:cs="Times New Roman"/>
          <w:iCs/>
        </w:rPr>
        <w:t xml:space="preserve"> the first (and only) LD component </w:t>
      </w:r>
      <w:r w:rsidR="005261E1">
        <w:rPr>
          <w:rFonts w:ascii="Times New Roman" w:eastAsiaTheme="minorEastAsia" w:hAnsi="Times New Roman" w:cs="Times New Roman"/>
          <w:iCs/>
        </w:rPr>
        <w:t xml:space="preserve">from the binary LDA model </w:t>
      </w:r>
      <w:r w:rsidR="005E02BC" w:rsidRPr="004711F7">
        <w:rPr>
          <w:rFonts w:ascii="Times New Roman" w:eastAsiaTheme="minorEastAsia" w:hAnsi="Times New Roman" w:cs="Times New Roman"/>
          <w:iCs/>
        </w:rPr>
        <w:t xml:space="preserve">shows </w:t>
      </w:r>
      <w:r w:rsidR="00683AC0" w:rsidRPr="004711F7">
        <w:rPr>
          <w:rFonts w:ascii="Times New Roman" w:eastAsiaTheme="minorEastAsia" w:hAnsi="Times New Roman" w:cs="Times New Roman"/>
          <w:iCs/>
        </w:rPr>
        <w:t>improved</w:t>
      </w:r>
      <w:r w:rsidR="005E02BC" w:rsidRPr="004711F7">
        <w:rPr>
          <w:rFonts w:ascii="Times New Roman" w:eastAsiaTheme="minorEastAsia" w:hAnsi="Times New Roman" w:cs="Times New Roman"/>
          <w:iCs/>
        </w:rPr>
        <w:t xml:space="preserve"> separability</w:t>
      </w:r>
      <w:r w:rsidR="00683AC0" w:rsidRPr="004711F7">
        <w:rPr>
          <w:rFonts w:ascii="Times New Roman" w:eastAsiaTheme="minorEastAsia" w:hAnsi="Times New Roman" w:cs="Times New Roman"/>
          <w:iCs/>
        </w:rPr>
        <w:t xml:space="preserve"> between classes</w:t>
      </w:r>
      <w:r w:rsidR="005E02BC" w:rsidRPr="004711F7">
        <w:rPr>
          <w:rFonts w:ascii="Times New Roman" w:eastAsiaTheme="minorEastAsia" w:hAnsi="Times New Roman" w:cs="Times New Roman"/>
          <w:iCs/>
        </w:rPr>
        <w:t xml:space="preserve"> than the ordination plot fro</w:t>
      </w:r>
      <w:r w:rsidR="005261E1">
        <w:rPr>
          <w:rFonts w:ascii="Times New Roman" w:eastAsiaTheme="minorEastAsia" w:hAnsi="Times New Roman" w:cs="Times New Roman"/>
          <w:iCs/>
        </w:rPr>
        <w:t>m the multiclass LDA model (Fig 5A)</w:t>
      </w:r>
      <w:r w:rsidR="005E02BC" w:rsidRPr="004711F7">
        <w:rPr>
          <w:rFonts w:ascii="Times New Roman" w:eastAsiaTheme="minorEastAsia" w:hAnsi="Times New Roman" w:cs="Times New Roman"/>
          <w:iCs/>
        </w:rPr>
        <w:t xml:space="preserve">. </w:t>
      </w:r>
      <w:r w:rsidR="00683AC0" w:rsidRPr="004711F7">
        <w:rPr>
          <w:rFonts w:ascii="Times New Roman" w:eastAsiaTheme="minorEastAsia" w:hAnsi="Times New Roman" w:cs="Times New Roman"/>
          <w:iCs/>
        </w:rPr>
        <w:t>From the confusion matrices fo</w:t>
      </w:r>
      <w:r w:rsidR="005261E1">
        <w:rPr>
          <w:rFonts w:ascii="Times New Roman" w:eastAsiaTheme="minorEastAsia" w:hAnsi="Times New Roman" w:cs="Times New Roman"/>
          <w:iCs/>
        </w:rPr>
        <w:t>r the binary LDA model</w:t>
      </w:r>
      <w:r w:rsidR="00683AC0" w:rsidRPr="004711F7">
        <w:rPr>
          <w:rFonts w:ascii="Times New Roman" w:eastAsiaTheme="minorEastAsia" w:hAnsi="Times New Roman" w:cs="Times New Roman"/>
          <w:iCs/>
        </w:rPr>
        <w:t xml:space="preserve">, if we consider </w:t>
      </w:r>
      <w:r w:rsidR="007D12DE">
        <w:rPr>
          <w:rFonts w:ascii="Times New Roman" w:eastAsiaTheme="minorEastAsia" w:hAnsi="Times New Roman" w:cs="Times New Roman"/>
          <w:iCs/>
        </w:rPr>
        <w:t>demented</w:t>
      </w:r>
      <w:r w:rsidR="00683AC0" w:rsidRPr="004711F7">
        <w:rPr>
          <w:rFonts w:ascii="Times New Roman" w:eastAsiaTheme="minorEastAsia" w:hAnsi="Times New Roman" w:cs="Times New Roman"/>
          <w:iCs/>
        </w:rPr>
        <w:t xml:space="preserve"> as the positive class, sensitivity for training and testing was </w:t>
      </w:r>
      <w:r w:rsidR="00E7172C">
        <w:rPr>
          <w:rFonts w:ascii="Times New Roman" w:eastAsiaTheme="minorEastAsia" w:hAnsi="Times New Roman" w:cs="Times New Roman"/>
          <w:iCs/>
        </w:rPr>
        <w:t>60.00</w:t>
      </w:r>
      <w:r w:rsidR="00683AC0" w:rsidRPr="004711F7">
        <w:rPr>
          <w:rFonts w:ascii="Times New Roman" w:eastAsiaTheme="minorEastAsia" w:hAnsi="Times New Roman" w:cs="Times New Roman"/>
          <w:iCs/>
        </w:rPr>
        <w:t xml:space="preserve">% and </w:t>
      </w:r>
      <w:r w:rsidR="00E7172C">
        <w:rPr>
          <w:rFonts w:ascii="Times New Roman" w:eastAsiaTheme="minorEastAsia" w:hAnsi="Times New Roman" w:cs="Times New Roman"/>
          <w:iCs/>
        </w:rPr>
        <w:t>74</w:t>
      </w:r>
      <w:r w:rsidR="00683AC0" w:rsidRPr="004711F7">
        <w:rPr>
          <w:rFonts w:ascii="Times New Roman" w:eastAsiaTheme="minorEastAsia" w:hAnsi="Times New Roman" w:cs="Times New Roman"/>
          <w:iCs/>
        </w:rPr>
        <w:t>.0</w:t>
      </w:r>
      <w:r w:rsidR="00E7172C">
        <w:rPr>
          <w:rFonts w:ascii="Times New Roman" w:eastAsiaTheme="minorEastAsia" w:hAnsi="Times New Roman" w:cs="Times New Roman"/>
          <w:iCs/>
        </w:rPr>
        <w:t>7</w:t>
      </w:r>
      <w:r w:rsidR="00683AC0" w:rsidRPr="004711F7">
        <w:rPr>
          <w:rFonts w:ascii="Times New Roman" w:eastAsiaTheme="minorEastAsia" w:hAnsi="Times New Roman" w:cs="Times New Roman"/>
          <w:iCs/>
        </w:rPr>
        <w:t>% respectively</w:t>
      </w:r>
      <w:r w:rsidR="005261E1">
        <w:rPr>
          <w:rFonts w:ascii="Times New Roman" w:eastAsiaTheme="minorEastAsia" w:hAnsi="Times New Roman" w:cs="Times New Roman"/>
          <w:iCs/>
        </w:rPr>
        <w:t xml:space="preserve"> (Fig </w:t>
      </w:r>
      <w:r w:rsidR="005406D6">
        <w:rPr>
          <w:rFonts w:ascii="Times New Roman" w:eastAsiaTheme="minorEastAsia" w:hAnsi="Times New Roman" w:cs="Times New Roman"/>
          <w:iCs/>
        </w:rPr>
        <w:t>7C)</w:t>
      </w:r>
      <w:r w:rsidR="00683AC0" w:rsidRPr="004711F7">
        <w:rPr>
          <w:rFonts w:ascii="Times New Roman" w:eastAsiaTheme="minorEastAsia" w:hAnsi="Times New Roman" w:cs="Times New Roman"/>
          <w:iCs/>
        </w:rPr>
        <w:t>. The random forest also improved</w:t>
      </w:r>
      <w:r w:rsidR="00825BE7" w:rsidRPr="004711F7">
        <w:rPr>
          <w:rFonts w:ascii="Times New Roman" w:eastAsiaTheme="minorEastAsia" w:hAnsi="Times New Roman" w:cs="Times New Roman"/>
          <w:iCs/>
        </w:rPr>
        <w:t xml:space="preserve">; it had </w:t>
      </w:r>
      <w:r w:rsidR="00683AC0" w:rsidRPr="004711F7">
        <w:rPr>
          <w:rFonts w:ascii="Times New Roman" w:eastAsiaTheme="minorEastAsia" w:hAnsi="Times New Roman" w:cs="Times New Roman"/>
          <w:iCs/>
        </w:rPr>
        <w:t xml:space="preserve">an estimated </w:t>
      </w:r>
      <w:r w:rsidR="005406D6">
        <w:rPr>
          <w:rFonts w:ascii="Times New Roman" w:eastAsiaTheme="minorEastAsia" w:hAnsi="Times New Roman" w:cs="Times New Roman"/>
          <w:iCs/>
        </w:rPr>
        <w:t>out of bag</w:t>
      </w:r>
      <w:r w:rsidR="00683AC0" w:rsidRPr="004711F7">
        <w:rPr>
          <w:rFonts w:ascii="Times New Roman" w:eastAsiaTheme="minorEastAsia" w:hAnsi="Times New Roman" w:cs="Times New Roman"/>
          <w:iCs/>
        </w:rPr>
        <w:t xml:space="preserve"> </w:t>
      </w:r>
      <w:r w:rsidR="00825BE7" w:rsidRPr="004711F7">
        <w:rPr>
          <w:rFonts w:ascii="Times New Roman" w:eastAsiaTheme="minorEastAsia" w:hAnsi="Times New Roman" w:cs="Times New Roman"/>
          <w:iCs/>
        </w:rPr>
        <w:t xml:space="preserve">error rate </w:t>
      </w:r>
      <w:r w:rsidR="00683AC0" w:rsidRPr="004711F7">
        <w:rPr>
          <w:rFonts w:ascii="Times New Roman" w:eastAsiaTheme="minorEastAsia" w:hAnsi="Times New Roman" w:cs="Times New Roman"/>
          <w:iCs/>
        </w:rPr>
        <w:t xml:space="preserve">of </w:t>
      </w:r>
      <w:r w:rsidR="00DE594F">
        <w:rPr>
          <w:rFonts w:ascii="Times New Roman" w:eastAsiaTheme="minorEastAsia" w:hAnsi="Times New Roman" w:cs="Times New Roman"/>
          <w:iCs/>
        </w:rPr>
        <w:t>26.67</w:t>
      </w:r>
      <w:r w:rsidR="00683AC0" w:rsidRPr="004711F7">
        <w:rPr>
          <w:rFonts w:ascii="Times New Roman" w:eastAsiaTheme="minorEastAsia" w:hAnsi="Times New Roman" w:cs="Times New Roman"/>
          <w:iCs/>
        </w:rPr>
        <w:t xml:space="preserve">% with a training and testing sensitivity of </w:t>
      </w:r>
      <w:r w:rsidR="009E1DD7">
        <w:rPr>
          <w:rFonts w:ascii="Times New Roman" w:eastAsiaTheme="minorEastAsia" w:hAnsi="Times New Roman" w:cs="Times New Roman"/>
          <w:iCs/>
        </w:rPr>
        <w:t>60</w:t>
      </w:r>
      <w:r w:rsidR="00683AC0" w:rsidRPr="004711F7">
        <w:rPr>
          <w:rFonts w:ascii="Times New Roman" w:eastAsiaTheme="minorEastAsia" w:hAnsi="Times New Roman" w:cs="Times New Roman"/>
          <w:iCs/>
        </w:rPr>
        <w:t xml:space="preserve">.0% and </w:t>
      </w:r>
      <w:r w:rsidR="00362C43">
        <w:rPr>
          <w:rFonts w:ascii="Times New Roman" w:eastAsiaTheme="minorEastAsia" w:hAnsi="Times New Roman" w:cs="Times New Roman"/>
          <w:iCs/>
        </w:rPr>
        <w:t>81.41</w:t>
      </w:r>
      <w:r w:rsidR="00683AC0" w:rsidRPr="004711F7">
        <w:rPr>
          <w:rFonts w:ascii="Times New Roman" w:eastAsiaTheme="minorEastAsia" w:hAnsi="Times New Roman" w:cs="Times New Roman"/>
          <w:iCs/>
        </w:rPr>
        <w:t xml:space="preserve">% </w:t>
      </w:r>
      <w:r w:rsidR="00362C43">
        <w:rPr>
          <w:rFonts w:ascii="Times New Roman" w:eastAsiaTheme="minorEastAsia" w:hAnsi="Times New Roman" w:cs="Times New Roman"/>
          <w:iCs/>
        </w:rPr>
        <w:t xml:space="preserve">respectively </w:t>
      </w:r>
      <w:r w:rsidR="00683AC0" w:rsidRPr="004711F7">
        <w:rPr>
          <w:rFonts w:ascii="Times New Roman" w:eastAsiaTheme="minorEastAsia" w:hAnsi="Times New Roman" w:cs="Times New Roman"/>
          <w:iCs/>
        </w:rPr>
        <w:t>(</w:t>
      </w:r>
      <w:r w:rsidR="005406D6">
        <w:rPr>
          <w:rFonts w:ascii="Times New Roman" w:eastAsiaTheme="minorEastAsia" w:hAnsi="Times New Roman" w:cs="Times New Roman"/>
          <w:iCs/>
        </w:rPr>
        <w:t>Fig 7 B,D</w:t>
      </w:r>
      <w:r w:rsidR="00683AC0" w:rsidRPr="004711F7">
        <w:rPr>
          <w:rFonts w:ascii="Times New Roman" w:eastAsiaTheme="minorEastAsia" w:hAnsi="Times New Roman" w:cs="Times New Roman"/>
          <w:iCs/>
        </w:rPr>
        <w:t xml:space="preserve">). Overall, the </w:t>
      </w:r>
      <w:r w:rsidR="00362C43">
        <w:rPr>
          <w:rFonts w:ascii="Times New Roman" w:eastAsiaTheme="minorEastAsia" w:hAnsi="Times New Roman" w:cs="Times New Roman"/>
          <w:iCs/>
        </w:rPr>
        <w:t>RF</w:t>
      </w:r>
      <w:r w:rsidR="00683AC0" w:rsidRPr="004711F7">
        <w:rPr>
          <w:rFonts w:ascii="Times New Roman" w:eastAsiaTheme="minorEastAsia" w:hAnsi="Times New Roman" w:cs="Times New Roman"/>
          <w:iCs/>
        </w:rPr>
        <w:t xml:space="preserve"> model had </w:t>
      </w:r>
      <w:r w:rsidR="00362C43">
        <w:rPr>
          <w:rFonts w:ascii="Times New Roman" w:eastAsiaTheme="minorEastAsia" w:hAnsi="Times New Roman" w:cs="Times New Roman"/>
          <w:iCs/>
        </w:rPr>
        <w:t>slightly</w:t>
      </w:r>
      <w:r w:rsidR="00683AC0" w:rsidRPr="004711F7">
        <w:rPr>
          <w:rFonts w:ascii="Times New Roman" w:eastAsiaTheme="minorEastAsia" w:hAnsi="Times New Roman" w:cs="Times New Roman"/>
          <w:iCs/>
        </w:rPr>
        <w:t xml:space="preserve"> better sensitivity</w:t>
      </w:r>
      <w:r w:rsidR="00E2202A">
        <w:rPr>
          <w:rFonts w:ascii="Times New Roman" w:eastAsiaTheme="minorEastAsia" w:hAnsi="Times New Roman" w:cs="Times New Roman"/>
          <w:iCs/>
        </w:rPr>
        <w:t xml:space="preserve"> (or recall)</w:t>
      </w:r>
      <w:r w:rsidR="00683AC0" w:rsidRPr="004711F7">
        <w:rPr>
          <w:rFonts w:ascii="Times New Roman" w:eastAsiaTheme="minorEastAsia" w:hAnsi="Times New Roman" w:cs="Times New Roman"/>
          <w:iCs/>
        </w:rPr>
        <w:t xml:space="preserve"> </w:t>
      </w:r>
      <w:r w:rsidR="00362C43">
        <w:rPr>
          <w:rFonts w:ascii="Times New Roman" w:eastAsiaTheme="minorEastAsia" w:hAnsi="Times New Roman" w:cs="Times New Roman"/>
          <w:iCs/>
        </w:rPr>
        <w:t>across</w:t>
      </w:r>
      <w:r w:rsidR="00825BE7" w:rsidRPr="004711F7">
        <w:rPr>
          <w:rFonts w:ascii="Times New Roman" w:eastAsiaTheme="minorEastAsia" w:hAnsi="Times New Roman" w:cs="Times New Roman"/>
          <w:iCs/>
        </w:rPr>
        <w:t xml:space="preserve"> testing</w:t>
      </w:r>
      <w:r w:rsidR="00683AC0" w:rsidRPr="004711F7">
        <w:rPr>
          <w:rFonts w:ascii="Times New Roman" w:eastAsiaTheme="minorEastAsia" w:hAnsi="Times New Roman" w:cs="Times New Roman"/>
          <w:iCs/>
        </w:rPr>
        <w:t xml:space="preserve"> </w:t>
      </w:r>
      <w:r w:rsidR="00E2202A">
        <w:rPr>
          <w:rFonts w:ascii="Times New Roman" w:eastAsiaTheme="minorEastAsia" w:hAnsi="Times New Roman" w:cs="Times New Roman"/>
          <w:iCs/>
        </w:rPr>
        <w:t>and</w:t>
      </w:r>
      <w:r w:rsidR="006425CA">
        <w:rPr>
          <w:rFonts w:ascii="Times New Roman" w:eastAsiaTheme="minorEastAsia" w:hAnsi="Times New Roman" w:cs="Times New Roman"/>
          <w:iCs/>
        </w:rPr>
        <w:t xml:space="preserve"> the LDA model had both high speci</w:t>
      </w:r>
      <w:r w:rsidR="00726DC8">
        <w:rPr>
          <w:rFonts w:ascii="Times New Roman" w:eastAsiaTheme="minorEastAsia" w:hAnsi="Times New Roman" w:cs="Times New Roman"/>
          <w:iCs/>
        </w:rPr>
        <w:t xml:space="preserve">ficity and high precision </w:t>
      </w:r>
      <w:r w:rsidR="00CB21C7">
        <w:rPr>
          <w:rFonts w:ascii="Times New Roman" w:eastAsiaTheme="minorEastAsia" w:hAnsi="Times New Roman" w:cs="Times New Roman"/>
          <w:iCs/>
        </w:rPr>
        <w:t>(</w:t>
      </w:r>
      <w:r w:rsidR="00A94439">
        <w:rPr>
          <w:rFonts w:ascii="Times New Roman" w:eastAsiaTheme="minorEastAsia" w:hAnsi="Times New Roman" w:cs="Times New Roman"/>
          <w:iCs/>
        </w:rPr>
        <w:t xml:space="preserve">30/33 = </w:t>
      </w:r>
      <w:r w:rsidR="00C60486">
        <w:rPr>
          <w:rFonts w:ascii="Times New Roman" w:eastAsiaTheme="minorEastAsia" w:hAnsi="Times New Roman" w:cs="Times New Roman"/>
          <w:iCs/>
        </w:rPr>
        <w:t>9</w:t>
      </w:r>
      <w:r w:rsidR="002242E7">
        <w:rPr>
          <w:rFonts w:ascii="Times New Roman" w:eastAsiaTheme="minorEastAsia" w:hAnsi="Times New Roman" w:cs="Times New Roman"/>
          <w:iCs/>
        </w:rPr>
        <w:t xml:space="preserve">0.90% for training, </w:t>
      </w:r>
      <w:r w:rsidR="00A94439">
        <w:rPr>
          <w:rFonts w:ascii="Times New Roman" w:eastAsiaTheme="minorEastAsia" w:hAnsi="Times New Roman" w:cs="Times New Roman"/>
          <w:iCs/>
        </w:rPr>
        <w:t xml:space="preserve">20/20 = </w:t>
      </w:r>
      <w:r w:rsidR="002242E7">
        <w:rPr>
          <w:rFonts w:ascii="Times New Roman" w:eastAsiaTheme="minorEastAsia" w:hAnsi="Times New Roman" w:cs="Times New Roman"/>
          <w:iCs/>
        </w:rPr>
        <w:t>100% for testing</w:t>
      </w:r>
      <w:r w:rsidR="00A94439">
        <w:rPr>
          <w:rFonts w:ascii="Times New Roman" w:eastAsiaTheme="minorEastAsia" w:hAnsi="Times New Roman" w:cs="Times New Roman"/>
          <w:iCs/>
        </w:rPr>
        <w:t xml:space="preserve"> Fig 7C</w:t>
      </w:r>
      <w:r w:rsidR="002242E7">
        <w:rPr>
          <w:rFonts w:ascii="Times New Roman" w:eastAsiaTheme="minorEastAsia" w:hAnsi="Times New Roman" w:cs="Times New Roman"/>
          <w:iCs/>
        </w:rPr>
        <w:t>)</w:t>
      </w:r>
      <w:r w:rsidR="000D6899">
        <w:rPr>
          <w:rFonts w:ascii="Times New Roman" w:eastAsiaTheme="minorEastAsia" w:hAnsi="Times New Roman" w:cs="Times New Roman"/>
          <w:iCs/>
        </w:rPr>
        <w:t>. In cases such diagnostics it is often better to prioritize recall</w:t>
      </w:r>
      <w:r w:rsidR="00884064">
        <w:rPr>
          <w:rFonts w:ascii="Times New Roman" w:eastAsiaTheme="minorEastAsia" w:hAnsi="Times New Roman" w:cs="Times New Roman"/>
          <w:iCs/>
        </w:rPr>
        <w:t xml:space="preserve"> or sensitivity because it </w:t>
      </w:r>
      <w:r w:rsidR="00464148">
        <w:rPr>
          <w:rFonts w:ascii="Times New Roman" w:eastAsiaTheme="minorEastAsia" w:hAnsi="Times New Roman" w:cs="Times New Roman"/>
          <w:iCs/>
        </w:rPr>
        <w:t>can be</w:t>
      </w:r>
      <w:r w:rsidR="00884064">
        <w:rPr>
          <w:rFonts w:ascii="Times New Roman" w:eastAsiaTheme="minorEastAsia" w:hAnsi="Times New Roman" w:cs="Times New Roman"/>
          <w:iCs/>
        </w:rPr>
        <w:t xml:space="preserve"> better to be </w:t>
      </w:r>
      <w:r w:rsidR="00464148">
        <w:rPr>
          <w:rFonts w:ascii="Times New Roman" w:eastAsiaTheme="minorEastAsia" w:hAnsi="Times New Roman" w:cs="Times New Roman"/>
          <w:iCs/>
        </w:rPr>
        <w:t>a bit</w:t>
      </w:r>
      <w:r w:rsidR="00884064">
        <w:rPr>
          <w:rFonts w:ascii="Times New Roman" w:eastAsiaTheme="minorEastAsia" w:hAnsi="Times New Roman" w:cs="Times New Roman"/>
          <w:iCs/>
        </w:rPr>
        <w:t xml:space="preserve"> </w:t>
      </w:r>
      <w:r w:rsidR="004A4223">
        <w:rPr>
          <w:rFonts w:ascii="Times New Roman" w:eastAsiaTheme="minorEastAsia" w:hAnsi="Times New Roman" w:cs="Times New Roman"/>
          <w:iCs/>
        </w:rPr>
        <w:t xml:space="preserve">overly cautious and have more false positives than to incorrectly </w:t>
      </w:r>
      <w:r w:rsidR="0035377A">
        <w:rPr>
          <w:rFonts w:ascii="Times New Roman" w:eastAsiaTheme="minorEastAsia" w:hAnsi="Times New Roman" w:cs="Times New Roman"/>
          <w:iCs/>
        </w:rPr>
        <w:t xml:space="preserve">categorize a diseased patient as not having the disease. </w:t>
      </w:r>
      <w:r w:rsidR="00825BE7" w:rsidRPr="004711F7">
        <w:rPr>
          <w:rFonts w:ascii="Times New Roman" w:eastAsiaTheme="minorEastAsia" w:hAnsi="Times New Roman" w:cs="Times New Roman"/>
          <w:iCs/>
        </w:rPr>
        <w:t xml:space="preserve">This means </w:t>
      </w:r>
      <w:r w:rsidR="00664316">
        <w:rPr>
          <w:rFonts w:ascii="Times New Roman" w:eastAsiaTheme="minorEastAsia" w:hAnsi="Times New Roman" w:cs="Times New Roman"/>
          <w:iCs/>
        </w:rPr>
        <w:t xml:space="preserve">if we were to strictly prefer higher sensitivity, we would prefer the RF model. </w:t>
      </w:r>
      <w:r w:rsidR="000318C6">
        <w:rPr>
          <w:rFonts w:ascii="Times New Roman" w:eastAsiaTheme="minorEastAsia" w:hAnsi="Times New Roman" w:cs="Times New Roman"/>
          <w:iCs/>
        </w:rPr>
        <w:t>One</w:t>
      </w:r>
      <w:r w:rsidR="00464148">
        <w:rPr>
          <w:rFonts w:ascii="Times New Roman" w:eastAsiaTheme="minorEastAsia" w:hAnsi="Times New Roman" w:cs="Times New Roman"/>
          <w:iCs/>
        </w:rPr>
        <w:t xml:space="preserve"> other</w:t>
      </w:r>
      <w:r w:rsidR="000318C6">
        <w:rPr>
          <w:rFonts w:ascii="Times New Roman" w:eastAsiaTheme="minorEastAsia" w:hAnsi="Times New Roman" w:cs="Times New Roman"/>
          <w:iCs/>
        </w:rPr>
        <w:t xml:space="preserve"> approach to</w:t>
      </w:r>
      <w:r w:rsidR="00560FA7">
        <w:rPr>
          <w:rFonts w:ascii="Times New Roman" w:eastAsiaTheme="minorEastAsia" w:hAnsi="Times New Roman" w:cs="Times New Roman"/>
          <w:iCs/>
        </w:rPr>
        <w:t xml:space="preserve"> take into account both precision and recall however, is to calculate the F1 which is given by </w:t>
      </w:r>
      <m:oMath>
        <m:f>
          <m:fPr>
            <m:ctrlPr>
              <w:rPr>
                <w:rFonts w:ascii="Cambria Math" w:eastAsiaTheme="minorEastAsia" w:hAnsi="Cambria Math" w:cs="Times New Roman"/>
                <w:i/>
                <w:iCs/>
              </w:rPr>
            </m:ctrlPr>
          </m:fPr>
          <m:num>
            <m:r>
              <w:rPr>
                <w:rFonts w:ascii="Cambria Math" w:eastAsiaTheme="minorEastAsia" w:hAnsi="Cambria Math" w:cs="Times New Roman"/>
              </w:rPr>
              <m:t>2</m:t>
            </m:r>
          </m:num>
          <m:den>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Precision</m:t>
                </m:r>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Recall</m:t>
                </m:r>
              </m:den>
            </m:f>
          </m:den>
        </m:f>
        <m:r>
          <w:rPr>
            <w:rFonts w:ascii="Cambria Math" w:eastAsiaTheme="minorEastAsia" w:hAnsi="Cambria Math" w:cs="Times New Roman"/>
          </w:rPr>
          <m:t>=</m:t>
        </m:r>
        <m:f>
          <m:fPr>
            <m:ctrlPr>
              <w:rPr>
                <w:rFonts w:ascii="Cambria Math" w:eastAsiaTheme="minorEastAsia" w:hAnsi="Cambria Math" w:cs="Times New Roman"/>
                <w:i/>
                <w:iCs/>
              </w:rPr>
            </m:ctrlPr>
          </m:fPr>
          <m:num>
            <m:r>
              <w:rPr>
                <w:rFonts w:ascii="Cambria Math" w:eastAsiaTheme="minorEastAsia" w:hAnsi="Cambria Math" w:cs="Times New Roman"/>
              </w:rPr>
              <m:t>2(Precision)(Recall)</m:t>
            </m:r>
          </m:num>
          <m:den>
            <m:r>
              <w:rPr>
                <w:rFonts w:ascii="Cambria Math" w:eastAsiaTheme="minorEastAsia" w:hAnsi="Cambria Math" w:cs="Times New Roman"/>
              </w:rPr>
              <m:t>Precision+Recall</m:t>
            </m:r>
          </m:den>
        </m:f>
      </m:oMath>
      <w:r w:rsidR="00503647">
        <w:rPr>
          <w:rFonts w:ascii="Times New Roman" w:eastAsiaTheme="minorEastAsia" w:hAnsi="Times New Roman" w:cs="Times New Roman"/>
          <w:iCs/>
        </w:rPr>
        <w:t xml:space="preserve">. On the testing set the </w:t>
      </w:r>
      <w:r w:rsidR="00320658">
        <w:rPr>
          <w:rFonts w:ascii="Times New Roman" w:eastAsiaTheme="minorEastAsia" w:hAnsi="Times New Roman" w:cs="Times New Roman"/>
          <w:iCs/>
        </w:rPr>
        <w:t xml:space="preserve">binary </w:t>
      </w:r>
      <w:r w:rsidR="00503647">
        <w:rPr>
          <w:rFonts w:ascii="Times New Roman" w:eastAsiaTheme="minorEastAsia" w:hAnsi="Times New Roman" w:cs="Times New Roman"/>
          <w:iCs/>
        </w:rPr>
        <w:t xml:space="preserve">LDA model </w:t>
      </w:r>
      <w:r w:rsidR="00320658">
        <w:rPr>
          <w:rFonts w:ascii="Times New Roman" w:eastAsiaTheme="minorEastAsia" w:hAnsi="Times New Roman" w:cs="Times New Roman"/>
          <w:iCs/>
        </w:rPr>
        <w:t xml:space="preserve">has an F1 of 0.851 and the binary RF model has </w:t>
      </w:r>
      <w:r w:rsidR="00421453">
        <w:rPr>
          <w:rFonts w:ascii="Times New Roman" w:eastAsiaTheme="minorEastAsia" w:hAnsi="Times New Roman" w:cs="Times New Roman"/>
          <w:iCs/>
        </w:rPr>
        <w:t xml:space="preserve">an F1 of 0.815, and so we may consider the binary LDA model to be preferred. </w:t>
      </w:r>
    </w:p>
    <w:p w14:paraId="12F3CCCC" w14:textId="18513A8E" w:rsidR="00C20E4D" w:rsidRPr="004711F7" w:rsidRDefault="00997E18" w:rsidP="00937A1A">
      <w:pPr>
        <w:pStyle w:val="BodyText"/>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Fig</w:t>
      </w:r>
      <w:r w:rsidR="00B453F0">
        <w:rPr>
          <w:rFonts w:ascii="Times New Roman" w:eastAsiaTheme="minorEastAsia" w:hAnsi="Times New Roman" w:cs="Times New Roman"/>
          <w:iCs/>
        </w:rPr>
        <w:t xml:space="preserve"> 8 shows that t</w:t>
      </w:r>
      <w:r w:rsidR="00825BE7" w:rsidRPr="004711F7">
        <w:rPr>
          <w:rFonts w:ascii="Times New Roman" w:eastAsiaTheme="minorEastAsia" w:hAnsi="Times New Roman" w:cs="Times New Roman"/>
          <w:iCs/>
        </w:rPr>
        <w:t xml:space="preserve">he LDA model also had a larger area under the receiver operating characteristics (AUROC) </w:t>
      </w:r>
      <w:r w:rsidR="00B453F0">
        <w:rPr>
          <w:rFonts w:ascii="Times New Roman" w:eastAsiaTheme="minorEastAsia" w:hAnsi="Times New Roman" w:cs="Times New Roman"/>
          <w:iCs/>
        </w:rPr>
        <w:t xml:space="preserve">which </w:t>
      </w:r>
      <w:r w:rsidR="00364891" w:rsidRPr="004711F7">
        <w:rPr>
          <w:rFonts w:ascii="Times New Roman" w:eastAsiaTheme="minorEastAsia" w:hAnsi="Times New Roman" w:cs="Times New Roman"/>
          <w:iCs/>
        </w:rPr>
        <w:t xml:space="preserve">is </w:t>
      </w:r>
      <w:r w:rsidR="006C1B19">
        <w:rPr>
          <w:rFonts w:ascii="Times New Roman" w:eastAsiaTheme="minorEastAsia" w:hAnsi="Times New Roman" w:cs="Times New Roman"/>
          <w:iCs/>
        </w:rPr>
        <w:t>an</w:t>
      </w:r>
      <w:r w:rsidR="00364891" w:rsidRPr="004711F7">
        <w:rPr>
          <w:rFonts w:ascii="Times New Roman" w:eastAsiaTheme="minorEastAsia" w:hAnsi="Times New Roman" w:cs="Times New Roman"/>
          <w:iCs/>
        </w:rPr>
        <w:t xml:space="preserve"> indication that LDA is the preferred model. </w:t>
      </w:r>
      <w:r w:rsidR="0003209C" w:rsidRPr="004711F7">
        <w:rPr>
          <w:rFonts w:ascii="Times New Roman" w:eastAsiaTheme="minorEastAsia" w:hAnsi="Times New Roman" w:cs="Times New Roman"/>
          <w:iCs/>
        </w:rPr>
        <w:t>In the ROC plot, the diagonal represents predictions being made as if only by random chance</w:t>
      </w:r>
      <w:r w:rsidR="001A4A9C" w:rsidRPr="004711F7">
        <w:rPr>
          <w:rFonts w:ascii="Times New Roman" w:eastAsiaTheme="minorEastAsia" w:hAnsi="Times New Roman" w:cs="Times New Roman"/>
          <w:iCs/>
        </w:rPr>
        <w:t xml:space="preserve"> and if a model performs better than</w:t>
      </w:r>
      <w:r>
        <w:rPr>
          <w:rFonts w:ascii="Times New Roman" w:eastAsiaTheme="minorEastAsia" w:hAnsi="Times New Roman" w:cs="Times New Roman"/>
          <w:iCs/>
        </w:rPr>
        <w:t xml:space="preserve"> random </w:t>
      </w:r>
      <w:r w:rsidR="0039561C" w:rsidRPr="004711F7">
        <w:rPr>
          <w:rFonts w:ascii="Times New Roman" w:eastAsiaTheme="minorEastAsia" w:hAnsi="Times New Roman" w:cs="Times New Roman"/>
          <w:iCs/>
        </w:rPr>
        <w:t>chance,</w:t>
      </w:r>
      <w:r w:rsidR="001A4A9C" w:rsidRPr="004711F7">
        <w:rPr>
          <w:rFonts w:ascii="Times New Roman" w:eastAsiaTheme="minorEastAsia" w:hAnsi="Times New Roman" w:cs="Times New Roman"/>
          <w:iCs/>
        </w:rPr>
        <w:t xml:space="preserve"> we expect the curve to lie above the diagonal. The area under this curve is a summary of the overall sensitivity and specificity of a model at various thresholds and so a model whose AUROC approaches 1 is considered better; a perfect model that accurately classified both</w:t>
      </w:r>
      <w:r>
        <w:rPr>
          <w:rFonts w:ascii="Times New Roman" w:eastAsiaTheme="minorEastAsia" w:hAnsi="Times New Roman" w:cs="Times New Roman"/>
          <w:iCs/>
        </w:rPr>
        <w:t xml:space="preserve"> all</w:t>
      </w:r>
      <w:r w:rsidR="001A4A9C" w:rsidRPr="004711F7">
        <w:rPr>
          <w:rFonts w:ascii="Times New Roman" w:eastAsiaTheme="minorEastAsia" w:hAnsi="Times New Roman" w:cs="Times New Roman"/>
          <w:iCs/>
        </w:rPr>
        <w:t xml:space="preserve"> true positives and </w:t>
      </w:r>
      <w:r>
        <w:rPr>
          <w:rFonts w:ascii="Times New Roman" w:eastAsiaTheme="minorEastAsia" w:hAnsi="Times New Roman" w:cs="Times New Roman"/>
          <w:iCs/>
        </w:rPr>
        <w:t xml:space="preserve">all </w:t>
      </w:r>
      <w:r w:rsidR="001A4A9C" w:rsidRPr="004711F7">
        <w:rPr>
          <w:rFonts w:ascii="Times New Roman" w:eastAsiaTheme="minorEastAsia" w:hAnsi="Times New Roman" w:cs="Times New Roman"/>
          <w:iCs/>
        </w:rPr>
        <w:lastRenderedPageBreak/>
        <w:t>true negatives has an AUROC of exactly 1</w:t>
      </w:r>
      <w:r w:rsidR="004D4F0D">
        <w:rPr>
          <w:rFonts w:ascii="Times New Roman" w:eastAsiaTheme="minorEastAsia" w:hAnsi="Times New Roman" w:cs="Times New Roman"/>
          <w:iCs/>
        </w:rPr>
        <w:t>. G</w:t>
      </w:r>
      <w:r w:rsidR="001A4A9C" w:rsidRPr="004711F7">
        <w:rPr>
          <w:rFonts w:ascii="Times New Roman" w:eastAsiaTheme="minorEastAsia" w:hAnsi="Times New Roman" w:cs="Times New Roman"/>
          <w:iCs/>
        </w:rPr>
        <w:t>iven that the AUROC for the binary LDA model is 0.957 and the AUROC for the</w:t>
      </w:r>
      <w:r w:rsidR="00E93C5A">
        <w:rPr>
          <w:rFonts w:ascii="Times New Roman" w:eastAsiaTheme="minorEastAsia" w:hAnsi="Times New Roman" w:cs="Times New Roman"/>
          <w:iCs/>
        </w:rPr>
        <w:t xml:space="preserve"> binary</w:t>
      </w:r>
      <w:r w:rsidR="001A4A9C" w:rsidRPr="004711F7">
        <w:rPr>
          <w:rFonts w:ascii="Times New Roman" w:eastAsiaTheme="minorEastAsia" w:hAnsi="Times New Roman" w:cs="Times New Roman"/>
          <w:iCs/>
        </w:rPr>
        <w:t xml:space="preserve"> RF model is 0.</w:t>
      </w:r>
      <w:r w:rsidR="00E93C5A">
        <w:rPr>
          <w:rFonts w:ascii="Times New Roman" w:eastAsiaTheme="minorEastAsia" w:hAnsi="Times New Roman" w:cs="Times New Roman"/>
          <w:iCs/>
        </w:rPr>
        <w:t>893</w:t>
      </w:r>
      <w:r w:rsidR="001A4A9C" w:rsidRPr="004711F7">
        <w:rPr>
          <w:rFonts w:ascii="Times New Roman" w:eastAsiaTheme="minorEastAsia" w:hAnsi="Times New Roman" w:cs="Times New Roman"/>
          <w:iCs/>
        </w:rPr>
        <w:t>, LDA is the preferred model</w:t>
      </w:r>
      <w:r>
        <w:rPr>
          <w:rFonts w:ascii="Times New Roman" w:eastAsiaTheme="minorEastAsia" w:hAnsi="Times New Roman" w:cs="Times New Roman"/>
          <w:iCs/>
        </w:rPr>
        <w:t xml:space="preserve"> (Fig 8)</w:t>
      </w:r>
      <w:r w:rsidR="001A4A9C" w:rsidRPr="004711F7">
        <w:rPr>
          <w:rFonts w:ascii="Times New Roman" w:eastAsiaTheme="minorEastAsia" w:hAnsi="Times New Roman" w:cs="Times New Roman"/>
          <w:iCs/>
        </w:rPr>
        <w:t xml:space="preserve">. </w:t>
      </w:r>
    </w:p>
    <w:p w14:paraId="225FF055" w14:textId="0498A1C4" w:rsidR="004B14AC" w:rsidRDefault="001A4A9C" w:rsidP="00DF37AC">
      <w:pPr>
        <w:pStyle w:val="BodyText"/>
        <w:spacing w:line="480" w:lineRule="auto"/>
        <w:ind w:firstLine="720"/>
        <w:rPr>
          <w:rFonts w:ascii="Times New Roman" w:eastAsiaTheme="minorEastAsia" w:hAnsi="Times New Roman" w:cs="Times New Roman"/>
          <w:iCs/>
        </w:rPr>
      </w:pPr>
      <w:r w:rsidRPr="004711F7">
        <w:rPr>
          <w:rFonts w:ascii="Times New Roman" w:eastAsiaTheme="minorEastAsia" w:hAnsi="Times New Roman" w:cs="Times New Roman"/>
          <w:iCs/>
        </w:rPr>
        <w:t xml:space="preserve">In conclusion, all three of the initial exploratory questions are addressed. First, mean nWBV does vary by CDR score: at the initial visit, mean nWBV in those who have a CDR of 0 is higher than the mean nWBV of those who have a CDR of 1. Second, after the final visit, those who were considered demented had a higher baseline atrophy rate than those who were considered nondemented; this was shown to be independent of age. Lastly, both LDA and RF performed poorly when trying to classify 4 different levels of dementia, but improved when </w:t>
      </w:r>
      <w:r w:rsidR="0014079A">
        <w:rPr>
          <w:rFonts w:ascii="Times New Roman" w:eastAsiaTheme="minorEastAsia" w:hAnsi="Times New Roman" w:cs="Times New Roman"/>
          <w:iCs/>
        </w:rPr>
        <w:t>under a binary model</w:t>
      </w:r>
      <w:r w:rsidR="00E51918">
        <w:rPr>
          <w:rFonts w:ascii="Times New Roman" w:eastAsiaTheme="minorEastAsia" w:hAnsi="Times New Roman" w:cs="Times New Roman"/>
          <w:iCs/>
        </w:rPr>
        <w:t xml:space="preserve">, </w:t>
      </w:r>
      <w:r w:rsidRPr="004711F7">
        <w:rPr>
          <w:rFonts w:ascii="Times New Roman" w:eastAsiaTheme="minorEastAsia" w:hAnsi="Times New Roman" w:cs="Times New Roman"/>
          <w:iCs/>
        </w:rPr>
        <w:t xml:space="preserve">only classifying whether or not </w:t>
      </w:r>
      <w:r w:rsidR="00E832E8" w:rsidRPr="004711F7">
        <w:rPr>
          <w:rFonts w:ascii="Times New Roman" w:eastAsiaTheme="minorEastAsia" w:hAnsi="Times New Roman" w:cs="Times New Roman"/>
          <w:iCs/>
        </w:rPr>
        <w:t xml:space="preserve">a participant had any dementia at all. </w:t>
      </w:r>
      <w:r w:rsidR="00B23D26" w:rsidRPr="004711F7">
        <w:rPr>
          <w:rFonts w:ascii="Times New Roman" w:eastAsiaTheme="minorEastAsia" w:hAnsi="Times New Roman" w:cs="Times New Roman"/>
          <w:iCs/>
        </w:rPr>
        <w:t>Overall,</w:t>
      </w:r>
      <w:r w:rsidR="00E832E8" w:rsidRPr="004711F7">
        <w:rPr>
          <w:rFonts w:ascii="Times New Roman" w:eastAsiaTheme="minorEastAsia" w:hAnsi="Times New Roman" w:cs="Times New Roman"/>
          <w:iCs/>
        </w:rPr>
        <w:t xml:space="preserve"> the binary LDA model </w:t>
      </w:r>
      <w:r w:rsidR="005C6823">
        <w:rPr>
          <w:rFonts w:ascii="Times New Roman" w:eastAsiaTheme="minorEastAsia" w:hAnsi="Times New Roman" w:cs="Times New Roman"/>
          <w:iCs/>
        </w:rPr>
        <w:t>had</w:t>
      </w:r>
      <w:r w:rsidR="000836A9">
        <w:rPr>
          <w:rFonts w:ascii="Times New Roman" w:eastAsiaTheme="minorEastAsia" w:hAnsi="Times New Roman" w:cs="Times New Roman"/>
          <w:iCs/>
        </w:rPr>
        <w:t xml:space="preserve"> similar sensitivity to the binary RF model, however, the binary LDA model also had a higher F1 </w:t>
      </w:r>
      <w:r w:rsidR="00E832E8" w:rsidRPr="004711F7">
        <w:rPr>
          <w:rFonts w:ascii="Times New Roman" w:eastAsiaTheme="minorEastAsia" w:hAnsi="Times New Roman" w:cs="Times New Roman"/>
          <w:iCs/>
        </w:rPr>
        <w:t xml:space="preserve">and a larger AUROC than the RF </w:t>
      </w:r>
      <w:r w:rsidR="00937AA5" w:rsidRPr="004711F7">
        <w:rPr>
          <w:rFonts w:ascii="Times New Roman" w:eastAsiaTheme="minorEastAsia" w:hAnsi="Times New Roman" w:cs="Times New Roman"/>
          <w:iCs/>
        </w:rPr>
        <w:t>model,</w:t>
      </w:r>
      <w:r w:rsidR="00E832E8" w:rsidRPr="004711F7">
        <w:rPr>
          <w:rFonts w:ascii="Times New Roman" w:eastAsiaTheme="minorEastAsia" w:hAnsi="Times New Roman" w:cs="Times New Roman"/>
          <w:iCs/>
        </w:rPr>
        <w:t xml:space="preserve"> so</w:t>
      </w:r>
      <w:r w:rsidR="000836A9">
        <w:rPr>
          <w:rFonts w:ascii="Times New Roman" w:eastAsiaTheme="minorEastAsia" w:hAnsi="Times New Roman" w:cs="Times New Roman"/>
          <w:iCs/>
        </w:rPr>
        <w:t xml:space="preserve"> the binary</w:t>
      </w:r>
      <w:r w:rsidR="00E832E8" w:rsidRPr="004711F7">
        <w:rPr>
          <w:rFonts w:ascii="Times New Roman" w:eastAsiaTheme="minorEastAsia" w:hAnsi="Times New Roman" w:cs="Times New Roman"/>
          <w:iCs/>
        </w:rPr>
        <w:t xml:space="preserve"> </w:t>
      </w:r>
      <w:r w:rsidR="00937AA5">
        <w:rPr>
          <w:rFonts w:ascii="Times New Roman" w:eastAsiaTheme="minorEastAsia" w:hAnsi="Times New Roman" w:cs="Times New Roman"/>
          <w:iCs/>
        </w:rPr>
        <w:t>LDA</w:t>
      </w:r>
      <w:r w:rsidR="00E832E8" w:rsidRPr="004711F7">
        <w:rPr>
          <w:rFonts w:ascii="Times New Roman" w:eastAsiaTheme="minorEastAsia" w:hAnsi="Times New Roman" w:cs="Times New Roman"/>
          <w:iCs/>
        </w:rPr>
        <w:t xml:space="preserve"> is the preferred model. All together these studies show that nWBV is a promising biomarker that can be helpful in the diagnostic process of AD; however, it is important to keep in mind that AD is a complex disease with many other factors. Although we cannot fully rely on these models to predict an AD diagnosis, </w:t>
      </w:r>
      <w:r w:rsidR="00937AA5">
        <w:rPr>
          <w:rFonts w:ascii="Times New Roman" w:eastAsiaTheme="minorEastAsia" w:hAnsi="Times New Roman" w:cs="Times New Roman"/>
          <w:iCs/>
        </w:rPr>
        <w:t xml:space="preserve">frequent </w:t>
      </w:r>
      <w:r w:rsidR="002005EE">
        <w:rPr>
          <w:rFonts w:ascii="Times New Roman" w:eastAsiaTheme="minorEastAsia" w:hAnsi="Times New Roman" w:cs="Times New Roman"/>
          <w:iCs/>
        </w:rPr>
        <w:t>MRIs</w:t>
      </w:r>
      <w:r w:rsidR="00E832E8" w:rsidRPr="004711F7">
        <w:rPr>
          <w:rFonts w:ascii="Times New Roman" w:eastAsiaTheme="minorEastAsia" w:hAnsi="Times New Roman" w:cs="Times New Roman"/>
          <w:iCs/>
        </w:rPr>
        <w:t xml:space="preserve"> can still provide some useful insights into AD progression. </w:t>
      </w:r>
    </w:p>
    <w:p w14:paraId="6E2F94CA"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70D3499F"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78B66D29"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116594C3"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47F8E739"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3DB75F7C"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584C54A7"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70D563BE" w14:textId="77777777" w:rsidR="002D4341" w:rsidRDefault="002D4341" w:rsidP="00DF37AC">
      <w:pPr>
        <w:pStyle w:val="BodyText"/>
        <w:spacing w:line="480" w:lineRule="auto"/>
        <w:ind w:firstLine="720"/>
        <w:rPr>
          <w:rFonts w:ascii="Times New Roman" w:eastAsiaTheme="minorEastAsia" w:hAnsi="Times New Roman" w:cs="Times New Roman"/>
          <w:iCs/>
        </w:rPr>
      </w:pPr>
    </w:p>
    <w:p w14:paraId="67C40724" w14:textId="77777777" w:rsidR="009D3C9B" w:rsidRDefault="009D3C9B" w:rsidP="004B14AC">
      <w:pPr>
        <w:pStyle w:val="BodyText"/>
        <w:rPr>
          <w:rFonts w:ascii="Times New Roman" w:eastAsiaTheme="minorEastAsia" w:hAnsi="Times New Roman" w:cs="Times New Roman"/>
          <w:iCs/>
        </w:rPr>
      </w:pPr>
    </w:p>
    <w:p w14:paraId="20D0F74E" w14:textId="116195FF" w:rsidR="004B14AC" w:rsidRPr="004B14AC" w:rsidRDefault="004B14AC" w:rsidP="004B14AC">
      <w:pPr>
        <w:pStyle w:val="BodyText"/>
        <w:rPr>
          <w:rFonts w:ascii="Times New Roman" w:hAnsi="Times New Roman" w:cs="Times New Roman"/>
        </w:rPr>
      </w:pPr>
      <w:r w:rsidRPr="004B14AC">
        <w:rPr>
          <w:rFonts w:ascii="Times New Roman" w:hAnsi="Times New Roman" w:cs="Times New Roman"/>
        </w:rPr>
        <w:lastRenderedPageBreak/>
        <w:t>References</w:t>
      </w:r>
      <w:r w:rsidR="00DF37AC">
        <w:rPr>
          <w:rFonts w:ascii="Times New Roman" w:hAnsi="Times New Roman" w:cs="Times New Roman"/>
        </w:rPr>
        <w:t>:</w:t>
      </w:r>
    </w:p>
    <w:p w14:paraId="357523E2" w14:textId="0E20BE81" w:rsidR="004B14AC" w:rsidRPr="004B14AC" w:rsidRDefault="004B14AC" w:rsidP="004B14AC">
      <w:pPr>
        <w:pStyle w:val="BodyText"/>
        <w:ind w:left="720" w:hanging="360"/>
        <w:rPr>
          <w:rFonts w:ascii="Times New Roman" w:hAnsi="Times New Roman" w:cs="Times New Roman"/>
        </w:rPr>
      </w:pPr>
      <w:r w:rsidRPr="004B14AC">
        <w:rPr>
          <w:rFonts w:ascii="Times New Roman" w:hAnsi="Times New Roman" w:cs="Times New Roman"/>
        </w:rPr>
        <w:t xml:space="preserve">1. Kehoe EG, McNulty JP, Mullins PG, Bokde AL. Advances in MRI biomarkers for the diagnosis of Alzheimer's disease. Biomark Med. 2014;8(9):1151-69. doi: 10.2217/bmm.14.42. PMID: 25402585. </w:t>
      </w:r>
    </w:p>
    <w:p w14:paraId="69EE6FD6" w14:textId="3C9774E6" w:rsidR="004B14AC" w:rsidRPr="004B14AC" w:rsidRDefault="004B14AC" w:rsidP="004B14AC">
      <w:pPr>
        <w:pStyle w:val="BodyText"/>
        <w:ind w:left="720" w:hanging="360"/>
        <w:rPr>
          <w:rFonts w:ascii="Times New Roman" w:hAnsi="Times New Roman" w:cs="Times New Roman"/>
        </w:rPr>
      </w:pPr>
      <w:r w:rsidRPr="004B14AC">
        <w:rPr>
          <w:rFonts w:ascii="Times New Roman" w:hAnsi="Times New Roman" w:cs="Times New Roman"/>
        </w:rPr>
        <w:t xml:space="preserve">2. Marcus DS, Wang TH, Parker J, Csernansky JG, Morris JC, Buckner RL. Open Access Series of Imaging Studies (OASIS): cross-sectional MRI data in young, middle aged, nondemented, and demented older adults. J Cogn Neurosci. 2007 Sep;19(9):1498-507. doi: 10.1162/jocn.2007.19.9.1498. PMID: 17714011. </w:t>
      </w:r>
    </w:p>
    <w:p w14:paraId="300D8BC9" w14:textId="08A8CE3F" w:rsidR="004B14AC" w:rsidRPr="004B14AC" w:rsidRDefault="004B14AC" w:rsidP="004B14AC">
      <w:pPr>
        <w:pStyle w:val="BodyText"/>
        <w:ind w:left="720" w:hanging="360"/>
        <w:rPr>
          <w:rFonts w:ascii="Times New Roman" w:hAnsi="Times New Roman" w:cs="Times New Roman"/>
        </w:rPr>
      </w:pPr>
      <w:r w:rsidRPr="004B14AC">
        <w:rPr>
          <w:rFonts w:ascii="Times New Roman" w:hAnsi="Times New Roman" w:cs="Times New Roman"/>
        </w:rPr>
        <w:t>3. Silbert LC, Quinn JF, Moore MM, Corbridge E, Ball MJ, Murdoch G, Sexton G, Kaye JA. Changes in premorbid brain volume predict Alzheimer's disease pathology. Neurology. 2003 Aug 26;61(4):487-92. doi: 10.1212/01.wnl.0000079053.77227.14. PMID: 12939422.</w:t>
      </w:r>
    </w:p>
    <w:p w14:paraId="620A5B76" w14:textId="77777777" w:rsidR="004B14AC" w:rsidRDefault="004B14AC" w:rsidP="004B14AC">
      <w:pPr>
        <w:pStyle w:val="BodyText"/>
        <w:rPr>
          <w:b/>
          <w:bCs/>
        </w:rPr>
      </w:pPr>
    </w:p>
    <w:p w14:paraId="3F7197C8" w14:textId="77777777" w:rsidR="00DF37AC" w:rsidRDefault="00DF37AC" w:rsidP="004B14AC">
      <w:pPr>
        <w:pStyle w:val="BodyText"/>
        <w:rPr>
          <w:b/>
          <w:bCs/>
        </w:rPr>
      </w:pPr>
    </w:p>
    <w:p w14:paraId="08FDE5A5" w14:textId="619092D8" w:rsidR="00DF37AC" w:rsidRDefault="0017227C" w:rsidP="004B14AC">
      <w:pPr>
        <w:pStyle w:val="BodyText"/>
        <w:rPr>
          <w:b/>
          <w:bCs/>
        </w:rPr>
      </w:pPr>
      <w:r>
        <w:rPr>
          <w:b/>
          <w:bCs/>
        </w:rPr>
        <w:t xml:space="preserve"> </w:t>
      </w:r>
    </w:p>
    <w:p w14:paraId="65555D9F" w14:textId="77777777" w:rsidR="00DF37AC" w:rsidRDefault="00DF37AC" w:rsidP="004B14AC">
      <w:pPr>
        <w:pStyle w:val="BodyText"/>
        <w:rPr>
          <w:b/>
          <w:bCs/>
        </w:rPr>
      </w:pPr>
    </w:p>
    <w:p w14:paraId="677C826F" w14:textId="77777777" w:rsidR="00DF37AC" w:rsidRDefault="00DF37AC" w:rsidP="004B14AC">
      <w:pPr>
        <w:pStyle w:val="BodyText"/>
        <w:rPr>
          <w:b/>
          <w:bCs/>
        </w:rPr>
      </w:pPr>
    </w:p>
    <w:p w14:paraId="04CCC2CE" w14:textId="77777777" w:rsidR="00DF37AC" w:rsidRDefault="00DF37AC" w:rsidP="004B14AC">
      <w:pPr>
        <w:pStyle w:val="BodyText"/>
        <w:rPr>
          <w:b/>
          <w:bCs/>
        </w:rPr>
      </w:pPr>
    </w:p>
    <w:p w14:paraId="21B3926C" w14:textId="77777777" w:rsidR="00DF37AC" w:rsidRDefault="00DF37AC" w:rsidP="004B14AC">
      <w:pPr>
        <w:pStyle w:val="BodyText"/>
        <w:rPr>
          <w:b/>
          <w:bCs/>
        </w:rPr>
      </w:pPr>
    </w:p>
    <w:p w14:paraId="3988DF49" w14:textId="77777777" w:rsidR="00DF37AC" w:rsidRDefault="00DF37AC" w:rsidP="004B14AC">
      <w:pPr>
        <w:pStyle w:val="BodyText"/>
        <w:rPr>
          <w:b/>
          <w:bCs/>
        </w:rPr>
      </w:pPr>
    </w:p>
    <w:p w14:paraId="113D48F2" w14:textId="77777777" w:rsidR="00DF37AC" w:rsidRDefault="00DF37AC" w:rsidP="004B14AC">
      <w:pPr>
        <w:pStyle w:val="BodyText"/>
        <w:rPr>
          <w:b/>
          <w:bCs/>
        </w:rPr>
      </w:pPr>
    </w:p>
    <w:p w14:paraId="40B826C9" w14:textId="77777777" w:rsidR="00DF37AC" w:rsidRDefault="00DF37AC" w:rsidP="004B14AC">
      <w:pPr>
        <w:pStyle w:val="BodyText"/>
        <w:rPr>
          <w:b/>
          <w:bCs/>
        </w:rPr>
      </w:pPr>
    </w:p>
    <w:p w14:paraId="76639871" w14:textId="77777777" w:rsidR="00DF37AC" w:rsidRDefault="00DF37AC" w:rsidP="004B14AC">
      <w:pPr>
        <w:pStyle w:val="BodyText"/>
        <w:rPr>
          <w:b/>
          <w:bCs/>
        </w:rPr>
      </w:pPr>
    </w:p>
    <w:p w14:paraId="45AD6A78" w14:textId="77777777" w:rsidR="00DF37AC" w:rsidRDefault="00DF37AC" w:rsidP="004B14AC">
      <w:pPr>
        <w:pStyle w:val="BodyText"/>
        <w:rPr>
          <w:b/>
          <w:bCs/>
        </w:rPr>
      </w:pPr>
    </w:p>
    <w:p w14:paraId="5C19A654" w14:textId="77777777" w:rsidR="00DF37AC" w:rsidRDefault="00DF37AC" w:rsidP="004B14AC">
      <w:pPr>
        <w:pStyle w:val="BodyText"/>
        <w:rPr>
          <w:b/>
          <w:bCs/>
        </w:rPr>
      </w:pPr>
    </w:p>
    <w:sectPr w:rsidR="00DF37AC" w:rsidSect="004711F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B6C6" w14:textId="77777777" w:rsidR="004711F7" w:rsidRDefault="004711F7" w:rsidP="004711F7">
      <w:pPr>
        <w:spacing w:after="0" w:line="240" w:lineRule="auto"/>
      </w:pPr>
      <w:r>
        <w:separator/>
      </w:r>
    </w:p>
  </w:endnote>
  <w:endnote w:type="continuationSeparator" w:id="0">
    <w:p w14:paraId="03C4931D" w14:textId="77777777" w:rsidR="004711F7" w:rsidRDefault="004711F7" w:rsidP="0047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45F16" w14:textId="77777777" w:rsidR="004711F7" w:rsidRDefault="004711F7" w:rsidP="004711F7">
      <w:pPr>
        <w:spacing w:after="0" w:line="240" w:lineRule="auto"/>
      </w:pPr>
      <w:r>
        <w:separator/>
      </w:r>
    </w:p>
  </w:footnote>
  <w:footnote w:type="continuationSeparator" w:id="0">
    <w:p w14:paraId="314C77CC" w14:textId="77777777" w:rsidR="004711F7" w:rsidRDefault="004711F7" w:rsidP="00471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594C" w14:textId="6C3F9E97" w:rsidR="004711F7" w:rsidRPr="00B23D26" w:rsidRDefault="004711F7">
    <w:pPr>
      <w:pStyle w:val="Header"/>
      <w:rPr>
        <w:rFonts w:ascii="Times New Roman" w:hAnsi="Times New Roman" w:cs="Times New Roman"/>
      </w:rPr>
    </w:pPr>
    <w:r w:rsidRPr="00B23D26">
      <w:rPr>
        <w:rFonts w:ascii="Times New Roman" w:hAnsi="Times New Roman" w:cs="Times New Roman"/>
      </w:rPr>
      <w:t>Jonathan Ramos</w:t>
    </w:r>
  </w:p>
  <w:p w14:paraId="138ED51A" w14:textId="55849B45" w:rsidR="004711F7" w:rsidRPr="00B23D26" w:rsidRDefault="004711F7">
    <w:pPr>
      <w:pStyle w:val="Header"/>
      <w:rPr>
        <w:rFonts w:ascii="Times New Roman" w:hAnsi="Times New Roman" w:cs="Times New Roman"/>
      </w:rPr>
    </w:pPr>
    <w:r w:rsidRPr="00B23D26">
      <w:rPr>
        <w:rFonts w:ascii="Times New Roman" w:hAnsi="Times New Roman" w:cs="Times New Roman"/>
      </w:rPr>
      <w:t>COMP 4441 Final Pape</w:t>
    </w:r>
  </w:p>
  <w:p w14:paraId="4E60FC42" w14:textId="23A4D4E7" w:rsidR="004711F7" w:rsidRPr="00B23D26" w:rsidRDefault="004711F7">
    <w:pPr>
      <w:pStyle w:val="Header"/>
      <w:rPr>
        <w:rFonts w:ascii="Times New Roman" w:hAnsi="Times New Roman" w:cs="Times New Roman"/>
      </w:rPr>
    </w:pPr>
    <w:r w:rsidRPr="00B23D26">
      <w:rPr>
        <w:rFonts w:ascii="Times New Roman" w:hAnsi="Times New Roman" w:cs="Times New Roman"/>
      </w:rPr>
      <w:t>Predicting Alzheimer’s Disease Diagnoses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7564C"/>
    <w:multiLevelType w:val="hybridMultilevel"/>
    <w:tmpl w:val="E9CE3424"/>
    <w:lvl w:ilvl="0" w:tplc="ADD6842C">
      <w:start w:val="1"/>
      <w:numFmt w:val="bullet"/>
      <w:lvlText w:val="•"/>
      <w:lvlJc w:val="left"/>
      <w:pPr>
        <w:tabs>
          <w:tab w:val="num" w:pos="720"/>
        </w:tabs>
        <w:ind w:left="720" w:hanging="360"/>
      </w:pPr>
      <w:rPr>
        <w:rFonts w:ascii="Arial" w:hAnsi="Arial" w:hint="default"/>
      </w:rPr>
    </w:lvl>
    <w:lvl w:ilvl="1" w:tplc="0D9A283A" w:tentative="1">
      <w:start w:val="1"/>
      <w:numFmt w:val="bullet"/>
      <w:lvlText w:val="•"/>
      <w:lvlJc w:val="left"/>
      <w:pPr>
        <w:tabs>
          <w:tab w:val="num" w:pos="1440"/>
        </w:tabs>
        <w:ind w:left="1440" w:hanging="360"/>
      </w:pPr>
      <w:rPr>
        <w:rFonts w:ascii="Arial" w:hAnsi="Arial" w:hint="default"/>
      </w:rPr>
    </w:lvl>
    <w:lvl w:ilvl="2" w:tplc="86A013D0" w:tentative="1">
      <w:start w:val="1"/>
      <w:numFmt w:val="bullet"/>
      <w:lvlText w:val="•"/>
      <w:lvlJc w:val="left"/>
      <w:pPr>
        <w:tabs>
          <w:tab w:val="num" w:pos="2160"/>
        </w:tabs>
        <w:ind w:left="2160" w:hanging="360"/>
      </w:pPr>
      <w:rPr>
        <w:rFonts w:ascii="Arial" w:hAnsi="Arial" w:hint="default"/>
      </w:rPr>
    </w:lvl>
    <w:lvl w:ilvl="3" w:tplc="7FDA5C18" w:tentative="1">
      <w:start w:val="1"/>
      <w:numFmt w:val="bullet"/>
      <w:lvlText w:val="•"/>
      <w:lvlJc w:val="left"/>
      <w:pPr>
        <w:tabs>
          <w:tab w:val="num" w:pos="2880"/>
        </w:tabs>
        <w:ind w:left="2880" w:hanging="360"/>
      </w:pPr>
      <w:rPr>
        <w:rFonts w:ascii="Arial" w:hAnsi="Arial" w:hint="default"/>
      </w:rPr>
    </w:lvl>
    <w:lvl w:ilvl="4" w:tplc="710C4B80" w:tentative="1">
      <w:start w:val="1"/>
      <w:numFmt w:val="bullet"/>
      <w:lvlText w:val="•"/>
      <w:lvlJc w:val="left"/>
      <w:pPr>
        <w:tabs>
          <w:tab w:val="num" w:pos="3600"/>
        </w:tabs>
        <w:ind w:left="3600" w:hanging="360"/>
      </w:pPr>
      <w:rPr>
        <w:rFonts w:ascii="Arial" w:hAnsi="Arial" w:hint="default"/>
      </w:rPr>
    </w:lvl>
    <w:lvl w:ilvl="5" w:tplc="C0A64E1C" w:tentative="1">
      <w:start w:val="1"/>
      <w:numFmt w:val="bullet"/>
      <w:lvlText w:val="•"/>
      <w:lvlJc w:val="left"/>
      <w:pPr>
        <w:tabs>
          <w:tab w:val="num" w:pos="4320"/>
        </w:tabs>
        <w:ind w:left="4320" w:hanging="360"/>
      </w:pPr>
      <w:rPr>
        <w:rFonts w:ascii="Arial" w:hAnsi="Arial" w:hint="default"/>
      </w:rPr>
    </w:lvl>
    <w:lvl w:ilvl="6" w:tplc="F1A02746" w:tentative="1">
      <w:start w:val="1"/>
      <w:numFmt w:val="bullet"/>
      <w:lvlText w:val="•"/>
      <w:lvlJc w:val="left"/>
      <w:pPr>
        <w:tabs>
          <w:tab w:val="num" w:pos="5040"/>
        </w:tabs>
        <w:ind w:left="5040" w:hanging="360"/>
      </w:pPr>
      <w:rPr>
        <w:rFonts w:ascii="Arial" w:hAnsi="Arial" w:hint="default"/>
      </w:rPr>
    </w:lvl>
    <w:lvl w:ilvl="7" w:tplc="2C04F860" w:tentative="1">
      <w:start w:val="1"/>
      <w:numFmt w:val="bullet"/>
      <w:lvlText w:val="•"/>
      <w:lvlJc w:val="left"/>
      <w:pPr>
        <w:tabs>
          <w:tab w:val="num" w:pos="5760"/>
        </w:tabs>
        <w:ind w:left="5760" w:hanging="360"/>
      </w:pPr>
      <w:rPr>
        <w:rFonts w:ascii="Arial" w:hAnsi="Arial" w:hint="default"/>
      </w:rPr>
    </w:lvl>
    <w:lvl w:ilvl="8" w:tplc="3216E954" w:tentative="1">
      <w:start w:val="1"/>
      <w:numFmt w:val="bullet"/>
      <w:lvlText w:val="•"/>
      <w:lvlJc w:val="left"/>
      <w:pPr>
        <w:tabs>
          <w:tab w:val="num" w:pos="6480"/>
        </w:tabs>
        <w:ind w:left="6480" w:hanging="360"/>
      </w:pPr>
      <w:rPr>
        <w:rFonts w:ascii="Arial" w:hAnsi="Arial" w:hint="default"/>
      </w:rPr>
    </w:lvl>
  </w:abstractNum>
  <w:num w:numId="1" w16cid:durableId="31406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2B"/>
    <w:rsid w:val="000006C6"/>
    <w:rsid w:val="00007DCA"/>
    <w:rsid w:val="00022802"/>
    <w:rsid w:val="000318C6"/>
    <w:rsid w:val="0003209C"/>
    <w:rsid w:val="000351E9"/>
    <w:rsid w:val="0005185F"/>
    <w:rsid w:val="00055876"/>
    <w:rsid w:val="00062525"/>
    <w:rsid w:val="000836A9"/>
    <w:rsid w:val="000D6899"/>
    <w:rsid w:val="00101B55"/>
    <w:rsid w:val="00102492"/>
    <w:rsid w:val="001116A9"/>
    <w:rsid w:val="00111D6F"/>
    <w:rsid w:val="00114539"/>
    <w:rsid w:val="0014079A"/>
    <w:rsid w:val="00164EEF"/>
    <w:rsid w:val="0017227C"/>
    <w:rsid w:val="00180FE1"/>
    <w:rsid w:val="001A4A9C"/>
    <w:rsid w:val="001D1DAE"/>
    <w:rsid w:val="002005EE"/>
    <w:rsid w:val="002242E7"/>
    <w:rsid w:val="002402DF"/>
    <w:rsid w:val="002A204A"/>
    <w:rsid w:val="002D4341"/>
    <w:rsid w:val="00320658"/>
    <w:rsid w:val="0032227F"/>
    <w:rsid w:val="003521B5"/>
    <w:rsid w:val="0035377A"/>
    <w:rsid w:val="00362C43"/>
    <w:rsid w:val="00364424"/>
    <w:rsid w:val="0036464F"/>
    <w:rsid w:val="00364891"/>
    <w:rsid w:val="00384801"/>
    <w:rsid w:val="003905F4"/>
    <w:rsid w:val="00395168"/>
    <w:rsid w:val="0039561C"/>
    <w:rsid w:val="003F4E2B"/>
    <w:rsid w:val="00417CCA"/>
    <w:rsid w:val="00421453"/>
    <w:rsid w:val="00464148"/>
    <w:rsid w:val="004672D7"/>
    <w:rsid w:val="004711F7"/>
    <w:rsid w:val="0048033E"/>
    <w:rsid w:val="004A3E04"/>
    <w:rsid w:val="004A4223"/>
    <w:rsid w:val="004B14AC"/>
    <w:rsid w:val="004D4F0D"/>
    <w:rsid w:val="004F752C"/>
    <w:rsid w:val="00503647"/>
    <w:rsid w:val="00515C91"/>
    <w:rsid w:val="005261E1"/>
    <w:rsid w:val="005406D6"/>
    <w:rsid w:val="00560FA7"/>
    <w:rsid w:val="00565C45"/>
    <w:rsid w:val="00567DFD"/>
    <w:rsid w:val="00576625"/>
    <w:rsid w:val="005A648E"/>
    <w:rsid w:val="005C6823"/>
    <w:rsid w:val="005D67A8"/>
    <w:rsid w:val="005D7680"/>
    <w:rsid w:val="005E02BC"/>
    <w:rsid w:val="005F062F"/>
    <w:rsid w:val="005F796B"/>
    <w:rsid w:val="006425CA"/>
    <w:rsid w:val="00662E79"/>
    <w:rsid w:val="00664316"/>
    <w:rsid w:val="00681BAD"/>
    <w:rsid w:val="00683AC0"/>
    <w:rsid w:val="006A20D4"/>
    <w:rsid w:val="006A2A25"/>
    <w:rsid w:val="006C1B19"/>
    <w:rsid w:val="00712A13"/>
    <w:rsid w:val="007238EE"/>
    <w:rsid w:val="00726DC8"/>
    <w:rsid w:val="00760D07"/>
    <w:rsid w:val="007965F3"/>
    <w:rsid w:val="007A0D7D"/>
    <w:rsid w:val="007B4DD7"/>
    <w:rsid w:val="007D12DE"/>
    <w:rsid w:val="007E6BD9"/>
    <w:rsid w:val="007F7356"/>
    <w:rsid w:val="00825BE7"/>
    <w:rsid w:val="00865951"/>
    <w:rsid w:val="00867C5F"/>
    <w:rsid w:val="00884064"/>
    <w:rsid w:val="00892E83"/>
    <w:rsid w:val="008B70F1"/>
    <w:rsid w:val="008E7ACD"/>
    <w:rsid w:val="00904F7F"/>
    <w:rsid w:val="009300F6"/>
    <w:rsid w:val="00937A1A"/>
    <w:rsid w:val="00937AA5"/>
    <w:rsid w:val="00971047"/>
    <w:rsid w:val="009747BB"/>
    <w:rsid w:val="00997E18"/>
    <w:rsid w:val="009D3C9B"/>
    <w:rsid w:val="009E1DD7"/>
    <w:rsid w:val="009E5961"/>
    <w:rsid w:val="00A076F7"/>
    <w:rsid w:val="00A10638"/>
    <w:rsid w:val="00A40C62"/>
    <w:rsid w:val="00A42BD1"/>
    <w:rsid w:val="00A53E28"/>
    <w:rsid w:val="00A830FA"/>
    <w:rsid w:val="00A94439"/>
    <w:rsid w:val="00AC171A"/>
    <w:rsid w:val="00AE0226"/>
    <w:rsid w:val="00AF2824"/>
    <w:rsid w:val="00B23D26"/>
    <w:rsid w:val="00B44A1D"/>
    <w:rsid w:val="00B453F0"/>
    <w:rsid w:val="00BA7731"/>
    <w:rsid w:val="00BB1F6B"/>
    <w:rsid w:val="00BE6EB3"/>
    <w:rsid w:val="00C20E4D"/>
    <w:rsid w:val="00C53DDF"/>
    <w:rsid w:val="00C60486"/>
    <w:rsid w:val="00C865EC"/>
    <w:rsid w:val="00C92747"/>
    <w:rsid w:val="00CB21C7"/>
    <w:rsid w:val="00CD3659"/>
    <w:rsid w:val="00CE22AE"/>
    <w:rsid w:val="00D11376"/>
    <w:rsid w:val="00D51A5A"/>
    <w:rsid w:val="00D96C1A"/>
    <w:rsid w:val="00DE594F"/>
    <w:rsid w:val="00DF37AC"/>
    <w:rsid w:val="00E01608"/>
    <w:rsid w:val="00E2202A"/>
    <w:rsid w:val="00E264EF"/>
    <w:rsid w:val="00E51918"/>
    <w:rsid w:val="00E7172C"/>
    <w:rsid w:val="00E831B8"/>
    <w:rsid w:val="00E832E8"/>
    <w:rsid w:val="00E93C5A"/>
    <w:rsid w:val="00F052FA"/>
    <w:rsid w:val="00F1237F"/>
    <w:rsid w:val="00F30C5F"/>
    <w:rsid w:val="00F52459"/>
    <w:rsid w:val="00F620DF"/>
    <w:rsid w:val="00F70B8E"/>
    <w:rsid w:val="00F81339"/>
    <w:rsid w:val="00F8752A"/>
    <w:rsid w:val="00FA3A5B"/>
    <w:rsid w:val="00FB7308"/>
    <w:rsid w:val="00FF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C10C"/>
  <w15:chartTrackingRefBased/>
  <w15:docId w15:val="{A64672CC-038E-4D65-8546-F243DBF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3F4E2B"/>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3F4E2B"/>
    <w:pPr>
      <w:spacing w:after="120"/>
    </w:pPr>
  </w:style>
  <w:style w:type="character" w:customStyle="1" w:styleId="BodyTextChar">
    <w:name w:val="Body Text Char"/>
    <w:basedOn w:val="DefaultParagraphFont"/>
    <w:link w:val="BodyText"/>
    <w:uiPriority w:val="99"/>
    <w:semiHidden/>
    <w:rsid w:val="003F4E2B"/>
  </w:style>
  <w:style w:type="character" w:styleId="PlaceholderText">
    <w:name w:val="Placeholder Text"/>
    <w:basedOn w:val="DefaultParagraphFont"/>
    <w:uiPriority w:val="99"/>
    <w:semiHidden/>
    <w:rsid w:val="00FA3A5B"/>
    <w:rPr>
      <w:color w:val="808080"/>
    </w:rPr>
  </w:style>
  <w:style w:type="paragraph" w:styleId="NormalWeb">
    <w:name w:val="Normal (Web)"/>
    <w:basedOn w:val="Normal"/>
    <w:uiPriority w:val="99"/>
    <w:semiHidden/>
    <w:unhideWhenUsed/>
    <w:rsid w:val="00FA3A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53DDF"/>
    <w:rPr>
      <w:color w:val="0563C1" w:themeColor="hyperlink"/>
      <w:u w:val="single"/>
    </w:rPr>
  </w:style>
  <w:style w:type="character" w:styleId="UnresolvedMention">
    <w:name w:val="Unresolved Mention"/>
    <w:basedOn w:val="DefaultParagraphFont"/>
    <w:uiPriority w:val="99"/>
    <w:semiHidden/>
    <w:unhideWhenUsed/>
    <w:rsid w:val="00C53DDF"/>
    <w:rPr>
      <w:color w:val="605E5C"/>
      <w:shd w:val="clear" w:color="auto" w:fill="E1DFDD"/>
    </w:rPr>
  </w:style>
  <w:style w:type="character" w:styleId="FollowedHyperlink">
    <w:name w:val="FollowedHyperlink"/>
    <w:basedOn w:val="DefaultParagraphFont"/>
    <w:uiPriority w:val="99"/>
    <w:semiHidden/>
    <w:unhideWhenUsed/>
    <w:rsid w:val="008E7ACD"/>
    <w:rPr>
      <w:color w:val="954F72" w:themeColor="followedHyperlink"/>
      <w:u w:val="single"/>
    </w:rPr>
  </w:style>
  <w:style w:type="paragraph" w:styleId="Header">
    <w:name w:val="header"/>
    <w:basedOn w:val="Normal"/>
    <w:link w:val="HeaderChar"/>
    <w:uiPriority w:val="99"/>
    <w:unhideWhenUsed/>
    <w:rsid w:val="00471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F7"/>
  </w:style>
  <w:style w:type="paragraph" w:styleId="Footer">
    <w:name w:val="footer"/>
    <w:basedOn w:val="Normal"/>
    <w:link w:val="FooterChar"/>
    <w:uiPriority w:val="99"/>
    <w:unhideWhenUsed/>
    <w:rsid w:val="00471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9242">
      <w:bodyDiv w:val="1"/>
      <w:marLeft w:val="0"/>
      <w:marRight w:val="0"/>
      <w:marTop w:val="0"/>
      <w:marBottom w:val="0"/>
      <w:divBdr>
        <w:top w:val="none" w:sz="0" w:space="0" w:color="auto"/>
        <w:left w:val="none" w:sz="0" w:space="0" w:color="auto"/>
        <w:bottom w:val="none" w:sz="0" w:space="0" w:color="auto"/>
        <w:right w:val="none" w:sz="0" w:space="0" w:color="auto"/>
      </w:divBdr>
    </w:div>
    <w:div w:id="484249103">
      <w:bodyDiv w:val="1"/>
      <w:marLeft w:val="0"/>
      <w:marRight w:val="0"/>
      <w:marTop w:val="0"/>
      <w:marBottom w:val="0"/>
      <w:divBdr>
        <w:top w:val="none" w:sz="0" w:space="0" w:color="auto"/>
        <w:left w:val="none" w:sz="0" w:space="0" w:color="auto"/>
        <w:bottom w:val="none" w:sz="0" w:space="0" w:color="auto"/>
        <w:right w:val="none" w:sz="0" w:space="0" w:color="auto"/>
      </w:divBdr>
      <w:divsChild>
        <w:div w:id="1507595595">
          <w:marLeft w:val="288"/>
          <w:marRight w:val="0"/>
          <w:marTop w:val="280"/>
          <w:marBottom w:val="40"/>
          <w:divBdr>
            <w:top w:val="none" w:sz="0" w:space="0" w:color="auto"/>
            <w:left w:val="none" w:sz="0" w:space="0" w:color="auto"/>
            <w:bottom w:val="none" w:sz="0" w:space="0" w:color="auto"/>
            <w:right w:val="none" w:sz="0" w:space="0" w:color="auto"/>
          </w:divBdr>
        </w:div>
        <w:div w:id="1234193877">
          <w:marLeft w:val="288"/>
          <w:marRight w:val="0"/>
          <w:marTop w:val="280"/>
          <w:marBottom w:val="40"/>
          <w:divBdr>
            <w:top w:val="none" w:sz="0" w:space="0" w:color="auto"/>
            <w:left w:val="none" w:sz="0" w:space="0" w:color="auto"/>
            <w:bottom w:val="none" w:sz="0" w:space="0" w:color="auto"/>
            <w:right w:val="none" w:sz="0" w:space="0" w:color="auto"/>
          </w:divBdr>
        </w:div>
        <w:div w:id="450056849">
          <w:marLeft w:val="288"/>
          <w:marRight w:val="0"/>
          <w:marTop w:val="280"/>
          <w:marBottom w:val="40"/>
          <w:divBdr>
            <w:top w:val="none" w:sz="0" w:space="0" w:color="auto"/>
            <w:left w:val="none" w:sz="0" w:space="0" w:color="auto"/>
            <w:bottom w:val="none" w:sz="0" w:space="0" w:color="auto"/>
            <w:right w:val="none" w:sz="0" w:space="0" w:color="auto"/>
          </w:divBdr>
        </w:div>
        <w:div w:id="216356482">
          <w:marLeft w:val="288"/>
          <w:marRight w:val="0"/>
          <w:marTop w:val="280"/>
          <w:marBottom w:val="40"/>
          <w:divBdr>
            <w:top w:val="none" w:sz="0" w:space="0" w:color="auto"/>
            <w:left w:val="none" w:sz="0" w:space="0" w:color="auto"/>
            <w:bottom w:val="none" w:sz="0" w:space="0" w:color="auto"/>
            <w:right w:val="none" w:sz="0" w:space="0" w:color="auto"/>
          </w:divBdr>
        </w:div>
        <w:div w:id="61028700">
          <w:marLeft w:val="288"/>
          <w:marRight w:val="0"/>
          <w:marTop w:val="280"/>
          <w:marBottom w:val="40"/>
          <w:divBdr>
            <w:top w:val="none" w:sz="0" w:space="0" w:color="auto"/>
            <w:left w:val="none" w:sz="0" w:space="0" w:color="auto"/>
            <w:bottom w:val="none" w:sz="0" w:space="0" w:color="auto"/>
            <w:right w:val="none" w:sz="0" w:space="0" w:color="auto"/>
          </w:divBdr>
        </w:div>
      </w:divsChild>
    </w:div>
    <w:div w:id="545600903">
      <w:bodyDiv w:val="1"/>
      <w:marLeft w:val="0"/>
      <w:marRight w:val="0"/>
      <w:marTop w:val="0"/>
      <w:marBottom w:val="0"/>
      <w:divBdr>
        <w:top w:val="none" w:sz="0" w:space="0" w:color="auto"/>
        <w:left w:val="none" w:sz="0" w:space="0" w:color="auto"/>
        <w:bottom w:val="none" w:sz="0" w:space="0" w:color="auto"/>
        <w:right w:val="none" w:sz="0" w:space="0" w:color="auto"/>
      </w:divBdr>
    </w:div>
    <w:div w:id="149541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boysen/mri-and-alzheimers" TargetMode="External"/><Relationship Id="rId3" Type="http://schemas.openxmlformats.org/officeDocument/2006/relationships/settings" Target="settings.xml"/><Relationship Id="rId7" Type="http://schemas.openxmlformats.org/officeDocument/2006/relationships/hyperlink" Target="https://www.oasis-brai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Ramos</dc:creator>
  <cp:keywords/>
  <dc:description/>
  <cp:lastModifiedBy>Jonathan Ramos</cp:lastModifiedBy>
  <cp:revision>127</cp:revision>
  <dcterms:created xsi:type="dcterms:W3CDTF">2023-06-03T01:14:00Z</dcterms:created>
  <dcterms:modified xsi:type="dcterms:W3CDTF">2023-06-03T11:29:00Z</dcterms:modified>
</cp:coreProperties>
</file>