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rial" w:hAnsi="Arial"/>
          <w:b/>
          <w:color w:val="D4A017"/>
          <w:sz w:val="64"/>
        </w:rPr>
        <w:t>BL MOTORCYCLES</w:t>
      </w:r>
    </w:p>
    <w:p>
      <w:pPr>
        <w:jc w:val="center"/>
      </w:pPr>
      <w:r>
        <w:rPr>
          <w:color w:val="666666"/>
          <w:sz w:val="32"/>
        </w:rPr>
        <w:t>Claude Code Handover Document</w:t>
      </w:r>
    </w:p>
    <w:p>
      <w:pPr>
        <w:jc w:val="center"/>
      </w:pPr>
      <w:r>
        <w:rPr>
          <w:color w:val="999999"/>
          <w:sz w:val="22"/>
        </w:rPr>
        <w:t>Session Date: 28 March 2026</w:t>
      </w:r>
    </w:p>
    <w:p>
      <w:pPr>
        <w:spacing w:before="800"/>
        <w:jc w:val="center"/>
      </w:pPr>
      <w:r>
        <w:rPr>
          <w:color w:val="999999"/>
          <w:sz w:val="20"/>
        </w:rPr>
        <w:t>Prepared by: Claude (Opus 4.6) in Cowork Mode</w:t>
      </w:r>
    </w:p>
    <w:p>
      <w:r>
        <w:br w:type="page"/>
      </w:r>
    </w:p>
    <w:p>
      <w:pPr>
        <w:pStyle w:val="Heading1"/>
      </w:pPr>
      <w:r>
        <w:t>Session Summary</w:t>
      </w:r>
    </w:p>
    <w:p>
      <w:pPr>
        <w:spacing w:before="80" w:after="80"/>
        <w:pBdr>
          <w:bottom w:val="single" w:sz="6" w:space="1" w:color="D4A017"/>
        </w:pBdr>
      </w:pPr>
    </w:p>
    <w:p>
      <w:r>
        <w:t>This session focused on enriching CMPO product listings on the BL Motorcycles website (blmotorcyclesltd.co.uk). A gap analysis was performed comparing CMPO's own product pages against the BL Motorcycles shop, revealing that significant product data available from the Llexeter API was not being stored or displayed. Three deliverables were completed: a database schema migration, a product enrichment script, and an upgraded shop frontend.</w:t>
      </w:r>
    </w:p>
    <w:p>
      <w:pPr>
        <w:pStyle w:val="Heading1"/>
      </w:pPr>
      <w:r>
        <w:t>What Was Done</w:t>
      </w:r>
    </w:p>
    <w:p>
      <w:pPr>
        <w:spacing w:before="80" w:after="80"/>
        <w:pBdr>
          <w:bottom w:val="single" w:sz="6" w:space="1" w:color="D4A017"/>
        </w:pBdr>
      </w:pPr>
    </w:p>
    <w:p>
      <w:pPr>
        <w:pStyle w:val="Heading2"/>
      </w:pPr>
      <w:r>
        <w:t>1. Database Schema Migration</w:t>
      </w:r>
    </w:p>
    <w:p>
      <w:r>
        <w:t>Applied migration "enrich_cmpo_product_data" to the Supabase project (ddjuoeyaoxllockcusgf). This adds the following columns to the products table: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1A1A1A" w:color="auto"/>
          </w:tcPr>
          <w:p>
            <w:r/>
            <w:r>
              <w:rPr>
                <w:rFonts w:ascii="Arial" w:hAnsi="Arial"/>
                <w:b/>
                <w:color w:val="FFFFFF"/>
                <w:sz w:val="18"/>
              </w:rPr>
              <w:t>Column</w:t>
            </w:r>
          </w:p>
        </w:tc>
        <w:tc>
          <w:tcPr>
            <w:tcW w:type="dxa" w:w="3135"/>
            <w:shd w:val="clear" w:fill="1A1A1A" w:color="auto"/>
          </w:tcPr>
          <w:p>
            <w:r/>
            <w:r>
              <w:rPr>
                <w:rFonts w:ascii="Arial" w:hAnsi="Arial"/>
                <w:b/>
                <w:color w:val="FFFFFF"/>
                <w:sz w:val="18"/>
              </w:rPr>
              <w:t>Type</w:t>
            </w:r>
          </w:p>
        </w:tc>
        <w:tc>
          <w:tcPr>
            <w:tcW w:type="dxa" w:w="3135"/>
            <w:shd w:val="clear" w:fill="1A1A1A" w:color="auto"/>
          </w:tcPr>
          <w:p>
            <w:r/>
            <w:r>
              <w:rPr>
                <w:rFonts w:ascii="Arial" w:hAnsi="Arial"/>
                <w:b/>
                <w:color w:val="FFFFFF"/>
                <w:sz w:val="18"/>
              </w:rPr>
              <w:t>Purpose</w:t>
            </w:r>
          </w:p>
        </w:tc>
      </w:tr>
      <w:tr>
        <w:tc>
          <w:tcPr>
            <w:tcW w:type="dxa" w:w="3135"/>
            <w:shd w:val="clear" w:fill="F9F9F9" w:color="auto"/>
          </w:tcPr>
          <w:p>
            <w:r/>
            <w:r>
              <w:rPr>
                <w:rFonts w:ascii="Arial" w:hAnsi="Arial"/>
                <w:sz w:val="18"/>
              </w:rPr>
              <w:t>additional_images</w:t>
            </w:r>
          </w:p>
        </w:tc>
        <w:tc>
          <w:tcPr>
            <w:tcW w:type="dxa" w:w="3135"/>
            <w:shd w:val="clear" w:fill="F9F9F9" w:color="auto"/>
          </w:tcPr>
          <w:p>
            <w:r/>
            <w:r>
              <w:rPr>
                <w:rFonts w:ascii="Arial" w:hAnsi="Arial"/>
                <w:sz w:val="18"/>
              </w:rPr>
              <w:t>jsonb</w:t>
            </w:r>
          </w:p>
        </w:tc>
        <w:tc>
          <w:tcPr>
            <w:tcW w:type="dxa" w:w="3135"/>
            <w:shd w:val="clear" w:fill="F9F9F9" w:color="auto"/>
          </w:tcPr>
          <w:p>
            <w:r/>
            <w:r>
              <w:rPr>
                <w:rFonts w:ascii="Arial" w:hAnsi="Arial"/>
                <w:sz w:val="18"/>
              </w:rPr>
              <w:t>Array of extra image URLs (up to 9 per product)</w:t>
            </w:r>
          </w:p>
        </w:tc>
      </w:tr>
      <w:tr>
        <w:tc>
          <w:tcPr>
            <w:tcW w:type="dxa" w:w="3135"/>
          </w:tcPr>
          <w:p>
            <w:r/>
            <w:r>
              <w:rPr>
                <w:rFonts w:ascii="Arial" w:hAnsi="Arial"/>
                <w:sz w:val="18"/>
              </w:rPr>
              <w:t>structured_description</w:t>
            </w:r>
          </w:p>
        </w:tc>
        <w:tc>
          <w:tcPr>
            <w:tcW w:type="dxa" w:w="3135"/>
          </w:tcPr>
          <w:p>
            <w:r/>
            <w:r>
              <w:rPr>
                <w:rFonts w:ascii="Arial" w:hAnsi="Arial"/>
                <w:sz w:val="18"/>
              </w:rPr>
              <w:t>jsonb</w:t>
            </w:r>
          </w:p>
        </w:tc>
        <w:tc>
          <w:tcPr>
            <w:tcW w:type="dxa" w:w="3135"/>
          </w:tcPr>
          <w:p>
            <w:r/>
            <w:r>
              <w:rPr>
                <w:rFonts w:ascii="Arial" w:hAnsi="Arial"/>
                <w:sz w:val="18"/>
              </w:rPr>
              <w:t>Rich description with Contents, IMPORTANT_INFORMATION sections</w:t>
            </w:r>
          </w:p>
        </w:tc>
      </w:tr>
      <w:tr>
        <w:tc>
          <w:tcPr>
            <w:tcW w:type="dxa" w:w="3135"/>
            <w:shd w:val="clear" w:fill="F9F9F9" w:color="auto"/>
          </w:tcPr>
          <w:p>
            <w:r/>
            <w:r>
              <w:rPr>
                <w:rFonts w:ascii="Arial" w:hAnsi="Arial"/>
                <w:sz w:val="18"/>
              </w:rPr>
              <w:t>weight</w:t>
            </w:r>
          </w:p>
        </w:tc>
        <w:tc>
          <w:tcPr>
            <w:tcW w:type="dxa" w:w="3135"/>
            <w:shd w:val="clear" w:fill="F9F9F9" w:color="auto"/>
          </w:tcPr>
          <w:p>
            <w:r/>
            <w:r>
              <w:rPr>
                <w:rFonts w:ascii="Arial" w:hAnsi="Arial"/>
                <w:sz w:val="18"/>
              </w:rPr>
              <w:t>text</w:t>
            </w:r>
          </w:p>
        </w:tc>
        <w:tc>
          <w:tcPr>
            <w:tcW w:type="dxa" w:w="3135"/>
            <w:shd w:val="clear" w:fill="F9F9F9" w:color="auto"/>
          </w:tcPr>
          <w:p>
            <w:r/>
            <w:r>
              <w:rPr>
                <w:rFonts w:ascii="Arial" w:hAnsi="Arial"/>
                <w:sz w:val="18"/>
              </w:rPr>
              <w:t>Product weight from API (e.g. "4.03")</w:t>
            </w:r>
          </w:p>
        </w:tc>
      </w:tr>
      <w:tr>
        <w:tc>
          <w:tcPr>
            <w:tcW w:type="dxa" w:w="3135"/>
          </w:tcPr>
          <w:p>
            <w:r/>
            <w:r>
              <w:rPr>
                <w:rFonts w:ascii="Arial" w:hAnsi="Arial"/>
                <w:sz w:val="18"/>
              </w:rPr>
              <w:t>subcategory</w:t>
            </w:r>
          </w:p>
        </w:tc>
        <w:tc>
          <w:tcPr>
            <w:tcW w:type="dxa" w:w="3135"/>
          </w:tcPr>
          <w:p>
            <w:r/>
            <w:r>
              <w:rPr>
                <w:rFonts w:ascii="Arial" w:hAnsi="Arial"/>
                <w:sz w:val="18"/>
              </w:rPr>
              <w:t>text</w:t>
            </w:r>
          </w:p>
        </w:tc>
        <w:tc>
          <w:tcPr>
            <w:tcW w:type="dxa" w:w="3135"/>
          </w:tcPr>
          <w:p>
            <w:r/>
            <w:r>
              <w:rPr>
                <w:rFonts w:ascii="Arial" w:hAnsi="Arial"/>
                <w:sz w:val="18"/>
              </w:rPr>
              <w:t>Product subcategory (e.g. "Silencers", "Carbon Fibre")</w:t>
            </w:r>
          </w:p>
        </w:tc>
      </w:tr>
      <w:tr>
        <w:tc>
          <w:tcPr>
            <w:tcW w:type="dxa" w:w="3135"/>
            <w:shd w:val="clear" w:fill="F9F9F9" w:color="auto"/>
          </w:tcPr>
          <w:p>
            <w:r/>
            <w:r>
              <w:rPr>
                <w:rFonts w:ascii="Arial" w:hAnsi="Arial"/>
                <w:sz w:val="18"/>
              </w:rPr>
              <w:t>ean</w:t>
            </w:r>
          </w:p>
        </w:tc>
        <w:tc>
          <w:tcPr>
            <w:tcW w:type="dxa" w:w="3135"/>
            <w:shd w:val="clear" w:fill="F9F9F9" w:color="auto"/>
          </w:tcPr>
          <w:p>
            <w:r/>
            <w:r>
              <w:rPr>
                <w:rFonts w:ascii="Arial" w:hAnsi="Arial"/>
                <w:sz w:val="18"/>
              </w:rPr>
              <w:t>text</w:t>
            </w:r>
          </w:p>
        </w:tc>
        <w:tc>
          <w:tcPr>
            <w:tcW w:type="dxa" w:w="3135"/>
            <w:shd w:val="clear" w:fill="F9F9F9" w:color="auto"/>
          </w:tcPr>
          <w:p>
            <w:r/>
            <w:r>
              <w:rPr>
                <w:rFonts w:ascii="Arial" w:hAnsi="Arial"/>
                <w:sz w:val="18"/>
              </w:rPr>
              <w:t>EAN barcode number</w:t>
            </w:r>
          </w:p>
        </w:tc>
      </w:tr>
      <w:tr>
        <w:tc>
          <w:tcPr>
            <w:tcW w:type="dxa" w:w="3135"/>
          </w:tcPr>
          <w:p>
            <w:r/>
            <w:r>
              <w:rPr>
                <w:rFonts w:ascii="Arial" w:hAnsi="Arial"/>
                <w:sz w:val="18"/>
              </w:rPr>
              <w:t>part_name</w:t>
            </w:r>
          </w:p>
        </w:tc>
        <w:tc>
          <w:tcPr>
            <w:tcW w:type="dxa" w:w="3135"/>
          </w:tcPr>
          <w:p>
            <w:r/>
            <w:r>
              <w:rPr>
                <w:rFonts w:ascii="Arial" w:hAnsi="Arial"/>
                <w:sz w:val="18"/>
              </w:rPr>
              <w:t>text</w:t>
            </w:r>
          </w:p>
        </w:tc>
        <w:tc>
          <w:tcPr>
            <w:tcW w:type="dxa" w:w="3135"/>
          </w:tcPr>
          <w:p>
            <w:r/>
            <w:r>
              <w:rPr>
                <w:rFonts w:ascii="Arial" w:hAnsi="Arial"/>
                <w:sz w:val="18"/>
              </w:rPr>
              <w:t>Short part name (e.g. "SP9C 300mm Exhaust")</w:t>
            </w:r>
          </w:p>
        </w:tc>
      </w:tr>
      <w:tr>
        <w:tc>
          <w:tcPr>
            <w:tcW w:type="dxa" w:w="3135"/>
            <w:shd w:val="clear" w:fill="F9F9F9" w:color="auto"/>
          </w:tcPr>
          <w:p>
            <w:r/>
            <w:r>
              <w:rPr>
                <w:rFonts w:ascii="Arial" w:hAnsi="Arial"/>
                <w:sz w:val="18"/>
              </w:rPr>
              <w:t>is_discontinued</w:t>
            </w:r>
          </w:p>
        </w:tc>
        <w:tc>
          <w:tcPr>
            <w:tcW w:type="dxa" w:w="3135"/>
            <w:shd w:val="clear" w:fill="F9F9F9" w:color="auto"/>
          </w:tcPr>
          <w:p>
            <w:r/>
            <w:r>
              <w:rPr>
                <w:rFonts w:ascii="Arial" w:hAnsi="Arial"/>
                <w:sz w:val="18"/>
              </w:rPr>
              <w:t>boolean</w:t>
            </w:r>
          </w:p>
        </w:tc>
        <w:tc>
          <w:tcPr>
            <w:tcW w:type="dxa" w:w="3135"/>
            <w:shd w:val="clear" w:fill="F9F9F9" w:color="auto"/>
          </w:tcPr>
          <w:p>
            <w:r/>
            <w:r>
              <w:rPr>
                <w:rFonts w:ascii="Arial" w:hAnsi="Arial"/>
                <w:sz w:val="18"/>
              </w:rPr>
              <w:t>Whether CMPO has discontinued this product</w:t>
            </w:r>
          </w:p>
        </w:tc>
      </w:tr>
      <w:tr>
        <w:tc>
          <w:tcPr>
            <w:tcW w:type="dxa" w:w="3135"/>
          </w:tcPr>
          <w:p>
            <w:r/>
            <w:r>
              <w:rPr>
                <w:rFonts w:ascii="Arial" w:hAnsi="Arial"/>
                <w:sz w:val="18"/>
              </w:rPr>
              <w:t>enriched_at</w:t>
            </w:r>
          </w:p>
        </w:tc>
        <w:tc>
          <w:tcPr>
            <w:tcW w:type="dxa" w:w="3135"/>
          </w:tcPr>
          <w:p>
            <w:r/>
            <w:r>
              <w:rPr>
                <w:rFonts w:ascii="Arial" w:hAnsi="Arial"/>
                <w:sz w:val="18"/>
              </w:rPr>
              <w:t>timestamptz</w:t>
            </w:r>
          </w:p>
        </w:tc>
        <w:tc>
          <w:tcPr>
            <w:tcW w:type="dxa" w:w="3135"/>
          </w:tcPr>
          <w:p>
            <w:r/>
            <w:r>
              <w:rPr>
                <w:rFonts w:ascii="Arial" w:hAnsi="Arial"/>
                <w:sz w:val="18"/>
              </w:rPr>
              <w:t>Timestamp of last enrichment from API</w:t>
            </w:r>
          </w:p>
        </w:tc>
      </w:tr>
    </w:tbl>
    <w:p/>
    <w:p>
      <w:r>
        <w:t>Also added performance indexes on the fitment table:</w:t>
      </w:r>
    </w:p>
    <w:p>
      <w:pPr>
        <w:spacing w:before="80" w:after="80"/>
        <w:shd w:val="clear" w:fill="F5F5F5" w:color="auto"/>
      </w:pPr>
      <w:r>
        <w:rPr>
          <w:rFonts w:ascii="Consolas" w:hAnsi="Consolas"/>
          <w:color w:val="1A1A1A"/>
          <w:sz w:val="18"/>
        </w:rPr>
        <w:t>CREATE INDEX idx_fitment_make_model ON fitment (make, model);</w:t>
        <w:br/>
        <w:t>CREATE INDEX idx_fitment_sku ON fitment (sku);</w:t>
      </w:r>
    </w:p>
    <w:p>
      <w:pPr>
        <w:pStyle w:val="Heading2"/>
      </w:pPr>
      <w:r>
        <w:t>2. CMPO Enrichment Script</w:t>
      </w:r>
    </w:p>
    <w:p>
      <w:r>
        <w:t>Created scripts/enrich-cmpo-products.js in the BL-Motorcycles-Enterprise directory. This script calls two Llexeter API endpoints for every CMPO product and updates Supabase: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1A1A1A" w:color="auto"/>
          </w:tcPr>
          <w:p>
            <w:r/>
            <w:r>
              <w:rPr>
                <w:rFonts w:ascii="Arial" w:hAnsi="Arial"/>
                <w:b/>
                <w:color w:val="FFFFFF"/>
                <w:sz w:val="18"/>
              </w:rPr>
              <w:t>API Endpoint</w:t>
            </w:r>
          </w:p>
        </w:tc>
        <w:tc>
          <w:tcPr>
            <w:tcW w:type="dxa" w:w="3135"/>
            <w:shd w:val="clear" w:fill="1A1A1A" w:color="auto"/>
          </w:tcPr>
          <w:p>
            <w:r/>
            <w:r>
              <w:rPr>
                <w:rFonts w:ascii="Arial" w:hAnsi="Arial"/>
                <w:b/>
                <w:color w:val="FFFFFF"/>
                <w:sz w:val="18"/>
              </w:rPr>
              <w:t>Data Retrieved</w:t>
            </w:r>
          </w:p>
        </w:tc>
        <w:tc>
          <w:tcPr>
            <w:tcW w:type="dxa" w:w="3135"/>
            <w:shd w:val="clear" w:fill="1A1A1A" w:color="auto"/>
          </w:tcPr>
          <w:p>
            <w:r/>
            <w:r>
              <w:rPr>
                <w:rFonts w:ascii="Arial" w:hAnsi="Arial"/>
                <w:b/>
                <w:color w:val="FFFFFF"/>
                <w:sz w:val="18"/>
              </w:rPr>
              <w:t>Stored In</w:t>
            </w:r>
          </w:p>
        </w:tc>
      </w:tr>
      <w:tr>
        <w:tc>
          <w:tcPr>
            <w:tcW w:type="dxa" w:w="3135"/>
            <w:shd w:val="clear" w:fill="F9F9F9" w:color="auto"/>
          </w:tcPr>
          <w:p>
            <w:r/>
            <w:r>
              <w:rPr>
                <w:rFonts w:ascii="Arial" w:hAnsi="Arial"/>
                <w:sz w:val="18"/>
              </w:rPr>
              <w:t>/code/{sku}</w:t>
            </w:r>
          </w:p>
        </w:tc>
        <w:tc>
          <w:tcPr>
            <w:tcW w:type="dxa" w:w="3135"/>
            <w:shd w:val="clear" w:fill="F9F9F9" w:color="auto"/>
          </w:tcPr>
          <w:p>
            <w:r/>
            <w:r>
              <w:rPr>
                <w:rFonts w:ascii="Arial" w:hAnsi="Arial"/>
                <w:sz w:val="18"/>
              </w:rPr>
              <w:t>Multiple images, structured description, weight, EAN, subcategory, part_name, brand name</w:t>
            </w:r>
          </w:p>
        </w:tc>
        <w:tc>
          <w:tcPr>
            <w:tcW w:type="dxa" w:w="3135"/>
            <w:shd w:val="clear" w:fill="F9F9F9" w:color="auto"/>
          </w:tcPr>
          <w:p>
            <w:r/>
            <w:r>
              <w:rPr>
                <w:rFonts w:ascii="Arial" w:hAnsi="Arial"/>
                <w:sz w:val="18"/>
              </w:rPr>
              <w:t>products table (new columns)</w:t>
            </w:r>
          </w:p>
        </w:tc>
      </w:tr>
      <w:tr>
        <w:tc>
          <w:tcPr>
            <w:tcW w:type="dxa" w:w="3135"/>
          </w:tcPr>
          <w:p>
            <w:r/>
            <w:r>
              <w:rPr>
                <w:rFonts w:ascii="Arial" w:hAnsi="Arial"/>
                <w:sz w:val="18"/>
              </w:rPr>
              <w:t>/compatibility/{sku}</w:t>
            </w:r>
          </w:p>
        </w:tc>
        <w:tc>
          <w:tcPr>
            <w:tcW w:type="dxa" w:w="3135"/>
          </w:tcPr>
          <w:p>
            <w:r/>
            <w:r>
              <w:rPr>
                <w:rFonts w:ascii="Arial" w:hAnsi="Arial"/>
                <w:sz w:val="18"/>
              </w:rPr>
              <w:t>Compatible bike makes, models, CC, year ranges</w:t>
            </w:r>
          </w:p>
        </w:tc>
        <w:tc>
          <w:tcPr>
            <w:tcW w:type="dxa" w:w="3135"/>
          </w:tcPr>
          <w:p>
            <w:r/>
            <w:r>
              <w:rPr>
                <w:rFonts w:ascii="Arial" w:hAnsi="Arial"/>
                <w:sz w:val="18"/>
              </w:rPr>
              <w:t>fitment table (new rows)</w:t>
            </w:r>
          </w:p>
        </w:tc>
      </w:tr>
    </w:tbl>
    <w:p/>
    <w:p>
      <w:r>
        <w:t>Key features of the script:</w:t>
      </w:r>
    </w:p>
    <w:p>
      <w:r>
        <w:t>Processes 7,552 CMPO products sequentially with 200ms delay between API calls (respects Llexeter rate limits). Tracks enrichment status via enriched_at column so it can be re-run without duplicating work. Fixes incorrect brand names (e.g. "V5954" replaced with "Lextek"). Builds rich descriptions from structured API data. Supports --force flag to re-enrich all products. Estimated runtime: ~25 minutes for full catalogue.</w:t>
      </w:r>
    </w:p>
    <w:p>
      <w:pPr>
        <w:pStyle w:val="Heading2"/>
      </w:pPr>
      <w:r>
        <w:t>3. Frontend Upgrade (shop/page.tsx)</w:t>
      </w:r>
    </w:p>
    <w:p>
      <w:r>
        <w:t>Upgraded the product detail modal in app/shop/page.tsx with the following new components:</w:t>
      </w:r>
    </w:p>
    <w:tbl>
      <w:tblPr>
        <w:tblStyle w:val="TableGrid"/>
        <w:tblW w:type="auto" w:w="0"/>
        <w:jc w:val="center"/>
        <w:tblLook w:firstColumn="1" w:firstRow="1" w:lastColumn="0" w:lastRow="0" w:noHBand="0" w:noVBand="1" w:val="04A0"/>
      </w:tblPr>
      <w:tblGrid>
        <w:gridCol w:w="4703"/>
        <w:gridCol w:w="4703"/>
      </w:tblGrid>
      <w:tr>
        <w:tc>
          <w:tcPr>
            <w:tcW w:type="dxa" w:w="4703"/>
            <w:shd w:val="clear" w:fill="1A1A1A" w:color="auto"/>
          </w:tcPr>
          <w:p>
            <w:r/>
            <w:r>
              <w:rPr>
                <w:rFonts w:ascii="Arial" w:hAnsi="Arial"/>
                <w:b/>
                <w:color w:val="FFFFFF"/>
                <w:sz w:val="18"/>
              </w:rPr>
              <w:t>Component</w:t>
            </w:r>
          </w:p>
        </w:tc>
        <w:tc>
          <w:tcPr>
            <w:tcW w:type="dxa" w:w="4703"/>
            <w:shd w:val="clear" w:fill="1A1A1A" w:color="auto"/>
          </w:tcPr>
          <w:p>
            <w:r/>
            <w:r>
              <w:rPr>
                <w:rFonts w:ascii="Arial" w:hAnsi="Arial"/>
                <w:b/>
                <w:color w:val="FFFFFF"/>
                <w:sz w:val="18"/>
              </w:rPr>
              <w:t>What It Does</w:t>
            </w:r>
          </w:p>
        </w:tc>
      </w:tr>
      <w:tr>
        <w:tc>
          <w:tcPr>
            <w:tcW w:type="dxa" w:w="4703"/>
            <w:shd w:val="clear" w:fill="F9F9F9" w:color="auto"/>
          </w:tcPr>
          <w:p>
            <w:r/>
            <w:r>
              <w:rPr>
                <w:rFonts w:ascii="Arial" w:hAnsi="Arial"/>
                <w:sz w:val="18"/>
              </w:rPr>
              <w:t>ImageGallery</w:t>
            </w:r>
          </w:p>
        </w:tc>
        <w:tc>
          <w:tcPr>
            <w:tcW w:type="dxa" w:w="4703"/>
            <w:shd w:val="clear" w:fill="F9F9F9" w:color="auto"/>
          </w:tcPr>
          <w:p>
            <w:r/>
            <w:r>
              <w:rPr>
                <w:rFonts w:ascii="Arial" w:hAnsi="Arial"/>
                <w:sz w:val="18"/>
              </w:rPr>
              <w:t>Displays main image + clickable thumbnail strip for additional images</w:t>
            </w:r>
          </w:p>
        </w:tc>
      </w:tr>
      <w:tr>
        <w:tc>
          <w:tcPr>
            <w:tcW w:type="dxa" w:w="4703"/>
          </w:tcPr>
          <w:p>
            <w:r/>
            <w:r>
              <w:rPr>
                <w:rFonts w:ascii="Arial" w:hAnsi="Arial"/>
                <w:sz w:val="18"/>
              </w:rPr>
              <w:t>FitmentTable</w:t>
            </w:r>
          </w:p>
        </w:tc>
        <w:tc>
          <w:tcPr>
            <w:tcW w:type="dxa" w:w="4703"/>
          </w:tcPr>
          <w:p>
            <w:r/>
            <w:r>
              <w:rPr>
                <w:rFonts w:ascii="Arial" w:hAnsi="Arial"/>
                <w:sz w:val="18"/>
              </w:rPr>
              <w:t>Queries fitment table by SKU and displays make/model/CC/year ranges, grouped and collapsed</w:t>
            </w:r>
          </w:p>
        </w:tc>
      </w:tr>
      <w:tr>
        <w:tc>
          <w:tcPr>
            <w:tcW w:type="dxa" w:w="4703"/>
            <w:shd w:val="clear" w:fill="F9F9F9" w:color="auto"/>
          </w:tcPr>
          <w:p>
            <w:r/>
            <w:r>
              <w:rPr>
                <w:rFonts w:ascii="Arial" w:hAnsi="Arial"/>
                <w:sz w:val="18"/>
              </w:rPr>
              <w:t>RichDescription</w:t>
            </w:r>
          </w:p>
        </w:tc>
        <w:tc>
          <w:tcPr>
            <w:tcW w:type="dxa" w:w="4703"/>
            <w:shd w:val="clear" w:fill="F9F9F9" w:color="auto"/>
          </w:tcPr>
          <w:p>
            <w:r/>
            <w:r>
              <w:rPr>
                <w:rFonts w:ascii="Arial" w:hAnsi="Arial"/>
                <w:sz w:val="18"/>
              </w:rPr>
              <w:t>Renders structured_description as styled sections (Box Contents, Important Info, etc.)</w:t>
            </w:r>
          </w:p>
        </w:tc>
      </w:tr>
    </w:tbl>
    <w:p/>
    <w:p>
      <w:r>
        <w:t>Additional changes: photo count badge on product cards when additional images exist, EAN displayed in product detail, weight and subcategory badges, click-outside-to-close on the modal, "Disptach" typo fixed to "Dispatch", and modal widened from max-w-4xl to max-w-5xl.</w:t>
      </w:r>
    </w:p>
    <w:p>
      <w:r>
        <w:br w:type="page"/>
      </w:r>
    </w:p>
    <w:p>
      <w:pPr>
        <w:pStyle w:val="Heading1"/>
      </w:pPr>
      <w:r>
        <w:t>What Still Needs To Be Done</w:t>
      </w:r>
    </w:p>
    <w:p>
      <w:pPr>
        <w:spacing w:before="80" w:after="80"/>
        <w:pBdr>
          <w:bottom w:val="single" w:sz="6" w:space="1" w:color="D4A017"/>
        </w:pBdr>
      </w:pPr>
    </w:p>
    <w:p>
      <w:pPr>
        <w:pStyle w:val="Heading2"/>
      </w:pPr>
      <w:r>
        <w:t>PRIORITY 1: Run the enrichment script</w:t>
      </w:r>
    </w:p>
    <w:p>
      <w:r>
        <w:t>This is the critical next step. Without running it, the new frontend features have no data to display.</w:t>
      </w:r>
    </w:p>
    <w:p>
      <w:pPr>
        <w:spacing w:before="80" w:after="80"/>
        <w:shd w:val="clear" w:fill="F5F5F5" w:color="auto"/>
      </w:pPr>
      <w:r>
        <w:rPr>
          <w:rFonts w:ascii="Consolas" w:hAnsi="Consolas"/>
          <w:color w:val="1A1A1A"/>
          <w:sz w:val="18"/>
        </w:rPr>
        <w:t>cd BL-Motorcycles-Enterprise</w:t>
        <w:br/>
        <w:t>npm install @supabase/supabase-js</w:t>
        <w:br/>
        <w:t>node scripts/enrich-cmpo-products.js</w:t>
      </w:r>
    </w:p>
    <w:p>
      <w:r>
        <w:t>This must be run from a machine with internet access to the Llexeter API (http://api.llexeter.co.uk). The Cowork sandbox was network-blocked from reaching it. After running, verify by checking a CMPO product in Supabase — the additional_images and structured_description columns should be populated.</w:t>
      </w:r>
    </w:p>
    <w:p>
      <w:pPr>
        <w:pStyle w:val="Heading2"/>
      </w:pPr>
      <w:r>
        <w:t>PRIORITY 2: Push code to GitHub</w:t>
      </w:r>
    </w:p>
    <w:p>
      <w:r>
        <w:t>The BL-Motorcycles-Enterprise folder was never added to git. The existing blwebsite repo (git@github.com:jonnyallum/blwebsite.git) contains the old Vite/React codebase. The Enterprise folder is a complete Next.js 15 rewrite. Recommended approach:</w:t>
      </w:r>
    </w:p>
    <w:p>
      <w:pPr>
        <w:spacing w:before="80" w:after="80"/>
        <w:shd w:val="clear" w:fill="F5F5F5" w:color="auto"/>
      </w:pPr>
      <w:r>
        <w:rPr>
          <w:rFonts w:ascii="Consolas" w:hAnsi="Consolas"/>
          <w:color w:val="1A1A1A"/>
          <w:sz w:val="18"/>
        </w:rPr>
        <w:t>git clone git@github.com:jonnyallum/blwebsite.git</w:t>
        <w:br/>
        <w:t>cd blwebsite</w:t>
        <w:br/>
        <w:t>git checkout -b enterprise-rebuild</w:t>
        <w:br/>
        <w:br/>
        <w:t># Remove old Vite code</w:t>
        <w:br/>
        <w:t>git rm -rf client server shared dist public_html patches \</w:t>
        <w:br/>
        <w:t xml:space="preserve">  *.json *.ts *.yaml *.py .prettierrc .prettierignore .gitkeep \</w:t>
        <w:br/>
        <w:t xml:space="preserve">  ideas.md components.json hostinger.config.json vite.config.ts</w:t>
        <w:br/>
        <w:br/>
        <w:t># Copy Enterprise code in</w:t>
        <w:br/>
        <w:t>cp -r /path/to/BL-Motorcycles-Enterprise/website/* .</w:t>
        <w:br/>
        <w:t>cp -r /path/to/BL-Motorcycles-Enterprise/scripts .</w:t>
        <w:br/>
        <w:t>cp -r /path/to/BL-Motorcycles-Enterprise/data .</w:t>
        <w:br/>
        <w:t>cp -r /path/to/BL-Motorcycles-Enterprise/n8n-workflows .</w:t>
        <w:br/>
        <w:br/>
        <w:t># IMPORTANT: Exclude secrets</w:t>
        <w:br/>
        <w:t>echo "node_modules/\n.next/\nout/\n.env\n.env.*\n.DS_Store" &gt; .gitignore</w:t>
        <w:br/>
        <w:br/>
        <w:t>git add -A</w:t>
        <w:br/>
        <w:t>git commit -m "Enterprise rebuild: Next.js 15, enriched CMPO listings"</w:t>
        <w:br/>
        <w:t>git push -u origin enterprise-rebuild</w:t>
      </w:r>
    </w:p>
    <w:p>
      <w:r>
        <w:t>CRITICAL: The .env file in BL-Motorcycles-Enterprise contains all supplier credentials, Supabase keys, eBay tokens, and CMPO login passwords. It must NEVER be committed to git.</w:t>
      </w:r>
    </w:p>
    <w:p>
      <w:pPr>
        <w:pStyle w:val="Heading2"/>
      </w:pPr>
      <w:r>
        <w:t>PRIORITY 3: Deploy updated frontend</w:t>
      </w:r>
    </w:p>
    <w:p>
      <w:r>
        <w:t>After pushing to GitHub and merging, the updated shop/page.tsx needs to be deployed. The site currently runs on Next.js 15 — redeploy however the hosting is configured (likely Vercel or static export to Hostinger).</w:t>
      </w:r>
    </w:p>
    <w:p>
      <w:pPr>
        <w:pStyle w:val="Heading3"/>
      </w:pPr>
      <w:r>
        <w:t>Optional: Schedule periodic re-enrichment</w:t>
      </w:r>
    </w:p>
    <w:p>
      <w:r>
        <w:t>The enrichment script supports --force to re-pull all data. Consider running it weekly to catch new products, updated fitment data, and discontinued items. A cron job or n8n workflow would work well for this.</w:t>
      </w:r>
    </w:p>
    <w:p>
      <w:r>
        <w:br w:type="page"/>
      </w:r>
    </w:p>
    <w:p>
      <w:pPr>
        <w:pStyle w:val="Heading1"/>
      </w:pPr>
      <w:r>
        <w:t>Architecture Reference</w:t>
      </w:r>
    </w:p>
    <w:p>
      <w:pPr>
        <w:spacing w:before="80" w:after="80"/>
        <w:pBdr>
          <w:bottom w:val="single" w:sz="6" w:space="1" w:color="D4A017"/>
        </w:pBdr>
      </w:pPr>
    </w:p>
    <w:p>
      <w:pPr>
        <w:pStyle w:val="Heading2"/>
      </w:pPr>
      <w:r>
        <w:t>Tech Stack</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1A1A1A" w:color="auto"/>
          </w:tcPr>
          <w:p>
            <w:r/>
            <w:r>
              <w:rPr>
                <w:rFonts w:ascii="Arial" w:hAnsi="Arial"/>
                <w:b/>
                <w:color w:val="FFFFFF"/>
                <w:sz w:val="18"/>
              </w:rPr>
              <w:t>Layer</w:t>
            </w:r>
          </w:p>
        </w:tc>
        <w:tc>
          <w:tcPr>
            <w:tcW w:type="dxa" w:w="3135"/>
            <w:shd w:val="clear" w:fill="1A1A1A" w:color="auto"/>
          </w:tcPr>
          <w:p>
            <w:r/>
            <w:r>
              <w:rPr>
                <w:rFonts w:ascii="Arial" w:hAnsi="Arial"/>
                <w:b/>
                <w:color w:val="FFFFFF"/>
                <w:sz w:val="18"/>
              </w:rPr>
              <w:t>Technology</w:t>
            </w:r>
          </w:p>
        </w:tc>
        <w:tc>
          <w:tcPr>
            <w:tcW w:type="dxa" w:w="3135"/>
            <w:shd w:val="clear" w:fill="1A1A1A" w:color="auto"/>
          </w:tcPr>
          <w:p>
            <w:r/>
            <w:r>
              <w:rPr>
                <w:rFonts w:ascii="Arial" w:hAnsi="Arial"/>
                <w:b/>
                <w:color w:val="FFFFFF"/>
                <w:sz w:val="18"/>
              </w:rPr>
              <w:t>Notes</w:t>
            </w:r>
          </w:p>
        </w:tc>
      </w:tr>
      <w:tr>
        <w:tc>
          <w:tcPr>
            <w:tcW w:type="dxa" w:w="3135"/>
            <w:shd w:val="clear" w:fill="F9F9F9" w:color="auto"/>
          </w:tcPr>
          <w:p>
            <w:r/>
            <w:r>
              <w:rPr>
                <w:rFonts w:ascii="Arial" w:hAnsi="Arial"/>
                <w:sz w:val="18"/>
              </w:rPr>
              <w:t>Frontend</w:t>
            </w:r>
          </w:p>
        </w:tc>
        <w:tc>
          <w:tcPr>
            <w:tcW w:type="dxa" w:w="3135"/>
            <w:shd w:val="clear" w:fill="F9F9F9" w:color="auto"/>
          </w:tcPr>
          <w:p>
            <w:r/>
            <w:r>
              <w:rPr>
                <w:rFonts w:ascii="Arial" w:hAnsi="Arial"/>
                <w:sz w:val="18"/>
              </w:rPr>
              <w:t>Next.js 15 / React 19 / Tailwind CSS</w:t>
            </w:r>
          </w:p>
        </w:tc>
        <w:tc>
          <w:tcPr>
            <w:tcW w:type="dxa" w:w="3135"/>
            <w:shd w:val="clear" w:fill="F9F9F9" w:color="auto"/>
          </w:tcPr>
          <w:p>
            <w:r/>
            <w:r>
              <w:rPr>
                <w:rFonts w:ascii="Arial" w:hAnsi="Arial"/>
                <w:sz w:val="18"/>
              </w:rPr>
              <w:t>Static export, client-side rendering</w:t>
            </w:r>
          </w:p>
        </w:tc>
      </w:tr>
      <w:tr>
        <w:tc>
          <w:tcPr>
            <w:tcW w:type="dxa" w:w="3135"/>
          </w:tcPr>
          <w:p>
            <w:r/>
            <w:r>
              <w:rPr>
                <w:rFonts w:ascii="Arial" w:hAnsi="Arial"/>
                <w:sz w:val="18"/>
              </w:rPr>
              <w:t>Database</w:t>
            </w:r>
          </w:p>
        </w:tc>
        <w:tc>
          <w:tcPr>
            <w:tcW w:type="dxa" w:w="3135"/>
          </w:tcPr>
          <w:p>
            <w:r/>
            <w:r>
              <w:rPr>
                <w:rFonts w:ascii="Arial" w:hAnsi="Arial"/>
                <w:sz w:val="18"/>
              </w:rPr>
              <w:t>Supabase (PostgreSQL)</w:t>
            </w:r>
          </w:p>
        </w:tc>
        <w:tc>
          <w:tcPr>
            <w:tcW w:type="dxa" w:w="3135"/>
          </w:tcPr>
          <w:p>
            <w:r/>
            <w:r>
              <w:rPr>
                <w:rFonts w:ascii="Arial" w:hAnsi="Arial"/>
                <w:sz w:val="18"/>
              </w:rPr>
              <w:t>Project: ddjuoeyaoxllockcusgf, Region: eu-west-2</w:t>
            </w:r>
          </w:p>
        </w:tc>
      </w:tr>
      <w:tr>
        <w:tc>
          <w:tcPr>
            <w:tcW w:type="dxa" w:w="3135"/>
            <w:shd w:val="clear" w:fill="F9F9F9" w:color="auto"/>
          </w:tcPr>
          <w:p>
            <w:r/>
            <w:r>
              <w:rPr>
                <w:rFonts w:ascii="Arial" w:hAnsi="Arial"/>
                <w:sz w:val="18"/>
              </w:rPr>
              <w:t>Payments</w:t>
            </w:r>
          </w:p>
        </w:tc>
        <w:tc>
          <w:tcPr>
            <w:tcW w:type="dxa" w:w="3135"/>
            <w:shd w:val="clear" w:fill="F9F9F9" w:color="auto"/>
          </w:tcPr>
          <w:p>
            <w:r/>
            <w:r>
              <w:rPr>
                <w:rFonts w:ascii="Arial" w:hAnsi="Arial"/>
                <w:sz w:val="18"/>
              </w:rPr>
              <w:t>Stripe</w:t>
            </w:r>
          </w:p>
        </w:tc>
        <w:tc>
          <w:tcPr>
            <w:tcW w:type="dxa" w:w="3135"/>
            <w:shd w:val="clear" w:fill="F9F9F9" w:color="auto"/>
          </w:tcPr>
          <w:p>
            <w:r/>
            <w:r>
              <w:rPr>
                <w:rFonts w:ascii="Arial" w:hAnsi="Arial"/>
                <w:sz w:val="18"/>
              </w:rPr>
              <w:t>Checkout via Supabase Edge Function</w:t>
            </w:r>
          </w:p>
        </w:tc>
      </w:tr>
      <w:tr>
        <w:tc>
          <w:tcPr>
            <w:tcW w:type="dxa" w:w="3135"/>
          </w:tcPr>
          <w:p>
            <w:r/>
            <w:r>
              <w:rPr>
                <w:rFonts w:ascii="Arial" w:hAnsi="Arial"/>
                <w:sz w:val="18"/>
              </w:rPr>
              <w:t>Animations</w:t>
            </w:r>
          </w:p>
        </w:tc>
        <w:tc>
          <w:tcPr>
            <w:tcW w:type="dxa" w:w="3135"/>
          </w:tcPr>
          <w:p>
            <w:r/>
            <w:r>
              <w:rPr>
                <w:rFonts w:ascii="Arial" w:hAnsi="Arial"/>
                <w:sz w:val="18"/>
              </w:rPr>
              <w:t>Framer Motion</w:t>
            </w:r>
          </w:p>
        </w:tc>
        <w:tc>
          <w:tcPr>
            <w:tcW w:type="dxa" w:w="3135"/>
          </w:tcPr>
          <w:p>
            <w:r/>
            <w:r>
              <w:rPr>
                <w:rFonts w:ascii="Arial" w:hAnsi="Arial"/>
                <w:sz w:val="18"/>
              </w:rPr>
              <w:t>Page transitions, hover effects</w:t>
            </w:r>
          </w:p>
        </w:tc>
      </w:tr>
      <w:tr>
        <w:tc>
          <w:tcPr>
            <w:tcW w:type="dxa" w:w="3135"/>
            <w:shd w:val="clear" w:fill="F9F9F9" w:color="auto"/>
          </w:tcPr>
          <w:p>
            <w:r/>
            <w:r>
              <w:rPr>
                <w:rFonts w:ascii="Arial" w:hAnsi="Arial"/>
                <w:sz w:val="18"/>
              </w:rPr>
              <w:t>Icons</w:t>
            </w:r>
          </w:p>
        </w:tc>
        <w:tc>
          <w:tcPr>
            <w:tcW w:type="dxa" w:w="3135"/>
            <w:shd w:val="clear" w:fill="F9F9F9" w:color="auto"/>
          </w:tcPr>
          <w:p>
            <w:r/>
            <w:r>
              <w:rPr>
                <w:rFonts w:ascii="Arial" w:hAnsi="Arial"/>
                <w:sz w:val="18"/>
              </w:rPr>
              <w:t>Lucide React</w:t>
            </w:r>
          </w:p>
        </w:tc>
        <w:tc>
          <w:tcPr>
            <w:tcW w:type="dxa" w:w="3135"/>
            <w:shd w:val="clear" w:fill="F9F9F9" w:color="auto"/>
          </w:tcPr>
          <w:p>
            <w:r/>
            <w:r>
              <w:rPr>
                <w:rFonts w:ascii="Arial" w:hAnsi="Arial"/>
                <w:sz w:val="18"/>
              </w:rPr>
              <w:t>Consistent icon set throughout</w:t>
            </w:r>
          </w:p>
        </w:tc>
      </w:tr>
      <w:tr>
        <w:tc>
          <w:tcPr>
            <w:tcW w:type="dxa" w:w="3135"/>
          </w:tcPr>
          <w:p>
            <w:r/>
            <w:r>
              <w:rPr>
                <w:rFonts w:ascii="Arial" w:hAnsi="Arial"/>
                <w:sz w:val="18"/>
              </w:rPr>
              <w:t>Suppliers</w:t>
            </w:r>
          </w:p>
        </w:tc>
        <w:tc>
          <w:tcPr>
            <w:tcW w:type="dxa" w:w="3135"/>
          </w:tcPr>
          <w:p>
            <w:r/>
            <w:r>
              <w:rPr>
                <w:rFonts w:ascii="Arial" w:hAnsi="Arial"/>
                <w:sz w:val="18"/>
              </w:rPr>
              <w:t>CMPO/Llexeter + Bike It</w:t>
            </w:r>
          </w:p>
        </w:tc>
        <w:tc>
          <w:tcPr>
            <w:tcW w:type="dxa" w:w="3135"/>
          </w:tcPr>
          <w:p>
            <w:r/>
            <w:r>
              <w:rPr>
                <w:rFonts w:ascii="Arial" w:hAnsi="Arial"/>
                <w:sz w:val="18"/>
              </w:rPr>
              <w:t>Two dropship suppliers</w:t>
            </w:r>
          </w:p>
        </w:tc>
      </w:tr>
    </w:tbl>
    <w:p>
      <w:pPr>
        <w:pStyle w:val="Heading2"/>
      </w:pPr>
      <w:r>
        <w:t>Key Files</w:t>
      </w:r>
    </w:p>
    <w:tbl>
      <w:tblPr>
        <w:tblStyle w:val="TableGrid"/>
        <w:tblW w:type="auto" w:w="0"/>
        <w:jc w:val="center"/>
        <w:tblLook w:firstColumn="1" w:firstRow="1" w:lastColumn="0" w:lastRow="0" w:noHBand="0" w:noVBand="1" w:val="04A0"/>
      </w:tblPr>
      <w:tblGrid>
        <w:gridCol w:w="4703"/>
        <w:gridCol w:w="4703"/>
      </w:tblGrid>
      <w:tr>
        <w:tc>
          <w:tcPr>
            <w:tcW w:type="dxa" w:w="4703"/>
            <w:shd w:val="clear" w:fill="1A1A1A" w:color="auto"/>
          </w:tcPr>
          <w:p>
            <w:r/>
            <w:r>
              <w:rPr>
                <w:rFonts w:ascii="Arial" w:hAnsi="Arial"/>
                <w:b/>
                <w:color w:val="FFFFFF"/>
                <w:sz w:val="18"/>
              </w:rPr>
              <w:t>File</w:t>
            </w:r>
          </w:p>
        </w:tc>
        <w:tc>
          <w:tcPr>
            <w:tcW w:type="dxa" w:w="4703"/>
            <w:shd w:val="clear" w:fill="1A1A1A" w:color="auto"/>
          </w:tcPr>
          <w:p>
            <w:r/>
            <w:r>
              <w:rPr>
                <w:rFonts w:ascii="Arial" w:hAnsi="Arial"/>
                <w:b/>
                <w:color w:val="FFFFFF"/>
                <w:sz w:val="18"/>
              </w:rPr>
              <w:t>Purpose</w:t>
            </w:r>
          </w:p>
        </w:tc>
      </w:tr>
      <w:tr>
        <w:tc>
          <w:tcPr>
            <w:tcW w:type="dxa" w:w="4703"/>
            <w:shd w:val="clear" w:fill="F9F9F9" w:color="auto"/>
          </w:tcPr>
          <w:p>
            <w:r/>
            <w:r>
              <w:rPr>
                <w:rFonts w:ascii="Arial" w:hAnsi="Arial"/>
                <w:sz w:val="18"/>
              </w:rPr>
              <w:t>website/app/shop/page.tsx</w:t>
            </w:r>
          </w:p>
        </w:tc>
        <w:tc>
          <w:tcPr>
            <w:tcW w:type="dxa" w:w="4703"/>
            <w:shd w:val="clear" w:fill="F9F9F9" w:color="auto"/>
          </w:tcPr>
          <w:p>
            <w:r/>
            <w:r>
              <w:rPr>
                <w:rFonts w:ascii="Arial" w:hAnsi="Arial"/>
                <w:sz w:val="18"/>
              </w:rPr>
              <w:t>Main shop page — product grid, search, modal, checkout</w:t>
            </w:r>
          </w:p>
        </w:tc>
      </w:tr>
      <w:tr>
        <w:tc>
          <w:tcPr>
            <w:tcW w:type="dxa" w:w="4703"/>
          </w:tcPr>
          <w:p>
            <w:r/>
            <w:r>
              <w:rPr>
                <w:rFonts w:ascii="Arial" w:hAnsi="Arial"/>
                <w:sz w:val="18"/>
              </w:rPr>
              <w:t>website/app/admin/page.tsx</w:t>
            </w:r>
          </w:p>
        </w:tc>
        <w:tc>
          <w:tcPr>
            <w:tcW w:type="dxa" w:w="4703"/>
          </w:tcPr>
          <w:p>
            <w:r/>
            <w:r>
              <w:rPr>
                <w:rFonts w:ascii="Arial" w:hAnsi="Arial"/>
                <w:sz w:val="18"/>
              </w:rPr>
              <w:t>Admin dashboard — orders, inventory, supplier management</w:t>
            </w:r>
          </w:p>
        </w:tc>
      </w:tr>
      <w:tr>
        <w:tc>
          <w:tcPr>
            <w:tcW w:type="dxa" w:w="4703"/>
            <w:shd w:val="clear" w:fill="F9F9F9" w:color="auto"/>
          </w:tcPr>
          <w:p>
            <w:r/>
            <w:r>
              <w:rPr>
                <w:rFonts w:ascii="Arial" w:hAnsi="Arial"/>
                <w:sz w:val="18"/>
              </w:rPr>
              <w:t>website/app/page.tsx</w:t>
            </w:r>
          </w:p>
        </w:tc>
        <w:tc>
          <w:tcPr>
            <w:tcW w:type="dxa" w:w="4703"/>
            <w:shd w:val="clear" w:fill="F9F9F9" w:color="auto"/>
          </w:tcPr>
          <w:p>
            <w:r/>
            <w:r>
              <w:rPr>
                <w:rFonts w:ascii="Arial" w:hAnsi="Arial"/>
                <w:sz w:val="18"/>
              </w:rPr>
              <w:t>Homepage</w:t>
            </w:r>
          </w:p>
        </w:tc>
      </w:tr>
      <w:tr>
        <w:tc>
          <w:tcPr>
            <w:tcW w:type="dxa" w:w="4703"/>
          </w:tcPr>
          <w:p>
            <w:r/>
            <w:r>
              <w:rPr>
                <w:rFonts w:ascii="Arial" w:hAnsi="Arial"/>
                <w:sz w:val="18"/>
              </w:rPr>
              <w:t>website/components/Navbar.tsx</w:t>
            </w:r>
          </w:p>
        </w:tc>
        <w:tc>
          <w:tcPr>
            <w:tcW w:type="dxa" w:w="4703"/>
          </w:tcPr>
          <w:p>
            <w:r/>
            <w:r>
              <w:rPr>
                <w:rFonts w:ascii="Arial" w:hAnsi="Arial"/>
                <w:sz w:val="18"/>
              </w:rPr>
              <w:t>Shared navigation component</w:t>
            </w:r>
          </w:p>
        </w:tc>
      </w:tr>
      <w:tr>
        <w:tc>
          <w:tcPr>
            <w:tcW w:type="dxa" w:w="4703"/>
            <w:shd w:val="clear" w:fill="F9F9F9" w:color="auto"/>
          </w:tcPr>
          <w:p>
            <w:r/>
            <w:r>
              <w:rPr>
                <w:rFonts w:ascii="Arial" w:hAnsi="Arial"/>
                <w:sz w:val="18"/>
              </w:rPr>
              <w:t>scripts/enrich-cmpo-products.js</w:t>
            </w:r>
          </w:p>
        </w:tc>
        <w:tc>
          <w:tcPr>
            <w:tcW w:type="dxa" w:w="4703"/>
            <w:shd w:val="clear" w:fill="F9F9F9" w:color="auto"/>
          </w:tcPr>
          <w:p>
            <w:r/>
            <w:r>
              <w:rPr>
                <w:rFonts w:ascii="Arial" w:hAnsi="Arial"/>
                <w:sz w:val="18"/>
              </w:rPr>
              <w:t>CMPO product enrichment (NEW)</w:t>
            </w:r>
          </w:p>
        </w:tc>
      </w:tr>
      <w:tr>
        <w:tc>
          <w:tcPr>
            <w:tcW w:type="dxa" w:w="4703"/>
          </w:tcPr>
          <w:p>
            <w:r/>
            <w:r>
              <w:rPr>
                <w:rFonts w:ascii="Arial" w:hAnsi="Arial"/>
                <w:sz w:val="18"/>
              </w:rPr>
              <w:t>supabase/functions/stripe-checkout/index.ts</w:t>
            </w:r>
          </w:p>
        </w:tc>
        <w:tc>
          <w:tcPr>
            <w:tcW w:type="dxa" w:w="4703"/>
          </w:tcPr>
          <w:p>
            <w:r/>
            <w:r>
              <w:rPr>
                <w:rFonts w:ascii="Arial" w:hAnsi="Arial"/>
                <w:sz w:val="18"/>
              </w:rPr>
              <w:t>Stripe checkout Edge Function</w:t>
            </w:r>
          </w:p>
        </w:tc>
      </w:tr>
    </w:tbl>
    <w:p>
      <w:pPr>
        <w:pStyle w:val="Heading2"/>
      </w:pPr>
      <w:r>
        <w:t>Database Tables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1A1A1A" w:color="auto"/>
          </w:tcPr>
          <w:p>
            <w:r/>
            <w:r>
              <w:rPr>
                <w:rFonts w:ascii="Arial" w:hAnsi="Arial"/>
                <w:b/>
                <w:color w:val="FFFFFF"/>
                <w:sz w:val="18"/>
              </w:rPr>
              <w:t>Table</w:t>
            </w:r>
          </w:p>
        </w:tc>
        <w:tc>
          <w:tcPr>
            <w:tcW w:type="dxa" w:w="3135"/>
            <w:shd w:val="clear" w:fill="1A1A1A" w:color="auto"/>
          </w:tcPr>
          <w:p>
            <w:r/>
            <w:r>
              <w:rPr>
                <w:rFonts w:ascii="Arial" w:hAnsi="Arial"/>
                <w:b/>
                <w:color w:val="FFFFFF"/>
                <w:sz w:val="18"/>
              </w:rPr>
              <w:t>Rows</w:t>
            </w:r>
          </w:p>
        </w:tc>
        <w:tc>
          <w:tcPr>
            <w:tcW w:type="dxa" w:w="3135"/>
            <w:shd w:val="clear" w:fill="1A1A1A" w:color="auto"/>
          </w:tcPr>
          <w:p>
            <w:r/>
            <w:r>
              <w:rPr>
                <w:rFonts w:ascii="Arial" w:hAnsi="Arial"/>
                <w:b/>
                <w:color w:val="FFFFFF"/>
                <w:sz w:val="18"/>
              </w:rPr>
              <w:t>Purpose</w:t>
            </w:r>
          </w:p>
        </w:tc>
      </w:tr>
      <w:tr>
        <w:tc>
          <w:tcPr>
            <w:tcW w:type="dxa" w:w="3135"/>
            <w:shd w:val="clear" w:fill="F9F9F9" w:color="auto"/>
          </w:tcPr>
          <w:p>
            <w:r/>
            <w:r>
              <w:rPr>
                <w:rFonts w:ascii="Arial" w:hAnsi="Arial"/>
                <w:sz w:val="18"/>
              </w:rPr>
              <w:t>products</w:t>
            </w:r>
          </w:p>
        </w:tc>
        <w:tc>
          <w:tcPr>
            <w:tcW w:type="dxa" w:w="3135"/>
            <w:shd w:val="clear" w:fill="F9F9F9" w:color="auto"/>
          </w:tcPr>
          <w:p>
            <w:r/>
            <w:r>
              <w:rPr>
                <w:rFonts w:ascii="Arial" w:hAnsi="Arial"/>
                <w:sz w:val="18"/>
              </w:rPr>
              <w:t>11,834</w:t>
            </w:r>
          </w:p>
        </w:tc>
        <w:tc>
          <w:tcPr>
            <w:tcW w:type="dxa" w:w="3135"/>
            <w:shd w:val="clear" w:fill="F9F9F9" w:color="auto"/>
          </w:tcPr>
          <w:p>
            <w:r/>
            <w:r>
              <w:rPr>
                <w:rFonts w:ascii="Arial" w:hAnsi="Arial"/>
                <w:sz w:val="18"/>
              </w:rPr>
              <w:t>All products (BIKEIT + CMPO/LLEXETER)</w:t>
            </w:r>
          </w:p>
        </w:tc>
      </w:tr>
      <w:tr>
        <w:tc>
          <w:tcPr>
            <w:tcW w:type="dxa" w:w="3135"/>
          </w:tcPr>
          <w:p>
            <w:r/>
            <w:r>
              <w:rPr>
                <w:rFonts w:ascii="Arial" w:hAnsi="Arial"/>
                <w:sz w:val="18"/>
              </w:rPr>
              <w:t>fitment</w:t>
            </w:r>
          </w:p>
        </w:tc>
        <w:tc>
          <w:tcPr>
            <w:tcW w:type="dxa" w:w="3135"/>
          </w:tcPr>
          <w:p>
            <w:r/>
            <w:r>
              <w:rPr>
                <w:rFonts w:ascii="Arial" w:hAnsi="Arial"/>
                <w:sz w:val="18"/>
              </w:rPr>
              <w:t>141,839</w:t>
            </w:r>
          </w:p>
        </w:tc>
        <w:tc>
          <w:tcPr>
            <w:tcW w:type="dxa" w:w="3135"/>
          </w:tcPr>
          <w:p>
            <w:r/>
            <w:r>
              <w:rPr>
                <w:rFonts w:ascii="Arial" w:hAnsi="Arial"/>
                <w:sz w:val="18"/>
              </w:rPr>
              <w:t>Bike compatibility data (currently BIKEIT only — CMPO pending enrichment)</w:t>
            </w:r>
          </w:p>
        </w:tc>
      </w:tr>
      <w:tr>
        <w:tc>
          <w:tcPr>
            <w:tcW w:type="dxa" w:w="3135"/>
            <w:shd w:val="clear" w:fill="F9F9F9" w:color="auto"/>
          </w:tcPr>
          <w:p>
            <w:r/>
            <w:r>
              <w:rPr>
                <w:rFonts w:ascii="Arial" w:hAnsi="Arial"/>
                <w:sz w:val="18"/>
              </w:rPr>
              <w:t>orders</w:t>
            </w:r>
          </w:p>
        </w:tc>
        <w:tc>
          <w:tcPr>
            <w:tcW w:type="dxa" w:w="3135"/>
            <w:shd w:val="clear" w:fill="F9F9F9" w:color="auto"/>
          </w:tcPr>
          <w:p>
            <w:r/>
            <w:r>
              <w:rPr>
                <w:rFonts w:ascii="Arial" w:hAnsi="Arial"/>
                <w:sz w:val="18"/>
              </w:rPr>
              <w:t>27</w:t>
            </w:r>
          </w:p>
        </w:tc>
        <w:tc>
          <w:tcPr>
            <w:tcW w:type="dxa" w:w="3135"/>
            <w:shd w:val="clear" w:fill="F9F9F9" w:color="auto"/>
          </w:tcPr>
          <w:p>
            <w:r/>
            <w:r>
              <w:rPr>
                <w:rFonts w:ascii="Arial" w:hAnsi="Arial"/>
                <w:sz w:val="18"/>
              </w:rPr>
              <w:t>Customer orders across all channels</w:t>
            </w:r>
          </w:p>
        </w:tc>
      </w:tr>
      <w:tr>
        <w:tc>
          <w:tcPr>
            <w:tcW w:type="dxa" w:w="3135"/>
          </w:tcPr>
          <w:p>
            <w:r/>
            <w:r>
              <w:rPr>
                <w:rFonts w:ascii="Arial" w:hAnsi="Arial"/>
                <w:sz w:val="18"/>
              </w:rPr>
              <w:t>customer_emails</w:t>
            </w:r>
          </w:p>
        </w:tc>
        <w:tc>
          <w:tcPr>
            <w:tcW w:type="dxa" w:w="3135"/>
          </w:tcPr>
          <w:p>
            <w:r/>
            <w:r>
              <w:rPr>
                <w:rFonts w:ascii="Arial" w:hAnsi="Arial"/>
                <w:sz w:val="18"/>
              </w:rPr>
              <w:t>0</w:t>
            </w:r>
          </w:p>
        </w:tc>
        <w:tc>
          <w:tcPr>
            <w:tcW w:type="dxa" w:w="3135"/>
          </w:tcPr>
          <w:p>
            <w:r/>
            <w:r>
              <w:rPr>
                <w:rFonts w:ascii="Arial" w:hAnsi="Arial"/>
                <w:sz w:val="18"/>
              </w:rPr>
              <w:t>Email tracking (dispatch confirmations, reviews, upsells)</w:t>
            </w:r>
          </w:p>
        </w:tc>
      </w:tr>
      <w:tr>
        <w:tc>
          <w:tcPr>
            <w:tcW w:type="dxa" w:w="3135"/>
            <w:shd w:val="clear" w:fill="F9F9F9" w:color="auto"/>
          </w:tcPr>
          <w:p>
            <w:r/>
            <w:r>
              <w:rPr>
                <w:rFonts w:ascii="Arial" w:hAnsi="Arial"/>
                <w:sz w:val="18"/>
              </w:rPr>
              <w:t>mailing_list</w:t>
            </w:r>
          </w:p>
        </w:tc>
        <w:tc>
          <w:tcPr>
            <w:tcW w:type="dxa" w:w="3135"/>
            <w:shd w:val="clear" w:fill="F9F9F9" w:color="auto"/>
          </w:tcPr>
          <w:p>
            <w:r/>
            <w:r>
              <w:rPr>
                <w:rFonts w:ascii="Arial" w:hAnsi="Arial"/>
                <w:sz w:val="18"/>
              </w:rPr>
              <w:t>0</w:t>
            </w:r>
          </w:p>
        </w:tc>
        <w:tc>
          <w:tcPr>
            <w:tcW w:type="dxa" w:w="3135"/>
            <w:shd w:val="clear" w:fill="F9F9F9" w:color="auto"/>
          </w:tcPr>
          <w:p>
            <w:r/>
            <w:r>
              <w:rPr>
                <w:rFonts w:ascii="Arial" w:hAnsi="Arial"/>
                <w:sz w:val="18"/>
              </w:rPr>
              <w:t>Newsletter subscribers</w:t>
            </w:r>
          </w:p>
        </w:tc>
      </w:tr>
    </w:tbl>
    <w:p>
      <w:pPr>
        <w:pStyle w:val="Heading2"/>
      </w:pPr>
      <w:r>
        <w:t>Llexeter API Reference</w:t>
      </w:r>
    </w:p>
    <w:p>
      <w:r>
        <w:t>Base URL: http://api.llexeter.co.uk — No authentication required.</w:t>
      </w:r>
    </w:p>
    <w:tbl>
      <w:tblPr>
        <w:tblStyle w:val="TableGrid"/>
        <w:tblW w:type="auto" w:w="0"/>
        <w:jc w:val="center"/>
        <w:tblLook w:firstColumn="1" w:firstRow="1" w:lastColumn="0" w:lastRow="0" w:noHBand="0" w:noVBand="1" w:val="04A0"/>
      </w:tblPr>
      <w:tblGrid>
        <w:gridCol w:w="4703"/>
        <w:gridCol w:w="4703"/>
      </w:tblGrid>
      <w:tr>
        <w:tc>
          <w:tcPr>
            <w:tcW w:type="dxa" w:w="4703"/>
            <w:shd w:val="clear" w:fill="1A1A1A" w:color="auto"/>
          </w:tcPr>
          <w:p>
            <w:r/>
            <w:r>
              <w:rPr>
                <w:rFonts w:ascii="Arial" w:hAnsi="Arial"/>
                <w:b/>
                <w:color w:val="FFFFFF"/>
                <w:sz w:val="18"/>
              </w:rPr>
              <w:t>Endpoint</w:t>
            </w:r>
          </w:p>
        </w:tc>
        <w:tc>
          <w:tcPr>
            <w:tcW w:type="dxa" w:w="4703"/>
            <w:shd w:val="clear" w:fill="1A1A1A" w:color="auto"/>
          </w:tcPr>
          <w:p>
            <w:r/>
            <w:r>
              <w:rPr>
                <w:rFonts w:ascii="Arial" w:hAnsi="Arial"/>
                <w:b/>
                <w:color w:val="FFFFFF"/>
                <w:sz w:val="18"/>
              </w:rPr>
              <w:t>Returns</w:t>
            </w:r>
          </w:p>
        </w:tc>
      </w:tr>
      <w:tr>
        <w:tc>
          <w:tcPr>
            <w:tcW w:type="dxa" w:w="4703"/>
            <w:shd w:val="clear" w:fill="F9F9F9" w:color="auto"/>
          </w:tcPr>
          <w:p>
            <w:r/>
            <w:r>
              <w:rPr>
                <w:rFonts w:ascii="Arial" w:hAnsi="Arial"/>
                <w:sz w:val="18"/>
              </w:rPr>
              <w:t>/code/{sku}</w:t>
            </w:r>
          </w:p>
        </w:tc>
        <w:tc>
          <w:tcPr>
            <w:tcW w:type="dxa" w:w="4703"/>
            <w:shd w:val="clear" w:fill="F9F9F9" w:color="auto"/>
          </w:tcPr>
          <w:p>
            <w:r/>
            <w:r>
              <w:rPr>
                <w:rFonts w:ascii="Arial" w:hAnsi="Arial"/>
                <w:sz w:val="18"/>
              </w:rPr>
              <w:t>Full product data: images[], desc{}, weight, ean, category, subcategory, stock, price</w:t>
            </w:r>
          </w:p>
        </w:tc>
      </w:tr>
      <w:tr>
        <w:tc>
          <w:tcPr>
            <w:tcW w:type="dxa" w:w="4703"/>
          </w:tcPr>
          <w:p>
            <w:r/>
            <w:r>
              <w:rPr>
                <w:rFonts w:ascii="Arial" w:hAnsi="Arial"/>
                <w:sz w:val="18"/>
              </w:rPr>
              <w:t>/compatibility/{sku}</w:t>
            </w:r>
          </w:p>
        </w:tc>
        <w:tc>
          <w:tcPr>
            <w:tcW w:type="dxa" w:w="4703"/>
          </w:tcPr>
          <w:p>
            <w:r/>
            <w:r>
              <w:rPr>
                <w:rFonts w:ascii="Arial" w:hAnsi="Arial"/>
                <w:sz w:val="18"/>
              </w:rPr>
              <w:t>Array of compatible bikes: make, model, cc, year_start, year_end</w:t>
            </w:r>
          </w:p>
        </w:tc>
      </w:tr>
      <w:tr>
        <w:tc>
          <w:tcPr>
            <w:tcW w:type="dxa" w:w="4703"/>
            <w:shd w:val="clear" w:fill="F9F9F9" w:color="auto"/>
          </w:tcPr>
          <w:p>
            <w:r/>
            <w:r>
              <w:rPr>
                <w:rFonts w:ascii="Arial" w:hAnsi="Arial"/>
                <w:sz w:val="18"/>
              </w:rPr>
              <w:t>/list</w:t>
            </w:r>
          </w:p>
        </w:tc>
        <w:tc>
          <w:tcPr>
            <w:tcW w:type="dxa" w:w="4703"/>
            <w:shd w:val="clear" w:fill="F9F9F9" w:color="auto"/>
          </w:tcPr>
          <w:p>
            <w:r/>
            <w:r>
              <w:rPr>
                <w:rFonts w:ascii="Arial" w:hAnsi="Arial"/>
                <w:sz w:val="18"/>
              </w:rPr>
              <w:t>All part codes in catalogue</w:t>
            </w:r>
          </w:p>
        </w:tc>
      </w:tr>
      <w:tr>
        <w:tc>
          <w:tcPr>
            <w:tcW w:type="dxa" w:w="4703"/>
          </w:tcPr>
          <w:p>
            <w:r/>
            <w:r>
              <w:rPr>
                <w:rFonts w:ascii="Arial" w:hAnsi="Arial"/>
                <w:sz w:val="18"/>
              </w:rPr>
              <w:t>/stocklist</w:t>
            </w:r>
          </w:p>
        </w:tc>
        <w:tc>
          <w:tcPr>
            <w:tcW w:type="dxa" w:w="4703"/>
          </w:tcPr>
          <w:p>
            <w:r/>
            <w:r>
              <w:rPr>
                <w:rFonts w:ascii="Arial" w:hAnsi="Arial"/>
                <w:sz w:val="18"/>
              </w:rPr>
              <w:t>Stock levels keyed by part code (rate limit: 1 call per 30 min)</w:t>
            </w:r>
          </w:p>
        </w:tc>
      </w:tr>
    </w:tbl>
    <w:p>
      <w:pPr>
        <w:pStyle w:val="Heading2"/>
      </w:pPr>
      <w:r>
        <w:t>Supplier ID Mapping</w:t>
      </w:r>
    </w:p>
    <w:p>
      <w:r>
        <w:t>In the products table, supplier_id uses internal codes. Both "CMPO" and "LLEXETER" refer to the same supplier (CMPO Parts / Llexeter Ltd). The frontend maps these to display "CMPO" to customers. "BIKEIT" is the other supplier (Bike It Ltd).</w:t>
      </w:r>
    </w:p>
    <w:p>
      <w:r>
        <w:br w:type="page"/>
      </w:r>
    </w:p>
    <w:p>
      <w:pPr>
        <w:pStyle w:val="Heading1"/>
      </w:pPr>
      <w:r>
        <w:t>Known Issues &amp; Gotchas</w:t>
      </w:r>
    </w:p>
    <w:p>
      <w:pPr>
        <w:spacing w:before="80" w:after="80"/>
        <w:pBdr>
          <w:bottom w:val="single" w:sz="6" w:space="1" w:color="D4A017"/>
        </w:pBdr>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fill="1A1A1A" w:color="auto"/>
          </w:tcPr>
          <w:p>
            <w:r/>
            <w:r>
              <w:rPr>
                <w:rFonts w:ascii="Arial" w:hAnsi="Arial"/>
                <w:b/>
                <w:color w:val="FFFFFF"/>
                <w:sz w:val="18"/>
              </w:rPr>
              <w:t>Issue</w:t>
            </w:r>
          </w:p>
        </w:tc>
        <w:tc>
          <w:tcPr>
            <w:tcW w:type="dxa" w:w="3135"/>
            <w:shd w:val="clear" w:fill="1A1A1A" w:color="auto"/>
          </w:tcPr>
          <w:p>
            <w:r/>
            <w:r>
              <w:rPr>
                <w:rFonts w:ascii="Arial" w:hAnsi="Arial"/>
                <w:b/>
                <w:color w:val="FFFFFF"/>
                <w:sz w:val="18"/>
              </w:rPr>
              <w:t>Impact</w:t>
            </w:r>
          </w:p>
        </w:tc>
        <w:tc>
          <w:tcPr>
            <w:tcW w:type="dxa" w:w="3135"/>
            <w:shd w:val="clear" w:fill="1A1A1A" w:color="auto"/>
          </w:tcPr>
          <w:p>
            <w:r/>
            <w:r>
              <w:rPr>
                <w:rFonts w:ascii="Arial" w:hAnsi="Arial"/>
                <w:b/>
                <w:color w:val="FFFFFF"/>
                <w:sz w:val="18"/>
              </w:rPr>
              <w:t>Notes</w:t>
            </w:r>
          </w:p>
        </w:tc>
      </w:tr>
      <w:tr>
        <w:tc>
          <w:tcPr>
            <w:tcW w:type="dxa" w:w="3135"/>
            <w:shd w:val="clear" w:fill="F9F9F9" w:color="auto"/>
          </w:tcPr>
          <w:p>
            <w:r/>
            <w:r>
              <w:rPr>
                <w:rFonts w:ascii="Arial" w:hAnsi="Arial"/>
                <w:sz w:val="18"/>
              </w:rPr>
              <w:t>Service role key in frontend</w:t>
            </w:r>
          </w:p>
        </w:tc>
        <w:tc>
          <w:tcPr>
            <w:tcW w:type="dxa" w:w="3135"/>
            <w:shd w:val="clear" w:fill="F9F9F9" w:color="auto"/>
          </w:tcPr>
          <w:p>
            <w:r/>
            <w:r>
              <w:rPr>
                <w:rFonts w:ascii="Arial" w:hAnsi="Arial"/>
                <w:sz w:val="18"/>
              </w:rPr>
              <w:t>SECURITY</w:t>
            </w:r>
          </w:p>
        </w:tc>
        <w:tc>
          <w:tcPr>
            <w:tcW w:type="dxa" w:w="3135"/>
            <w:shd w:val="clear" w:fill="F9F9F9" w:color="auto"/>
          </w:tcPr>
          <w:p>
            <w:r/>
            <w:r>
              <w:rPr>
                <w:rFonts w:ascii="Arial" w:hAnsi="Arial"/>
                <w:sz w:val="18"/>
              </w:rPr>
              <w:t>shop/page.tsx uses the Supabase SERVICE ROLE key client-side. This should be replaced with the anon key + RLS policies.</w:t>
            </w:r>
          </w:p>
        </w:tc>
      </w:tr>
      <w:tr>
        <w:tc>
          <w:tcPr>
            <w:tcW w:type="dxa" w:w="3135"/>
          </w:tcPr>
          <w:p>
            <w:r/>
            <w:r>
              <w:rPr>
                <w:rFonts w:ascii="Arial" w:hAnsi="Arial"/>
                <w:sz w:val="18"/>
              </w:rPr>
              <w:t>.env contains all credentials</w:t>
            </w:r>
          </w:p>
        </w:tc>
        <w:tc>
          <w:tcPr>
            <w:tcW w:type="dxa" w:w="3135"/>
          </w:tcPr>
          <w:p>
            <w:r/>
            <w:r>
              <w:rPr>
                <w:rFonts w:ascii="Arial" w:hAnsi="Arial"/>
                <w:sz w:val="18"/>
              </w:rPr>
              <w:t>SECURITY</w:t>
            </w:r>
          </w:p>
        </w:tc>
        <w:tc>
          <w:tcPr>
            <w:tcW w:type="dxa" w:w="3135"/>
          </w:tcPr>
          <w:p>
            <w:r/>
            <w:r>
              <w:rPr>
                <w:rFonts w:ascii="Arial" w:hAnsi="Arial"/>
                <w:sz w:val="18"/>
              </w:rPr>
              <w:t>Supplier passwords, eBay tokens, Supabase keys all in one file. Never commit to git.</w:t>
            </w:r>
          </w:p>
        </w:tc>
      </w:tr>
      <w:tr>
        <w:tc>
          <w:tcPr>
            <w:tcW w:type="dxa" w:w="3135"/>
            <w:shd w:val="clear" w:fill="F9F9F9" w:color="auto"/>
          </w:tcPr>
          <w:p>
            <w:r/>
            <w:r>
              <w:rPr>
                <w:rFonts w:ascii="Arial" w:hAnsi="Arial"/>
                <w:sz w:val="18"/>
              </w:rPr>
              <w:t>BL-Motorcycles-Enterprise not in git</w:t>
            </w:r>
          </w:p>
        </w:tc>
        <w:tc>
          <w:tcPr>
            <w:tcW w:type="dxa" w:w="3135"/>
            <w:shd w:val="clear" w:fill="F9F9F9" w:color="auto"/>
          </w:tcPr>
          <w:p>
            <w:r/>
            <w:r>
              <w:rPr>
                <w:rFonts w:ascii="Arial" w:hAnsi="Arial"/>
                <w:sz w:val="18"/>
              </w:rPr>
              <w:t>RISK</w:t>
            </w:r>
          </w:p>
        </w:tc>
        <w:tc>
          <w:tcPr>
            <w:tcW w:type="dxa" w:w="3135"/>
            <w:shd w:val="clear" w:fill="F9F9F9" w:color="auto"/>
          </w:tcPr>
          <w:p>
            <w:r/>
            <w:r>
              <w:rPr>
                <w:rFonts w:ascii="Arial" w:hAnsi="Arial"/>
                <w:sz w:val="18"/>
              </w:rPr>
              <w:t>No version control on the live codebase. Push to blwebsite repo ASAP.</w:t>
            </w:r>
          </w:p>
        </w:tc>
      </w:tr>
      <w:tr>
        <w:tc>
          <w:tcPr>
            <w:tcW w:type="dxa" w:w="3135"/>
          </w:tcPr>
          <w:p>
            <w:r/>
            <w:r>
              <w:rPr>
                <w:rFonts w:ascii="Arial" w:hAnsi="Arial"/>
                <w:sz w:val="18"/>
              </w:rPr>
              <w:t>Fitment field mapping uncertain</w:t>
            </w:r>
          </w:p>
        </w:tc>
        <w:tc>
          <w:tcPr>
            <w:tcW w:type="dxa" w:w="3135"/>
          </w:tcPr>
          <w:p>
            <w:r/>
            <w:r>
              <w:rPr>
                <w:rFonts w:ascii="Arial" w:hAnsi="Arial"/>
                <w:sz w:val="18"/>
              </w:rPr>
              <w:t>DATA</w:t>
            </w:r>
          </w:p>
        </w:tc>
        <w:tc>
          <w:tcPr>
            <w:tcW w:type="dxa" w:w="3135"/>
          </w:tcPr>
          <w:p>
            <w:r/>
            <w:r>
              <w:rPr>
                <w:rFonts w:ascii="Arial" w:hAnsi="Arial"/>
                <w:sz w:val="18"/>
              </w:rPr>
              <w:t>The enrichment script maps multiple possible field names for year/make/model from the API response. May need adjustment after first run.</w:t>
            </w:r>
          </w:p>
        </w:tc>
      </w:tr>
      <w:tr>
        <w:tc>
          <w:tcPr>
            <w:tcW w:type="dxa" w:w="3135"/>
            <w:shd w:val="clear" w:fill="F9F9F9" w:color="auto"/>
          </w:tcPr>
          <w:p>
            <w:r/>
            <w:r>
              <w:rPr>
                <w:rFonts w:ascii="Arial" w:hAnsi="Arial"/>
                <w:sz w:val="18"/>
              </w:rPr>
              <w:t>Corrupted .git in Enterprise folder</w:t>
            </w:r>
          </w:p>
        </w:tc>
        <w:tc>
          <w:tcPr>
            <w:tcW w:type="dxa" w:w="3135"/>
            <w:shd w:val="clear" w:fill="F9F9F9" w:color="auto"/>
          </w:tcPr>
          <w:p>
            <w:r/>
            <w:r>
              <w:rPr>
                <w:rFonts w:ascii="Arial" w:hAnsi="Arial"/>
                <w:sz w:val="18"/>
              </w:rPr>
              <w:t>MINOR</w:t>
            </w:r>
          </w:p>
        </w:tc>
        <w:tc>
          <w:tcPr>
            <w:tcW w:type="dxa" w:w="3135"/>
            <w:shd w:val="clear" w:fill="F9F9F9" w:color="auto"/>
          </w:tcPr>
          <w:p>
            <w:r/>
            <w:r>
              <w:rPr>
                <w:rFonts w:ascii="Arial" w:hAnsi="Arial"/>
                <w:sz w:val="18"/>
              </w:rPr>
              <w:t>A previous session created a broken .git directory with locked permissions. Delete it before initializing a new repo.</w:t>
            </w:r>
          </w:p>
        </w:tc>
      </w:tr>
    </w:tbl>
    <w:p/>
    <w:p>
      <w:pPr>
        <w:spacing w:before="80" w:after="80"/>
        <w:pBdr>
          <w:bottom w:val="single" w:sz="6" w:space="1" w:color="D4A017"/>
        </w:pBdr>
      </w:pPr>
    </w:p>
    <w:p>
      <w:pPr>
        <w:jc w:val="center"/>
      </w:pPr>
      <w:r>
        <w:rPr>
          <w:color w:val="999999"/>
          <w:sz w:val="18"/>
        </w:rPr>
        <w:t>BL Motorcycles Ltd — blmotorcyclesltd.co.uk</w:t>
      </w:r>
    </w:p>
    <w:p>
      <w:pPr>
        <w:jc w:val="center"/>
      </w:pPr>
      <w:r>
        <w:rPr>
          <w:color w:val="BBBBBB"/>
          <w:sz w:val="16"/>
        </w:rPr>
        <w:t>Document generated by Claude (Opus 4.6) in Cowork Mode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2E2E2E"/>
      <w:sz w:val="28"/>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Arial" w:hAnsi="Arial"/>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