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2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50"/>
        </w:rPr>
        <w:t>Jonathan “Jonny” Blevins</w:t>
      </w:r>
    </w:p>
    <w:p>
      <w:pPr>
        <w:autoSpaceDN w:val="0"/>
        <w:tabs>
          <w:tab w:pos="4924" w:val="left"/>
        </w:tabs>
        <w:autoSpaceDE w:val="0"/>
        <w:widowControl/>
        <w:spacing w:line="240" w:lineRule="auto" w:before="60" w:after="0"/>
        <w:ind w:left="3336" w:right="0" w:firstLine="0"/>
        <w:jc w:val="left"/>
      </w:pPr>
      <w:r>
        <w:rPr>
          <w:w w:val="98.89914529914515"/>
          <w:rFonts w:ascii="" w:hAnsi="" w:eastAsia=""/>
          <w:b w:val="0"/>
          <w:i w:val="0"/>
          <w:color w:val="000000"/>
          <w:sz w:val="18"/>
        </w:rPr>
        <w:t>🏡</w:t>
      </w:r>
      <w:r>
        <w:rPr>
          <w:rFonts w:ascii="" w:hAnsi="" w:eastAsia=""/>
          <w:b w:val="0"/>
          <w:i w:val="0"/>
          <w:color w:val="000000"/>
          <w:sz w:val="18"/>
        </w:rPr>
        <w:t>Troy, New York</w:t>
      </w:r>
      <w:r>
        <w:rPr>
          <w:w w:val="98.02393162393153"/>
          <w:rFonts w:ascii="" w:hAnsi="" w:eastAsia=""/>
          <w:b w:val="0"/>
          <w:i w:val="0"/>
          <w:color w:val="000000"/>
          <w:sz w:val="18"/>
        </w:rPr>
        <w:t>📧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9" w:history="1">
          <w:r>
            <w:rPr>
              <w:rStyle w:val="Hyperlink"/>
            </w:rPr>
            <w:t>blevinsjonny@gmail.com</w:t>
          </w:r>
        </w:hyperlink>
      </w:r>
      <w:r>
        <w:rPr>
          <w:rFonts w:ascii="" w:hAnsi="" w:eastAsia=""/>
          <w:b w:val="0"/>
          <w:i w:val="0"/>
          <w:color w:val="000000"/>
          <w:sz w:val="18"/>
        </w:rPr>
        <w:t xml:space="preserve"> 🏢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10" w:history="1">
          <w:r>
            <w:rPr>
              <w:rStyle w:val="Hyperlink"/>
            </w:rPr>
            <w:t>linkedin.com/in/jonnyblevins</w:t>
          </w:r>
        </w:hyperlink>
      </w:r>
    </w:p>
    <w:p>
      <w:pPr>
        <w:autoSpaceDN w:val="0"/>
        <w:tabs>
          <w:tab w:pos="6472" w:val="left"/>
          <w:tab w:pos="6802" w:val="left"/>
        </w:tabs>
        <w:autoSpaceDE w:val="0"/>
        <w:widowControl/>
        <w:spacing w:line="240" w:lineRule="auto" w:before="30" w:after="0"/>
        <w:ind w:left="428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💻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11" w:history="1">
          <w:r>
            <w:rPr>
              <w:rStyle w:val="Hyperlink"/>
            </w:rPr>
            <w:t>jonnyblevins.com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190500" cy="19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13" w:history="1">
          <w:r>
            <w:rPr>
              <w:rStyle w:val="Hyperlink"/>
            </w:rPr>
            <w:t>github.com/jonnyblevins</w:t>
          </w:r>
        </w:hyperlink>
      </w:r>
    </w:p>
    <w:p>
      <w:pPr>
        <w:autoSpaceDN w:val="0"/>
        <w:autoSpaceDE w:val="0"/>
        <w:widowControl/>
        <w:spacing w:line="240" w:lineRule="auto" w:before="40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SKILLS</w:t>
      </w:r>
    </w:p>
    <w:p>
      <w:pPr>
        <w:autoSpaceDN w:val="0"/>
        <w:autoSpaceDE w:val="0"/>
        <w:widowControl/>
        <w:spacing w:line="245" w:lineRule="auto" w:before="58" w:after="0"/>
        <w:ind w:left="1440" w:right="1440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>Project Management:</w:t>
      </w:r>
      <w:r>
        <w:rPr>
          <w:rFonts w:ascii="" w:hAnsi="" w:eastAsia=""/>
          <w:b w:val="0"/>
          <w:i w:val="0"/>
          <w:color w:val="424242"/>
          <w:sz w:val="22"/>
        </w:rPr>
        <w:t xml:space="preserve"> Planning, risk management, stakeholder communication, budget oversight </w:t>
      </w:r>
      <w:r>
        <w:rPr>
          <w:rFonts w:ascii="" w:hAnsi="" w:eastAsia=""/>
          <w:b/>
          <w:i w:val="0"/>
          <w:color w:val="424242"/>
          <w:sz w:val="22"/>
        </w:rPr>
        <w:t>Technical:</w:t>
      </w:r>
      <w:r>
        <w:rPr>
          <w:rFonts w:ascii="" w:hAnsi="" w:eastAsia=""/>
          <w:b w:val="0"/>
          <w:i w:val="0"/>
          <w:color w:val="424242"/>
          <w:sz w:val="22"/>
        </w:rPr>
        <w:t xml:space="preserve"> SQL, ETL, BI Programs, PM Software, Oracle Products (P6), AWS CCP, SAP </w:t>
      </w:r>
      <w:r>
        <w:br/>
      </w:r>
      <w:r>
        <w:rPr>
          <w:rFonts w:ascii="" w:hAnsi="" w:eastAsia=""/>
          <w:b/>
          <w:i w:val="0"/>
          <w:color w:val="424242"/>
          <w:sz w:val="22"/>
        </w:rPr>
        <w:t>ERP Systems:</w:t>
      </w:r>
      <w:r>
        <w:rPr>
          <w:rFonts w:ascii="" w:hAnsi="" w:eastAsia=""/>
          <w:b w:val="0"/>
          <w:i w:val="0"/>
          <w:color w:val="424242"/>
          <w:sz w:val="22"/>
        </w:rPr>
        <w:t xml:space="preserve"> Implementation, upgrades, integration, optimization, performance management </w:t>
      </w:r>
      <w:r>
        <w:rPr>
          <w:rFonts w:ascii="" w:hAnsi="" w:eastAsia=""/>
          <w:b/>
          <w:i w:val="0"/>
          <w:color w:val="424242"/>
          <w:sz w:val="22"/>
        </w:rPr>
        <w:t>Data Analysis:</w:t>
      </w:r>
      <w:r>
        <w:rPr>
          <w:rFonts w:ascii="" w:hAnsi="" w:eastAsia=""/>
          <w:b w:val="0"/>
          <w:i w:val="0"/>
          <w:color w:val="424242"/>
          <w:sz w:val="22"/>
        </w:rPr>
        <w:t xml:space="preserve"> Report generation, performance metrics, data-driven decision making </w:t>
      </w:r>
      <w:r>
        <w:br/>
      </w:r>
      <w:r>
        <w:rPr>
          <w:rFonts w:ascii="" w:hAnsi="" w:eastAsia=""/>
          <w:b/>
          <w:i w:val="0"/>
          <w:color w:val="424242"/>
          <w:sz w:val="22"/>
        </w:rPr>
        <w:t>Leadership:</w:t>
      </w:r>
      <w:r>
        <w:rPr>
          <w:rFonts w:ascii="" w:hAnsi="" w:eastAsia=""/>
          <w:b w:val="0"/>
          <w:i w:val="0"/>
          <w:color w:val="424242"/>
          <w:sz w:val="22"/>
        </w:rPr>
        <w:t xml:space="preserve"> Team management, cross-functional collaboration, training, strategic planning </w:t>
      </w:r>
      <w:r>
        <w:rPr>
          <w:rFonts w:ascii="" w:hAnsi="" w:eastAsia=""/>
          <w:b/>
          <w:i w:val="0"/>
          <w:color w:val="424242"/>
          <w:sz w:val="22"/>
        </w:rPr>
        <w:t>Additional:</w:t>
      </w:r>
      <w:r>
        <w:rPr>
          <w:rFonts w:ascii="" w:hAnsi="" w:eastAsia=""/>
          <w:b w:val="0"/>
          <w:i w:val="0"/>
          <w:color w:val="424242"/>
          <w:sz w:val="22"/>
        </w:rPr>
        <w:t xml:space="preserve"> Security Systems, IT Management, Bookkeeping, Change Orders, Web Design, UI/UX</w:t>
      </w:r>
    </w:p>
    <w:p>
      <w:pPr>
        <w:autoSpaceDN w:val="0"/>
        <w:autoSpaceDE w:val="0"/>
        <w:widowControl/>
        <w:spacing w:line="242" w:lineRule="auto" w:before="400" w:after="26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78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6"/>
              </w:rPr>
              <w:t>Separation Manager</w:t>
            </w:r>
          </w:p>
        </w:tc>
        <w:tc>
          <w:tcPr>
            <w:tcW w:type="dxa" w:w="4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Jan 2024 - Sept 2024</w:t>
            </w:r>
          </w:p>
        </w:tc>
      </w:tr>
    </w:tbl>
    <w:p>
      <w:pPr>
        <w:autoSpaceDN w:val="0"/>
        <w:autoSpaceDE w:val="0"/>
        <w:widowControl/>
        <w:spacing w:line="240" w:lineRule="auto" w:before="4" w:after="60"/>
        <w:ind w:left="1440" w:right="0" w:firstLine="0"/>
        <w:jc w:val="left"/>
      </w:pPr>
      <w:r>
        <w:rPr>
          <w:rFonts w:ascii="" w:hAnsi="" w:eastAsia=""/>
          <w:b w:val="0"/>
          <w:i w:val="0"/>
          <w:color w:val="424242"/>
          <w:sz w:val="22"/>
        </w:rPr>
        <w:t>GE Aerospace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31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Manage data management projects and technology initiatives, focusing on "data choreography"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Develop and monitor comprehensive project plans, ensuring efficient progression and met timelines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Implement risk management and communicate with stakeholders to solve issues proactively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Create and maintain project documentation to enhance quality assurance and system integrity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Develop and implement metrics for clear tracking and status reporting to senior management</w:t>
            </w:r>
          </w:p>
        </w:tc>
      </w:tr>
      <w:tr>
        <w:trPr>
          <w:trHeight w:hRule="exact" w:val="318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Collaborate with cross-functional teams to drive project success during GE's major trifurcation</w:t>
            </w:r>
          </w:p>
        </w:tc>
      </w:tr>
      <w:tr>
        <w:trPr>
          <w:trHeight w:hRule="exact" w:val="414"/>
        </w:trPr>
        <w:tc>
          <w:tcPr>
            <w:tcW w:type="dxa" w:w="7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7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6"/>
              </w:rPr>
              <w:t>Technical Project Manager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July 2022 - June 2023</w:t>
            </w:r>
          </w:p>
        </w:tc>
      </w:tr>
      <w:tr>
        <w:trPr>
          <w:trHeight w:hRule="exact" w:val="306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Shepherd Communication &amp; Security</w:t>
            </w:r>
          </w:p>
        </w:tc>
      </w:tr>
      <w:tr>
        <w:trPr>
          <w:trHeight w:hRule="exact" w:val="298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Led cross-functional teams of 10-12 technicians, managing the delivery of complex security system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projects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Developed comprehensive project plans for Fire/Perimeter Alarm, Access Control, CCTV, and Data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Cabling projects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Served as the primary liaison between Shepherd and customers, ensuring clear communication and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project alignment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Managed project scope, timelines, and resources of 500+ projects PM software, beating deadlines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by 10% on average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Performed data analysis using Microsoft Excel to produce insightful project reports and optimize</w:t>
            </w:r>
          </w:p>
        </w:tc>
      </w:tr>
      <w:tr>
        <w:trPr>
          <w:trHeight w:hRule="exact" w:val="326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performance</w:t>
            </w:r>
          </w:p>
        </w:tc>
      </w:tr>
      <w:tr>
        <w:trPr>
          <w:trHeight w:hRule="exact" w:val="406"/>
        </w:trPr>
        <w:tc>
          <w:tcPr>
            <w:tcW w:type="dxa" w:w="7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7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6"/>
              </w:rPr>
              <w:t>Project Manager (Central East Energy Connect)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Nov 2020 - June 2022</w:t>
            </w:r>
          </w:p>
        </w:tc>
      </w:tr>
      <w:tr>
        <w:trPr>
          <w:trHeight w:hRule="exact" w:val="314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Northern Clearing, Inc.</w:t>
            </w:r>
          </w:p>
        </w:tc>
      </w:tr>
      <w:tr>
        <w:trPr>
          <w:trHeight w:hRule="exact" w:val="316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Managed a team of 40 individuals on a large-scale infrastructure project covering 100+ miles of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electrical poles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Developed and executed risk management strategies to ensure project continuity and success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Created timely, accurate reports in a fast-paced field labor environment, maintaining high-quality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metrics and internal deliverables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Produced various project documents including PoDs, RFIs, memorandums, trackers, and charts for</w:t>
            </w:r>
          </w:p>
        </w:tc>
      </w:tr>
      <w:tr>
        <w:trPr>
          <w:trHeight w:hRule="exact" w:val="25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an Article VII job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Managed project scope, timelines, and resources to align with NY's mandate of zero-emission by</w:t>
            </w:r>
          </w:p>
        </w:tc>
      </w:tr>
      <w:tr>
        <w:trPr>
          <w:trHeight w:hRule="exact" w:val="292"/>
        </w:trPr>
        <w:tc>
          <w:tcPr>
            <w:tcW w:type="dxa" w:w="10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2040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3336" w:val="left"/>
          <w:tab w:pos="4924" w:val="left"/>
        </w:tabs>
        <w:autoSpaceDE w:val="0"/>
        <w:widowControl/>
        <w:spacing w:line="257" w:lineRule="auto" w:before="720" w:after="0"/>
        <w:ind w:left="3078" w:right="2592" w:firstLine="0"/>
        <w:jc w:val="left"/>
      </w:pPr>
      <w:r>
        <w:rPr>
          <w:rFonts w:ascii="" w:hAnsi="" w:eastAsia=""/>
          <w:b/>
          <w:i w:val="0"/>
          <w:color w:val="000000"/>
          <w:sz w:val="50"/>
        </w:rPr>
        <w:t>Jonathan “Jonny” Blevins</w:t>
      </w:r>
      <w:r>
        <w:tab/>
      </w:r>
      <w:r>
        <w:rPr>
          <w:w w:val="98.89914529914515"/>
          <w:rFonts w:ascii="" w:hAnsi="" w:eastAsia=""/>
          <w:b w:val="0"/>
          <w:i w:val="0"/>
          <w:color w:val="000000"/>
          <w:sz w:val="18"/>
        </w:rPr>
        <w:t>🏡</w:t>
      </w:r>
      <w:r>
        <w:rPr>
          <w:rFonts w:ascii="" w:hAnsi="" w:eastAsia=""/>
          <w:b w:val="0"/>
          <w:i w:val="0"/>
          <w:color w:val="000000"/>
          <w:sz w:val="18"/>
        </w:rPr>
        <w:t>Troy, New York</w:t>
      </w:r>
      <w:r>
        <w:rPr>
          <w:w w:val="98.02393162393153"/>
          <w:rFonts w:ascii="" w:hAnsi="" w:eastAsia=""/>
          <w:b w:val="0"/>
          <w:i w:val="0"/>
          <w:color w:val="000000"/>
          <w:sz w:val="18"/>
        </w:rPr>
        <w:t>📧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9" w:history="1">
          <w:r>
            <w:rPr>
              <w:rStyle w:val="Hyperlink"/>
            </w:rPr>
            <w:t>blevinsjonny@gmail.com</w:t>
          </w:r>
        </w:hyperlink>
      </w:r>
      <w:r>
        <w:rPr>
          <w:rFonts w:ascii="" w:hAnsi="" w:eastAsia=""/>
          <w:b w:val="0"/>
          <w:i w:val="0"/>
          <w:color w:val="000000"/>
          <w:sz w:val="18"/>
        </w:rPr>
        <w:t xml:space="preserve"> 🏢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10" w:history="1">
          <w:r>
            <w:rPr>
              <w:rStyle w:val="Hyperlink"/>
            </w:rPr>
            <w:t>linkedin.com/in/jonnyblevins</w:t>
          </w:r>
        </w:hyperlink>
      </w:r>
    </w:p>
    <w:p>
      <w:pPr>
        <w:autoSpaceDN w:val="0"/>
        <w:tabs>
          <w:tab w:pos="6472" w:val="left"/>
          <w:tab w:pos="6802" w:val="left"/>
        </w:tabs>
        <w:autoSpaceDE w:val="0"/>
        <w:widowControl/>
        <w:spacing w:line="240" w:lineRule="auto" w:before="30" w:after="0"/>
        <w:ind w:left="428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💻</w:t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11" w:history="1">
          <w:r>
            <w:rPr>
              <w:rStyle w:val="Hyperlink"/>
            </w:rPr>
            <w:t>jonnyblevins.com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190500" cy="190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1154CC"/>
          <w:sz w:val="18"/>
          <w:u w:val="single"/>
        </w:rPr>
        <w:hyperlink r:id="rId13" w:history="1">
          <w:r>
            <w:rPr>
              <w:rStyle w:val="Hyperlink"/>
            </w:rPr>
            <w:t>github.com/jonnyblevins</w:t>
          </w:r>
        </w:hyperlink>
      </w:r>
    </w:p>
    <w:p>
      <w:pPr>
        <w:autoSpaceDN w:val="0"/>
        <w:tabs>
          <w:tab w:pos="8620" w:val="left"/>
        </w:tabs>
        <w:autoSpaceDE w:val="0"/>
        <w:widowControl/>
        <w:spacing w:line="245" w:lineRule="auto" w:before="348" w:after="52"/>
        <w:ind w:left="1440" w:right="1440" w:firstLine="0"/>
        <w:jc w:val="left"/>
      </w:pPr>
      <w:r>
        <w:rPr>
          <w:rFonts w:ascii="" w:hAnsi="" w:eastAsia=""/>
          <w:b/>
          <w:i w:val="0"/>
          <w:color w:val="424242"/>
          <w:sz w:val="26"/>
        </w:rPr>
        <w:t xml:space="preserve">Tech Specialist | Assistant Business Manager </w:t>
      </w:r>
      <w:r>
        <w:tab/>
      </w:r>
      <w:r>
        <w:rPr>
          <w:rFonts w:ascii="" w:hAnsi="" w:eastAsia=""/>
          <w:b w:val="0"/>
          <w:i w:val="0"/>
          <w:color w:val="424242"/>
          <w:sz w:val="22"/>
        </w:rPr>
        <w:t xml:space="preserve">May 2020 - Nov 2020 </w:t>
      </w:r>
      <w:r>
        <w:rPr>
          <w:rFonts w:ascii="" w:hAnsi="" w:eastAsia=""/>
          <w:b w:val="0"/>
          <w:i w:val="0"/>
          <w:color w:val="424242"/>
          <w:sz w:val="22"/>
        </w:rPr>
        <w:t>Cox Well Services, LLC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30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2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Developed project estimates and schedules, contributing to winning $800,000 in project bids for a</w:t>
            </w:r>
          </w:p>
        </w:tc>
      </w:tr>
      <w:tr>
        <w:trPr>
          <w:trHeight w:hRule="exact" w:val="252"/>
        </w:trPr>
        <w:tc>
          <w:tcPr>
            <w:tcW w:type="dxa" w:w="107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30-man crew</w:t>
            </w:r>
          </w:p>
        </w:tc>
      </w:tr>
      <w:tr>
        <w:trPr>
          <w:trHeight w:hRule="exact" w:val="25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Improved the company website's user interface, applying web design skills for better UI/UX</w:t>
            </w:r>
          </w:p>
        </w:tc>
      </w:tr>
      <w:tr>
        <w:trPr>
          <w:trHeight w:hRule="exact" w:val="252"/>
        </w:trPr>
        <w:tc>
          <w:tcPr>
            <w:tcW w:type="dxa" w:w="107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experience</w:t>
            </w:r>
          </w:p>
        </w:tc>
      </w:tr>
      <w:tr>
        <w:trPr>
          <w:trHeight w:hRule="exact" w:val="334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Kept certification records up-to-date, ensuring compliance with industry standards</w:t>
            </w:r>
          </w:p>
        </w:tc>
      </w:tr>
      <w:tr>
        <w:trPr>
          <w:trHeight w:hRule="exact" w:val="418"/>
        </w:trPr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7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6"/>
              </w:rPr>
              <w:t>Field Planner (Mountaineer Xpress, Leech Xpress)</w:t>
            </w:r>
          </w:p>
        </w:tc>
        <w:tc>
          <w:tcPr>
            <w:tcW w:type="dxa" w:w="3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Feb 2017 - Jan 2019</w:t>
            </w:r>
          </w:p>
        </w:tc>
      </w:tr>
    </w:tbl>
    <w:p>
      <w:pPr>
        <w:autoSpaceDN w:val="0"/>
        <w:autoSpaceDE w:val="0"/>
        <w:widowControl/>
        <w:spacing w:line="240" w:lineRule="auto" w:before="4" w:after="50"/>
        <w:ind w:left="1440" w:right="0" w:firstLine="0"/>
        <w:jc w:val="left"/>
      </w:pPr>
      <w:r>
        <w:rPr>
          <w:rFonts w:ascii="" w:hAnsi="" w:eastAsia=""/>
          <w:b w:val="0"/>
          <w:i w:val="0"/>
          <w:color w:val="424242"/>
          <w:sz w:val="22"/>
        </w:rPr>
        <w:t>Columbia Group/TC Energy ℅System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884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66" w:after="0"/>
              <w:ind w:left="900" w:right="120" w:firstLine="0"/>
              <w:jc w:val="both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●</w:t>
            </w:r>
          </w:p>
        </w:tc>
        <w:tc>
          <w:tcPr>
            <w:tcW w:type="dxa" w:w="9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20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Utilized Oracle Primavera P6 and Microsoft Project to generate schedules with milestones for </w:t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large-scale energy projects ($24 billion in U.S. Major Projects)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Tracked materials, legal paperwork, and takeoffs to ensure meeting project goals for major energy </w:t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companies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Worked with vendors on Purchase Orders, maintaining current shipping dates and highlighting </w:t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critical issues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Performed quality control checks on received materials, including identification and photographic </w:t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documentation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Managed administrative tasks including payroll and receipt tracking using SAP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 xml:space="preserve">Used a secure OneDrive system to upload all material paperwork and certification, ensuring that the </w:t>
            </w:r>
            <w:r>
              <w:rPr>
                <w:rFonts w:ascii="" w:hAnsi="" w:eastAsia=""/>
                <w:b w:val="0"/>
                <w:i w:val="0"/>
                <w:color w:val="424242"/>
                <w:sz w:val="20"/>
              </w:rPr>
              <w:t>entire project’s documentation was all centrally located, future-proofing any future legal matters</w:t>
            </w:r>
          </w:p>
        </w:tc>
      </w:tr>
    </w:tbl>
    <w:p>
      <w:pPr>
        <w:autoSpaceDN w:val="0"/>
        <w:autoSpaceDE w:val="0"/>
        <w:widowControl/>
        <w:spacing w:line="240" w:lineRule="auto" w:before="798" w:after="2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3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424"/>
        </w:trPr>
        <w:tc>
          <w:tcPr>
            <w:tcW w:type="dxa" w:w="670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8"/>
              </w:rPr>
              <w:t>Continued Education, Programming</w:t>
            </w:r>
          </w:p>
        </w:tc>
        <w:tc>
          <w:tcPr>
            <w:tcW w:type="dxa" w:w="333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Oct 2022 - May 2024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440" w:right="5328" w:firstLine="0"/>
        <w:jc w:val="left"/>
      </w:pPr>
      <w:r>
        <w:rPr>
          <w:rFonts w:ascii="" w:hAnsi="" w:eastAsia=""/>
          <w:b w:val="0"/>
          <w:i w:val="0"/>
          <w:color w:val="424242"/>
          <w:sz w:val="22"/>
        </w:rPr>
        <w:t xml:space="preserve">CanCode Communities </w:t>
      </w:r>
      <w:r>
        <w:br/>
      </w:r>
      <w:r>
        <w:rPr>
          <w:rFonts w:ascii="" w:hAnsi="" w:eastAsia=""/>
          <w:b w:val="0"/>
          <w:i w:val="0"/>
          <w:color w:val="424242"/>
          <w:sz w:val="22"/>
        </w:rPr>
        <w:t>Bootcamp training in SQL, ETL, HTML, CSS, and Python.</w:t>
      </w:r>
    </w:p>
    <w:p>
      <w:pPr>
        <w:autoSpaceDN w:val="0"/>
        <w:tabs>
          <w:tab w:pos="8640" w:val="left"/>
        </w:tabs>
        <w:autoSpaceDE w:val="0"/>
        <w:widowControl/>
        <w:spacing w:line="240" w:lineRule="auto" w:before="216" w:after="0"/>
        <w:ind w:left="1440" w:right="0" w:firstLine="0"/>
        <w:jc w:val="left"/>
      </w:pPr>
      <w:r>
        <w:rPr>
          <w:rFonts w:ascii="" w:hAnsi="" w:eastAsia=""/>
          <w:b/>
          <w:i w:val="0"/>
          <w:color w:val="424242"/>
          <w:sz w:val="28"/>
        </w:rPr>
        <w:t xml:space="preserve">Master’s Certificate, Project Management </w:t>
      </w:r>
      <w:r>
        <w:tab/>
      </w:r>
      <w:r>
        <w:rPr>
          <w:rFonts w:ascii="" w:hAnsi="" w:eastAsia=""/>
          <w:b w:val="0"/>
          <w:i w:val="0"/>
          <w:color w:val="424242"/>
          <w:sz w:val="22"/>
        </w:rPr>
        <w:t>Jan 2016 - May 2017</w:t>
      </w:r>
    </w:p>
    <w:p>
      <w:pPr>
        <w:autoSpaceDN w:val="0"/>
        <w:autoSpaceDE w:val="0"/>
        <w:widowControl/>
        <w:spacing w:line="257" w:lineRule="auto" w:before="54" w:after="0"/>
        <w:ind w:left="1440" w:right="4752" w:firstLine="0"/>
        <w:jc w:val="center"/>
      </w:pPr>
      <w:r>
        <w:rPr>
          <w:rFonts w:ascii="" w:hAnsi="" w:eastAsia=""/>
          <w:b w:val="0"/>
          <w:i w:val="0"/>
          <w:color w:val="424242"/>
          <w:sz w:val="22"/>
        </w:rPr>
        <w:t xml:space="preserve">University of Pittsburgh - Joseph M. Katz School of Business </w:t>
      </w:r>
      <w:r>
        <w:br/>
      </w:r>
      <w:r>
        <w:rPr>
          <w:rFonts w:ascii="" w:hAnsi="" w:eastAsia=""/>
          <w:b w:val="0"/>
          <w:i w:val="0"/>
          <w:color w:val="424242"/>
          <w:sz w:val="22"/>
        </w:rPr>
        <w:t>Intense one-year PM training, required a prior master's degree.</w:t>
      </w:r>
    </w:p>
    <w:p>
      <w:pPr>
        <w:autoSpaceDN w:val="0"/>
        <w:tabs>
          <w:tab w:pos="8640" w:val="left"/>
        </w:tabs>
        <w:autoSpaceDE w:val="0"/>
        <w:widowControl/>
        <w:spacing w:line="240" w:lineRule="auto" w:before="216" w:after="0"/>
        <w:ind w:left="1440" w:right="0" w:firstLine="0"/>
        <w:jc w:val="left"/>
      </w:pPr>
      <w:r>
        <w:rPr>
          <w:rFonts w:ascii="" w:hAnsi="" w:eastAsia=""/>
          <w:b/>
          <w:i w:val="0"/>
          <w:color w:val="424242"/>
          <w:sz w:val="28"/>
        </w:rPr>
        <w:t xml:space="preserve">Master of Fine Arts, Creative Nonfiction | PWE </w:t>
      </w:r>
      <w:r>
        <w:tab/>
      </w:r>
      <w:r>
        <w:rPr>
          <w:rFonts w:ascii="" w:hAnsi="" w:eastAsia=""/>
          <w:b w:val="0"/>
          <w:i w:val="0"/>
          <w:color w:val="424242"/>
          <w:sz w:val="22"/>
        </w:rPr>
        <w:t>Aug 2013 - May 2015</w:t>
      </w:r>
    </w:p>
    <w:p>
      <w:pPr>
        <w:autoSpaceDN w:val="0"/>
        <w:autoSpaceDE w:val="0"/>
        <w:widowControl/>
        <w:spacing w:line="257" w:lineRule="auto" w:before="54" w:after="0"/>
        <w:ind w:left="1440" w:right="2736" w:firstLine="0"/>
        <w:jc w:val="left"/>
      </w:pPr>
      <w:r>
        <w:rPr>
          <w:rFonts w:ascii="" w:hAnsi="" w:eastAsia=""/>
          <w:b w:val="0"/>
          <w:i w:val="0"/>
          <w:color w:val="424242"/>
          <w:sz w:val="22"/>
        </w:rPr>
        <w:t xml:space="preserve">Chatham University </w:t>
      </w:r>
      <w:r>
        <w:br/>
      </w:r>
      <w:r>
        <w:rPr>
          <w:rFonts w:ascii="" w:hAnsi="" w:eastAsia=""/>
          <w:b w:val="0"/>
          <w:i w:val="0"/>
          <w:color w:val="424242"/>
          <w:sz w:val="22"/>
        </w:rPr>
        <w:t>Mansell-Reich Fellowship full ride scholarship; taught 6 semesters of writing courses.</w:t>
      </w:r>
    </w:p>
    <w:p>
      <w:pPr>
        <w:autoSpaceDN w:val="0"/>
        <w:tabs>
          <w:tab w:pos="8640" w:val="left"/>
        </w:tabs>
        <w:autoSpaceDE w:val="0"/>
        <w:widowControl/>
        <w:spacing w:line="240" w:lineRule="auto" w:before="214" w:after="0"/>
        <w:ind w:left="1440" w:right="0" w:firstLine="0"/>
        <w:jc w:val="left"/>
      </w:pPr>
      <w:r>
        <w:rPr>
          <w:rFonts w:ascii="" w:hAnsi="" w:eastAsia=""/>
          <w:b/>
          <w:i w:val="0"/>
          <w:color w:val="424242"/>
          <w:sz w:val="28"/>
        </w:rPr>
        <w:t xml:space="preserve">Bachelor of Fine Arts, English Lit | Spanish Lit </w:t>
      </w:r>
      <w:r>
        <w:tab/>
      </w:r>
      <w:r>
        <w:rPr>
          <w:rFonts w:ascii="" w:hAnsi="" w:eastAsia=""/>
          <w:b w:val="0"/>
          <w:i w:val="0"/>
          <w:color w:val="424242"/>
          <w:sz w:val="22"/>
        </w:rPr>
        <w:t>Aug 2006 - May 2010</w:t>
      </w:r>
    </w:p>
    <w:p>
      <w:pPr>
        <w:autoSpaceDN w:val="0"/>
        <w:autoSpaceDE w:val="0"/>
        <w:widowControl/>
        <w:spacing w:line="257" w:lineRule="auto" w:before="52" w:after="0"/>
        <w:ind w:left="1440" w:right="7920" w:firstLine="0"/>
        <w:jc w:val="left"/>
      </w:pPr>
      <w:r>
        <w:rPr>
          <w:rFonts w:ascii="" w:hAnsi="" w:eastAsia=""/>
          <w:b w:val="0"/>
          <w:i w:val="0"/>
          <w:color w:val="424242"/>
          <w:sz w:val="22"/>
        </w:rPr>
        <w:t xml:space="preserve">West Virginia University </w:t>
      </w:r>
      <w:r>
        <w:br/>
      </w:r>
      <w:r>
        <w:rPr>
          <w:rFonts w:ascii="" w:hAnsi="" w:eastAsia=""/>
          <w:b w:val="0"/>
          <w:i w:val="0"/>
          <w:color w:val="424242"/>
          <w:sz w:val="22"/>
        </w:rPr>
        <w:t>PROMISE full ride scholarship.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20" w:after="3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50"/>
        </w:rPr>
        <w:t>Jonathan “Jonny” Blevins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3060"/>
        <w:gridCol w:w="3060"/>
        <w:gridCol w:w="3060"/>
        <w:gridCol w:w="3060"/>
      </w:tblGrid>
      <w:tr>
        <w:trPr>
          <w:trHeight w:hRule="exact" w:val="260"/>
        </w:trPr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66" w:firstLine="0"/>
              <w:jc w:val="right"/>
            </w:pPr>
            <w:r>
              <w:rPr>
                <w:w w:val="98.89914529914515"/>
                <w:rFonts w:ascii="" w:hAnsi="" w:eastAsia=""/>
                <w:b w:val="0"/>
                <w:i w:val="0"/>
                <w:color w:val="000000"/>
                <w:sz w:val="18"/>
              </w:rPr>
              <w:t>🏡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Troy, New York</w:t>
            </w:r>
          </w:p>
        </w:tc>
        <w:tc>
          <w:tcPr>
            <w:tcW w:type="dxa" w:w="60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4" w:right="0" w:firstLine="0"/>
              <w:jc w:val="left"/>
            </w:pPr>
            <w:r>
              <w:rPr>
                <w:w w:val="98.02393162393153"/>
                <w:rFonts w:ascii="" w:hAnsi="" w:eastAsia=""/>
                <w:b w:val="0"/>
                <w:i w:val="0"/>
                <w:color w:val="000000"/>
                <w:sz w:val="18"/>
              </w:rPr>
              <w:t>📧</w:t>
            </w:r>
            <w:r>
              <w:rPr>
                <w:rFonts w:ascii="" w:hAnsi="" w:eastAsia=""/>
                <w:b w:val="0"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>blevinsjonny@gmail.com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🏢</w:t>
            </w:r>
            <w:r>
              <w:rPr>
                <w:rFonts w:ascii="" w:hAnsi="" w:eastAsia=""/>
                <w:b w:val="0"/>
                <w:i w:val="0"/>
                <w:color w:val="1154CC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linkedin.com/in/jonnyblevins</w:t>
                </w:r>
              </w:hyperlink>
            </w:r>
          </w:p>
        </w:tc>
      </w:tr>
      <w:tr>
        <w:trPr>
          <w:trHeight w:hRule="exact" w:val="438"/>
        </w:trPr>
        <w:tc>
          <w:tcPr>
            <w:tcW w:type="dxa" w:w="4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💻</w:t>
            </w:r>
            <w:r>
              <w:rPr>
                <w:rFonts w:ascii="" w:hAnsi="" w:eastAsia=""/>
                <w:b w:val="0"/>
                <w:i w:val="0"/>
                <w:color w:val="1154CC"/>
                <w:sz w:val="18"/>
                <w:u w:val="single"/>
              </w:rPr>
              <w:hyperlink r:id="rId11" w:history="1">
                <w:r>
                  <w:rPr>
                    <w:rStyle w:val="Hyperlink"/>
                  </w:rPr>
                  <w:t>jonnyblevins.com</w:t>
                </w:r>
              </w:hyperlink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90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18"/>
                <w:u w:val="single"/>
              </w:rPr>
              <w:hyperlink r:id="rId13" w:history="1">
                <w:r>
                  <w:rPr>
                    <w:rStyle w:val="Hyperlink"/>
                  </w:rPr>
                  <w:t>github.com/jonnyblevins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834" w:after="6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34"/>
        </w:rPr>
        <w:t>NOTEWORTHY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120"/>
        </w:trPr>
        <w:tc>
          <w:tcPr>
            <w:tcW w:type="dxa" w:w="10030"/>
            <w:gridSpan w:val="2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48"/>
        </w:trPr>
        <w:tc>
          <w:tcPr>
            <w:tcW w:type="dxa" w:w="2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67510" cy="10007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000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67510" cy="94361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943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67510" cy="952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50" w:val="left"/>
              </w:tabs>
              <w:autoSpaceDE w:val="0"/>
              <w:widowControl/>
              <w:spacing w:line="269" w:lineRule="auto" w:before="60" w:after="0"/>
              <w:ind w:left="96" w:right="720" w:firstLine="0"/>
              <w:jc w:val="left"/>
            </w:pPr>
            <w:r>
              <w:rPr>
                <w:rFonts w:ascii="" w:hAnsi="" w:eastAsia=""/>
                <w:b/>
                <w:i/>
                <w:color w:val="1154CC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 xml:space="preserve">Breaking Plaid </w:t>
                </w:r>
              </w:hyperlink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June 2024- Present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Daily PostgreSQL, ETL, and business intelligence practice for data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analysis and data engineering skills. Recently started a build of RAG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agents with LLMs.</w:t>
            </w:r>
          </w:p>
          <w:p>
            <w:pPr>
              <w:autoSpaceDN w:val="0"/>
              <w:tabs>
                <w:tab w:pos="4438" w:val="left"/>
              </w:tabs>
              <w:autoSpaceDE w:val="0"/>
              <w:widowControl/>
              <w:spacing w:line="266" w:lineRule="auto" w:before="998" w:after="0"/>
              <w:ind w:left="96" w:right="720" w:firstLine="0"/>
              <w:jc w:val="left"/>
            </w:pPr>
            <w:r>
              <w:rPr>
                <w:rFonts w:ascii="" w:hAnsi="" w:eastAsia=""/>
                <w:b/>
                <w:i/>
                <w:color w:val="1154CC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 xml:space="preserve">HTML Personal Website </w:t>
                </w:r>
              </w:hyperlink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October 2022- Present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Developed and update personal website using HTML, CSS, and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Javascript, incorporating responsive design</w:t>
            </w:r>
          </w:p>
          <w:p>
            <w:pPr>
              <w:autoSpaceDN w:val="0"/>
              <w:tabs>
                <w:tab w:pos="4224" w:val="left"/>
              </w:tabs>
              <w:autoSpaceDE w:val="0"/>
              <w:widowControl/>
              <w:spacing w:line="266" w:lineRule="auto" w:before="998" w:after="0"/>
              <w:ind w:left="96" w:right="720" w:firstLine="0"/>
              <w:jc w:val="left"/>
            </w:pPr>
            <w:r>
              <w:rPr>
                <w:rFonts w:ascii="" w:hAnsi="" w:eastAsia=""/>
                <w:b/>
                <w:i/>
                <w:color w:val="1154CC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 xml:space="preserve">Godot Development </w:t>
                </w:r>
              </w:hyperlink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November 2020- Present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 xml:space="preserve">Utilize GitHub Projects, MySQL for project organization and database </w:t>
            </w:r>
            <w:r>
              <w:rPr>
                <w:rFonts w:ascii="" w:hAnsi="" w:eastAsia=""/>
                <w:b w:val="0"/>
                <w:i w:val="0"/>
                <w:color w:val="424242"/>
                <w:sz w:val="22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blevinsjonny@gmail.com" TargetMode="External"/><Relationship Id="rId10" Type="http://schemas.openxmlformats.org/officeDocument/2006/relationships/hyperlink" Target="https://www.linkedin.com/in/jonnyblevins/" TargetMode="External"/><Relationship Id="rId11" Type="http://schemas.openxmlformats.org/officeDocument/2006/relationships/hyperlink" Target="http://www.jonnyblevins.com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github.com/jonnyblevins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github.com/orgs/BreakingPlaid/repositories" TargetMode="External"/><Relationship Id="rId18" Type="http://schemas.openxmlformats.org/officeDocument/2006/relationships/hyperlink" Target="https://jonnyblevins.com/" TargetMode="External"/><Relationship Id="rId19" Type="http://schemas.openxmlformats.org/officeDocument/2006/relationships/hyperlink" Target="https://app.milanote.com/1RFUtM18RfJWfK?p=Mztqdb1i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