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{#is_shabbat_mevarchim}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</w:rPr>
        <w:t xml:space="preserve"> – שבת מברכים</w:t>
      </w:r>
      <w:r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{/is_shabbat_mevarchim}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{#day_womens_shiur}שיעור לנשים – {day_womens_shiur}{/day_womens_shiur}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D" w14:textId="3CF726D8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{#has_selichot}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סליחות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{#has_tzom_gedaliah}צום גדליה ({tzom_gedaliah_day_str}) {tzom_gedaliah_selichot}{#has_other_selichot}, שאר הימים {week_selichot}{/has_other_selichot}{/has_tzom_gedaliah}{^has_tzom_gedaliah}{week_selichot}{/has_tzom_gedaliah}{/has_selichot}</w:t>
      </w: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{#has_rosh_chodesh}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ר"ח (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{rosh_chodesh_days_str}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)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{week_shacharit_rh}{/has_rosh_chodesh}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({fast_days_str}) {week_shacharit_fast}{/has_fast}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{week_mincha}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{fast_mincha}{/has_fast}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מוצאי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{fast_arvit}{/has_fast}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