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3 Workflow y creación de tareas</w:t>
      </w:r>
    </w:p>
    <w:p>
      <w:pPr>
        <w:pStyle w:val="Subtitle"/>
      </w:pPr>
      <w:r>
        <w:t>Requerimientos para solicitudes, asignaciones y transiciones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Implementar el núcleo del workflow: tipos de tarea, creación de solicitudes, selección de destinatarios, publicación, asignación individual y control estricto de transiciones.</w:t>
      </w: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Catálogo de tipos de tarea y evidencia requerida.</w:t>
      </w:r>
    </w:p>
    <w:p>
      <w:pPr>
        <w:pStyle w:val="ListBullet"/>
        <w:spacing w:after="60"/>
      </w:pPr>
      <w:r>
        <w:t>Creación, edición y cancelación de borradores.</w:t>
      </w:r>
    </w:p>
    <w:p>
      <w:pPr>
        <w:pStyle w:val="ListBullet"/>
        <w:spacing w:after="60"/>
      </w:pPr>
      <w:r>
        <w:t>Asignación a un docente, lista de docentes, todos o filtro institucional.</w:t>
      </w:r>
    </w:p>
    <w:p>
      <w:pPr>
        <w:pStyle w:val="ListBullet"/>
        <w:spacing w:after="60"/>
      </w:pPr>
      <w:r>
        <w:t>Publicación transaccional de tareas y asignaciones individuales.</w:t>
      </w:r>
    </w:p>
    <w:p>
      <w:pPr>
        <w:pStyle w:val="ListBullet"/>
        <w:spacing w:after="60"/>
      </w:pPr>
      <w:r>
        <w:t>Fechas límite, prioridad, responsable y revisor.</w:t>
      </w:r>
    </w:p>
    <w:p>
      <w:pPr>
        <w:pStyle w:val="ListBullet"/>
        <w:spacing w:after="60"/>
      </w:pPr>
      <w:r>
        <w:t>Motor o servicio de transiciones válidas.</w:t>
      </w:r>
    </w:p>
    <w:p>
      <w:pPr>
        <w:pStyle w:val="ListBullet"/>
        <w:spacing w:after="60"/>
      </w:pPr>
      <w:r>
        <w:t>Historial inmutable de estados y comentarios de transición.</w:t>
      </w:r>
    </w:p>
    <w:p>
      <w:pPr>
        <w:pStyle w:val="ListBullet"/>
        <w:spacing w:after="60"/>
      </w:pPr>
      <w:r>
        <w:t>Consulta administrativa y seguimiento por estado.</w:t>
      </w:r>
    </w:p>
    <w:p>
      <w:pPr>
        <w:pStyle w:val="Heading1"/>
      </w:pPr>
      <w:r>
        <w:t>Transiciones mínimas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nuevo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publish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Coordinador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assigned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start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in_progress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 destinatario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in_progress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submit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submitted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 destinatario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submitted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review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under_review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Revisor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under_review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return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returned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Revisor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returned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resubmit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submitted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Docente destinatario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under_review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approve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approved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Revisor o autoridad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approved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close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closed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Coordinador o sistema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 o assigned</w:t>
            </w:r>
          </w:p>
        </w:tc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cancel</w:t>
            </w:r>
          </w:p>
        </w:tc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cancelled</w:t>
            </w:r>
          </w:p>
        </w:tc>
        <w:tc>
          <w:tcPr>
            <w:tcW w:type="dxa" w:w="42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Coordinador autorizado</w:t>
            </w:r>
          </w:p>
        </w:tc>
      </w:tr>
    </w:tbl>
    <w:p>
      <w:pPr>
        <w:spacing w:after="0"/>
      </w:pPr>
    </w:p>
    <w:p>
      <w:pPr>
        <w:pStyle w:val="Heading1"/>
      </w:pPr>
      <w:r>
        <w:t>Endpoints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/task-types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o crear tipos.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Listar o crear tarea.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GET/PATCH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/tasks/{id}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Detalle o edición de borrador.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/tasks/{id}/recipients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Configurar destinatarios.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/tasks/{id}/publish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Publicar y crear asignaciones.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/tasks/{id}/cancel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Cancelar según reglas.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/tasks/{id}/assignments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Monitorear destinatarios.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48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/assignments/{id}/history</w:t>
            </w:r>
          </w:p>
        </w:tc>
        <w:tc>
          <w:tcPr>
            <w:tcW w:type="dxa" w:w="41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Historial de transiciones.</w:t>
            </w:r>
          </w:p>
        </w:tc>
      </w:tr>
    </w:tbl>
    <w:p>
      <w:pPr>
        <w:spacing w:after="0"/>
      </w:pPr>
    </w:p>
    <w:p>
      <w:pPr>
        <w:pStyle w:val="Heading1"/>
      </w:pPr>
      <w:r>
        <w:t>Reglas de negocio</w:t>
      </w:r>
    </w:p>
    <w:p>
      <w:pPr>
        <w:pStyle w:val="ListBullet"/>
        <w:spacing w:after="60"/>
      </w:pPr>
      <w:r>
        <w:t>Una tarea en borrador no aparece en inbox.</w:t>
      </w:r>
    </w:p>
    <w:p>
      <w:pPr>
        <w:pStyle w:val="ListBullet"/>
        <w:spacing w:after="60"/>
      </w:pPr>
      <w:r>
        <w:t>Publicar dos veces no duplica asignaciones; debe ser idempotente o rechazar conflicto.</w:t>
      </w:r>
    </w:p>
    <w:p>
      <w:pPr>
        <w:pStyle w:val="ListBullet"/>
        <w:spacing w:after="60"/>
      </w:pPr>
      <w:r>
        <w:t>Cada destinatario avanza de manera independiente.</w:t>
      </w:r>
    </w:p>
    <w:p>
      <w:pPr>
        <w:pStyle w:val="ListBullet"/>
        <w:spacing w:after="60"/>
      </w:pPr>
      <w:r>
        <w:t>No se acepta una transición fuera del mapa permitido.</w:t>
      </w:r>
    </w:p>
    <w:p>
      <w:pPr>
        <w:pStyle w:val="ListBullet"/>
        <w:spacing w:after="60"/>
      </w:pPr>
      <w:r>
        <w:t>Toda devolución exige comentario.</w:t>
      </w:r>
    </w:p>
    <w:p>
      <w:pPr>
        <w:pStyle w:val="ListBullet"/>
        <w:spacing w:after="60"/>
      </w:pPr>
      <w:r>
        <w:t>Las fechas límite y prioridad se copian o resuelven consistentemente en la asignación.</w:t>
      </w:r>
    </w:p>
    <w:p>
      <w:pPr>
        <w:pStyle w:val="ListBullet"/>
        <w:spacing w:after="60"/>
      </w:pPr>
      <w:r>
        <w:t>Las transiciones se ejecutan dentro de una transacción de base de datos.</w:t>
      </w:r>
    </w:p>
    <w:p>
      <w:pPr>
        <w:pStyle w:val="ListBullet"/>
        <w:spacing w:after="60"/>
      </w:pPr>
      <w:r>
        <w:t>Cada cambio emite un evento que el Grupo 6 convierte en notificación.</w:t>
      </w:r>
    </w:p>
    <w:p>
      <w:pPr>
        <w:pStyle w:val="Heading1"/>
      </w:pPr>
      <w:r>
        <w:t>Entregables</w:t>
      </w:r>
    </w:p>
    <w:p>
      <w:pPr>
        <w:spacing w:after="60"/>
      </w:pPr>
      <w:r>
        <w:t>1.  Pantallas de tipos, creación y seguimiento.</w:t>
      </w:r>
    </w:p>
    <w:p>
      <w:pPr>
        <w:spacing w:after="60"/>
      </w:pPr>
      <w:r>
        <w:t>2.  Endpoints y servicio de transiciones.</w:t>
      </w:r>
    </w:p>
    <w:p>
      <w:pPr>
        <w:spacing w:after="60"/>
      </w:pPr>
      <w:r>
        <w:t>3.  Matriz documentada de estados, acciones y roles.</w:t>
      </w:r>
    </w:p>
    <w:p>
      <w:pPr>
        <w:spacing w:after="60"/>
      </w:pPr>
      <w:r>
        <w:t>4.  Pruebas de todas las rutas válidas e inválidas.</w:t>
      </w:r>
    </w:p>
    <w:p>
      <w:pPr>
        <w:spacing w:after="60"/>
      </w:pPr>
      <w:r>
        <w:t>5.  Escenario semilla con tarea individual y masiva.</w:t>
      </w:r>
    </w:p>
    <w:p>
      <w:pPr>
        <w:spacing w:after="60"/>
      </w:pPr>
      <w:r>
        <w:t>6.  Documentación para que el Grupo 4 consuma asignaciones.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Publicar a todos crea exactamente una asignación por docente elegible.</w:t>
      </w:r>
    </w:p>
    <w:p>
      <w:pPr>
        <w:pStyle w:val="ListBullet"/>
        <w:spacing w:after="60"/>
      </w:pPr>
      <w:r>
        <w:t>El creador puede monitorear avance individual y agregado.</w:t>
      </w:r>
    </w:p>
    <w:p>
      <w:pPr>
        <w:pStyle w:val="ListBullet"/>
        <w:spacing w:after="60"/>
      </w:pPr>
      <w:r>
        <w:t>Una transición inválida responde 409 sin modificar datos.</w:t>
      </w:r>
    </w:p>
    <w:p>
      <w:pPr>
        <w:pStyle w:val="ListBullet"/>
        <w:spacing w:after="60"/>
      </w:pPr>
      <w:r>
        <w:t>Un usuario no destinatario no inicia ni entrega la asignación.</w:t>
      </w:r>
    </w:p>
    <w:p>
      <w:pPr>
        <w:pStyle w:val="ListBullet"/>
        <w:spacing w:after="60"/>
      </w:pPr>
      <w:r>
        <w:t>Devolver sin observación responde 422.</w:t>
      </w:r>
    </w:p>
    <w:p>
      <w:pPr>
        <w:pStyle w:val="ListBullet"/>
        <w:spacing w:after="60"/>
      </w:pPr>
      <w:r>
        <w:t>Cada transición aparece en el historial con actor y fecha.</w:t>
      </w:r>
    </w:p>
    <w:p>
      <w:pPr>
        <w:pStyle w:val="ListBullet"/>
        <w:spacing w:after="60"/>
      </w:pPr>
      <w:r>
        <w:t>La cancelación conserva la historia.</w:t>
      </w:r>
    </w:p>
    <w:p>
      <w:pPr>
        <w:pStyle w:val="ListBullet"/>
        <w:spacing w:after="60"/>
      </w:pPr>
      <w:r>
        <w:t>Los eventos necesarios para notificaciones quedan disponibles.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Usar entidades y transacciones del Grupo 1.</w:t>
      </w:r>
    </w:p>
    <w:p>
      <w:pPr>
        <w:pStyle w:val="ListBullet"/>
        <w:spacing w:after="60"/>
      </w:pPr>
      <w:r>
        <w:t>Usar autenticación, permisos y formato API del Grupo 2.</w:t>
      </w:r>
    </w:p>
    <w:p>
      <w:pPr>
        <w:pStyle w:val="ListBullet"/>
        <w:spacing w:after="60"/>
      </w:pPr>
      <w:r>
        <w:t>Exponer asignaciones que consumirán el Grupo 4 y eventos que usará el Grupo 6.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3  |  Workflow y creación de tareas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