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a237e"/>
          <w:sz w:val="60"/>
          <w:szCs w:val="60"/>
          <w:rtl w:val="0"/>
        </w:rPr>
        <w:t xml:space="preserve">STEERING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1a56db"/>
          <w:sz w:val="40"/>
          <w:szCs w:val="40"/>
          <w:rtl w:val="0"/>
        </w:rPr>
        <w:t xml:space="preserve">Migrasi TEKNO (e-BENGKEL)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28"/>
          <w:szCs w:val="28"/>
          <w:rtl w:val="0"/>
        </w:rPr>
        <w:t xml:space="preserve">Dari ASP.NET Web Forms ke Golang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af6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Draft v1.0 — Menunggu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af6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PT. Jakarta Teknologi Utama Motor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— TEKNO Migration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af6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 Juli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af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af6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Klasifikasi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af6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Seluruh keputusan bersumber dari docs/decision-log.md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af6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Basis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Seluruh klaim teknis bersumber dari docs/understanding-findings.md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— CONFIDENTIAL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Dokumen ini adalah blueprint migrasi. Tidak berisi source code, API schema,</w:t>
        <w:br w:type="textWrapping"/>
        <w:t xml:space="preserve">atau database migration script — hal tersebut disusun setelah Steering ini disetujui.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2"/>
          <w:szCs w:val="22"/>
          <w:rtl w:val="0"/>
        </w:rPr>
        <w:t xml:space="preserve">1. Pemahaman Bisnis (Business Understanding)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sz w:val="22"/>
          <w:szCs w:val="22"/>
          <w:rtl w:val="0"/>
        </w:rPr>
        <w:t xml:space="preserve">2. Arsitektur Saat Ini (As-Is)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sz w:val="22"/>
          <w:szCs w:val="22"/>
          <w:rtl w:val="0"/>
        </w:rPr>
        <w:t xml:space="preserve">3. Arsitektur Masa Depan (To-Be)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z w:val="22"/>
          <w:szCs w:val="22"/>
          <w:rtl w:val="0"/>
        </w:rPr>
        <w:t xml:space="preserve">4. Domain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 Bounded Contexts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z w:val="22"/>
          <w:szCs w:val="22"/>
          <w:rtl w:val="0"/>
        </w:rPr>
        <w:t xml:space="preserve">6. Module Breakdown &amp; Urutan Migrasi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z w:val="22"/>
          <w:szCs w:val="22"/>
          <w:rtl w:val="0"/>
        </w:rPr>
        <w:t xml:space="preserve">7. Strategi Migrasi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sz w:val="22"/>
          <w:szCs w:val="22"/>
          <w:rtl w:val="0"/>
        </w:rPr>
        <w:t xml:space="preserve">8. Strategi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2"/>
          <w:szCs w:val="22"/>
          <w:rtl w:val="0"/>
        </w:rPr>
        <w:t xml:space="preserve">9. Standar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z w:val="22"/>
          <w:szCs w:val="22"/>
          <w:rtl w:val="0"/>
        </w:rPr>
        <w:t xml:space="preserve">10. Struktur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z w:val="22"/>
          <w:szCs w:val="22"/>
          <w:rtl w:val="0"/>
        </w:rPr>
        <w:t xml:space="preserve">11. Strategi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sz w:val="22"/>
          <w:szCs w:val="22"/>
          <w:rtl w:val="0"/>
        </w:rPr>
        <w:t xml:space="preserve">12.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2"/>
          <w:szCs w:val="22"/>
          <w:rtl w:val="0"/>
        </w:rPr>
        <w:t xml:space="preserve">13.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2"/>
          <w:szCs w:val="22"/>
          <w:rtl w:val="0"/>
        </w:rPr>
        <w:t xml:space="preserve">14. Konfigurasi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22"/>
          <w:szCs w:val="22"/>
          <w:rtl w:val="0"/>
        </w:rPr>
        <w:t xml:space="preserve">15. Keamanan (Security)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z w:val="22"/>
          <w:szCs w:val="22"/>
          <w:rtl w:val="0"/>
        </w:rPr>
        <w:t xml:space="preserve">16. Autentikasi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sz w:val="22"/>
          <w:szCs w:val="22"/>
          <w:rtl w:val="0"/>
        </w:rPr>
        <w:t xml:space="preserve">17. Autorisasi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22"/>
          <w:szCs w:val="22"/>
          <w:rtl w:val="0"/>
        </w:rPr>
        <w:t xml:space="preserve">18. Strategi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z w:val="22"/>
          <w:szCs w:val="22"/>
          <w:rtl w:val="0"/>
        </w:rPr>
        <w:t xml:space="preserve">19. Strategi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sz w:val="22"/>
          <w:szCs w:val="22"/>
          <w:rtl w:val="0"/>
        </w:rPr>
        <w:t xml:space="preserve">20. Strategi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2"/>
          <w:szCs w:val="22"/>
          <w:rtl w:val="0"/>
        </w:rPr>
        <w:t xml:space="preserve">21. Analisis Risiko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sz w:val="22"/>
          <w:szCs w:val="22"/>
          <w:rtl w:val="0"/>
        </w:rPr>
        <w:t xml:space="preserve">22.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sz w:val="22"/>
          <w:szCs w:val="22"/>
          <w:rtl w:val="0"/>
        </w:rPr>
        <w:t xml:space="preserve">23. Strategi Performa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sz w:val="22"/>
          <w:szCs w:val="22"/>
          <w:rtl w:val="0"/>
        </w:rPr>
        <w:t xml:space="preserve">24. Skalabilitas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z w:val="22"/>
          <w:szCs w:val="22"/>
          <w:rtl w:val="0"/>
        </w:rPr>
        <w:t xml:space="preserve">25.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sz w:val="22"/>
          <w:szCs w:val="22"/>
          <w:rtl w:val="0"/>
        </w:rPr>
        <w:t xml:space="preserve">26. Future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1. Pemahaman Bisnis (Business Understanding)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1.1 Apa Itu TEKNO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sz w:val="22"/>
          <w:szCs w:val="22"/>
          <w:rtl w:val="0"/>
        </w:rPr>
        <w:t xml:space="preserve">TEKNO (e-BENGKEL) adalah sistem operasional untuk jaringan bengkel body-repair kendaraan milik </w:t>
      </w:r>
      <w:r w:rsidDel="00000000" w:rsidR="00000000" w:rsidRPr="00000000">
        <w:rPr>
          <w:rtl w:val="0"/>
        </w:rPr>
        <w:t xml:space="preserve">PT. Jakarta Teknologi Utama Motor</w:t>
      </w:r>
      <w:r w:rsidDel="00000000" w:rsidR="00000000" w:rsidRPr="00000000">
        <w:rPr>
          <w:sz w:val="22"/>
          <w:szCs w:val="22"/>
          <w:rtl w:val="0"/>
        </w:rPr>
        <w:t xml:space="preserve">, melayani perbaikan kendaraan berbasis klaim asuransi di (minimal) 5 kota cabang: Jakarta, Medan, Pekanbaru, Palembang, Surabaya. Sistem ini mengelola siklus lengkap satu pekerjaan perbaikan kendaraan dari intake hingga delivery, ditambah beberapa lini bisnis yang berdekatan.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1.2 Alur Bisnis Inti (Terverifikasi dari Source Code)</w:t>
      </w:r>
    </w:p>
    <w:p w:rsidR="00000000" w:rsidDel="00000000" w:rsidP="00000000" w:rsidRDefault="00000000" w:rsidRPr="00000000" w14:paraId="0000003D">
      <w:pPr>
        <w:ind w:left="567" w:firstLine="0"/>
        <w:rPr>
          <w:rFonts w:ascii="Consolas" w:cs="Consolas" w:eastAsia="Consolas" w:hAnsi="Consola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567" w:firstLine="0"/>
        <w:rPr>
          <w:rFonts w:ascii="Consolas" w:cs="Consolas" w:eastAsia="Consolas" w:hAnsi="Consolas"/>
          <w:color w:val="37474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37474f"/>
          <w:sz w:val="18"/>
          <w:szCs w:val="18"/>
        </w:rPr>
        <w:drawing>
          <wp:inline distB="114300" distT="114300" distL="114300" distR="114300">
            <wp:extent cx="5435257" cy="8293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257" cy="829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sz w:val="22"/>
          <w:szCs w:val="22"/>
          <w:rtl w:val="0"/>
        </w:rPr>
        <w:t xml:space="preserve">Alur paralel: TCR/Total Loss — estimasi kerusakan total → approval → lelang/salvage → journal posting. Juga ada: marketplace suku cadang bekas internal (TKU), bursa mobil bekas (terkait TCR/salvage), dan workflow perbaikan aset internal General Affairs — semuanya berbagi platform/database yang sama tetapi secara fungsional terpisah dari bisnis inti perbaikan kendaraan.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1.3 Tujuan Bisnis Migrasi Ini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Memindahkan seluruh kapabilitas operasional dari ASP.NET Web Forms (.NET 2.0, VB.NET, tanpa dukungan vendor, tanpa test, tanpa CI/CD) ke platform Golang + PostgreSQL yang modern, testable, dan maintainable.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Menjaga kelangsungan bisnis — sistem lama tetap menjadi satu-satunya sistem produksi, tidak diubah, sampai sistem baru sepenuhnya dibangun dan divalidasi (§7 Strategi Migrasi).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Menutup technical-debt dan celah keamanan yang sudah diketahui, bukan mereplikasinya (§15).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Memodernisasi UI ke React SPA dengan tampilan profesional dan modern (§1.4, §3.5).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Menyesuaikan arsitektur dengan skala aktual — 200-300 daily active users, deployment on-premise — menghindari under-engineering (tanpa test, tanpa struktur) maupun over-engineering (tanpa microservices/Kubernetes/Vault pada skala ini).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1.4 Non-Goal Eksplisit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 adalah reimplementasi, BUKAN reengineering proses bisnis — business rules yang ada dipertahankan kecuali ada keputusan eksplisit di dokumen ini yang menyatakan sebaliknya.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Subsistem Classic ASP (login.asp, menu*.asp) secara eksplisit OUT of scope — dikonfirmasi orphaned, akan didekomisioning, tidak diporting (decision log Q15).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Re-arsitektur topologi database (split per-cabang, multi-tenancy) secara eksplisit OUT of scope — satu shared PostgreSQL database dipertahankan (decision log Q11).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2. Arsitektur Saat Ini (As-Is)</w:t>
      </w:r>
    </w:p>
    <w:tbl>
      <w:tblPr>
        <w:tblStyle w:val="Table2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12" w:val="single"/>
              <w:bottom w:color="e65100" w:space="0" w:sz="4" w:val="single"/>
              <w:right w:color="e65100" w:space="0" w:sz="4" w:val="single"/>
            </w:tcBorders>
            <w:shd w:fill="fff3e0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RINGKASAN ARSITEKTUR EXISTING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ASP.NET Web Forms (VB.NET, .NET 2.0) + Classic ASP legacy + Oracle 10.2 (schema NEWBENGKEL)</w:t>
              <w:br w:type="textWrapping"/>
              <w:t xml:space="preserve">~766 halaman .aspx + code-behind, 23 handler .ashx JSON API, 305 Crystal Reports</w:t>
              <w:br w:type="textWrapping"/>
              <w:t xml:space="preserve">Satu 'God class' 9.723 baris (General.vb), ~736 stored procedure, TANPA test/CI/CD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z w:val="22"/>
          <w:szCs w:val="22"/>
          <w:rtl w:val="0"/>
        </w:rPr>
        <w:t xml:space="preserve">ASP.NET Web Forms (VB.NET, .NET 2.0, Web Site model — tanpa .sln/.vbproj, direct IIS deployment, tanpa build system) + Classic ASP predecessor yang sudah orphaned. Oracle 10.2 database (schema NEWBENGKEL pada instance asmd), plus koneksi langsung ke dua instance Oracle lain untuk kategori asuransi lain (simasnet, syariah_s). Mercurial VCS mengarah ke server internal.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Skala: ~766 halaman .aspx + code-behind, sub-aplikasi paralel (Teknobodyrepair/), 23 handler .ashx JSON API, 305 Crystal Reports, satu God class 9.723 baris (General.vb).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Tanpa layering arsitektur: tanpa ORM, tanpa service layer, tanpa repository pattern — raw SQL dan stored-procedure call dibangun ad hoc per halaman.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Tanpa automated test, tanpa CI/CD — deployment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Realitas data access: ~736 nama stored-procedure/package berbeda dipanggil dari app, tapi hanya ~5.5% yang punya DDL/source di repository ini. Sebagian besar business logic HANYA ada di live Oracle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Tanpa schema constraint: tidak ada satupun PRIMARY KEY, FOREIGN KEY, CHECK constraint, atau trigger di SQL dump repo ini. Semua integritas di-enforce di application/procedure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Autentikasi ganda: ASP.NET (DB-backed via M_USER, SHA-256 hashed) = aktif; Classic ASP (login.asp, hardcoded plaintext) = orphaned island.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Surface integrasi: ClaimQ, ~15 endpoint PEGA/HCC, WhatsApp gateway, Journal Service, Virtual Account, SiCepat/PCP courier APIs, SimasPoin, BalaiLelang, document-storage + LLM-OCR backend. TIDAK ADA integrasi yang implementasi retry logic; semua synchronous/blocking; konvensi auth tidak konsisten.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3. Arsitektur Masa Depan (To-Be)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3.1 Bentuk High-Level</w:t>
      </w:r>
    </w:p>
    <w:p w:rsidR="00000000" w:rsidDel="00000000" w:rsidP="00000000" w:rsidRDefault="00000000" w:rsidRPr="00000000" w14:paraId="0000005B">
      <w:pPr>
        <w:ind w:left="567" w:firstLine="0"/>
        <w:rPr/>
      </w:pPr>
      <w:r w:rsidDel="00000000" w:rsidR="00000000" w:rsidRPr="00000000">
        <w:rPr>
          <w:rFonts w:ascii="Consolas" w:cs="Consolas" w:eastAsia="Consolas" w:hAnsi="Consolas"/>
          <w:color w:val="37474f"/>
          <w:sz w:val="18"/>
          <w:szCs w:val="18"/>
          <w:rtl w:val="0"/>
        </w:rPr>
        <w:t xml:space="preserve">┌─────────────────────────┐     REST/JSON         ┌──────────────────────────────┐</w:t>
        <w:br w:type="textWrapping"/>
        <w:t xml:space="preserve">│   React SPA (Vite, TS)  │◀────────────────────▶│  Golang API — modular monolith│</w:t>
        <w:br w:type="textWrapping"/>
        <w:t xml:space="preserve">│   Ant Design/shadcn UI  │                       │  (single deployable binary)   │</w:t>
        <w:br w:type="textWrapping"/>
        <w:t xml:space="preserve">└─────────────────────────┘                       └───────────────┬───────────────┘</w:t>
        <w:br w:type="textWrapping"/>
        <w:t xml:space="preserve">                                                                  │</w:t>
        <w:br w:type="textWrapping"/>
        <w:t xml:space="preserve">                                ┌──────────────────────────────────┼─────────────────────┐</w:t>
        <w:br w:type="textWrapping"/>
        <w:t xml:space="preserve">                                ▼                                  ▼                      ▼</w:t>
        <w:br w:type="textWrapping"/>
        <w:t xml:space="preserve">                      ┌──────────────────┐           ┌──────────────────┐    ┌───────────────────────┐</w:t>
        <w:br w:type="textWrapping"/>
        <w:t xml:space="preserve">                      │   PostgreSQL      │          │ External adapters │    │ Internal scheduler    │</w:t>
        <w:br w:type="textWrapping"/>
        <w:t xml:space="preserve">                      │ (single shared DB)│          │ (ClaimQ, PEGA/HCC,│    │ (replaces URL-ping    │</w:t>
        <w:br w:type="textWrapping"/>
        <w:t xml:space="preserve">                      │                  │          │ WA, GL, VA, ...)  │    │ JOB_* pattern)        │</w:t>
        <w:br w:type="textWrapping"/>
        <w:t xml:space="preserve">                      └──────────────────┘          └──────────────────┘    └───────────────────────┘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3.2 Backend: Modular Monolith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2"/>
          <w:szCs w:val="22"/>
          <w:rtl w:val="0"/>
        </w:rPr>
        <w:t xml:space="preserve">Satu binary/deployable Go, dipartisi secara internal berdasarkan domain module (lihat §6). Tanpa service mesh, tanpa distributed tracing/service-discovery — tidak terjustifikasi pada 200-300 DAU. Batas modul internal di-enforce oleh Go package structure dan internal interfaces, bukan oleh network calls — ini menjaga modular-monolith tetap jujur (modul bisa di-split menjadi service nyata nanti jika benar-benar dibutuhkan).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3.3 Database: Single Shared PostgreSQL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sz w:val="22"/>
          <w:szCs w:val="22"/>
          <w:rtl w:val="0"/>
        </w:rPr>
        <w:t xml:space="preserve">Satu database/cluster PostgreSQL melayani semua 5 cabang. bengkel_id dipertahankan sebagai kolom diskriminator/filter biasa (bukan routing key, bukan basis schema-per-tenant) — melanjutkan langsung pola yang sudah terbukti di sistem Oracle 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3.4 API: REST/JSON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sz w:val="22"/>
          <w:szCs w:val="22"/>
          <w:rtl w:val="0"/>
        </w:rPr>
        <w:t xml:space="preserve">REST dipilih di atas gRPC — satu-satunya consumer adalah React SPA (tidak ada inter-service calls dalam modular monolith, jadi benefit utama gRPC — efficient service-to-service contracts — tidak berlaku).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3.5 Frontend: React SPA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sz w:val="22"/>
          <w:szCs w:val="22"/>
          <w:rtl w:val="0"/>
        </w:rPr>
        <w:t xml:space="preserve">React 18+, Vite, TypeScript, component library mature untuk admin-UI (Ant Design atau shadcn/ui+Tailwind). Tanpa SSR framework (Next.js/Nuxt ditolak — TEKNO 100% di belakang autentikasi tanpa halaman public/SEO-sensitive). Ekosistem React dipilih karena memiliki building blocks paling dalam untuk aplikasi CRUD/grid/report-heavy, dan hiring pool terbesar di Indonesia.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3.6 Topologi Deployment: On-Premise, Docker Compose/systemd, Tanpa Kubernetes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z w:val="22"/>
          <w:szCs w:val="22"/>
          <w:rtl w:val="0"/>
        </w:rPr>
        <w:t xml:space="preserve">On-premise data center Sinar Mas. Docker containers dikelola via Docker Compose/systemd pada set VM kecil — proporsional terhadap skala, menghindari operational tax Kubernetes cluster yang tidak terjustifikasi pada 200-300 DAU. Dapat berevolusi ke Kubernetes nanti jika Sinar Mas menstandardisasinya lebih luas.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3.7 Scheduling: Real Internal Scheduler Menggantikan Pola URL-Ping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sz w:val="22"/>
          <w:szCs w:val="22"/>
          <w:rtl w:val="0"/>
        </w:rPr>
        <w:t xml:space="preserve">Pola legacy JOB_AUTOPO/JOB_SEND_WA/JOB_GET_REPLY_WA/JOB_KIRIM_EMAIL (halaman yang menjalankan batch action saat di-hit oleh trigger eksternal yang tidak terdokumentasi) diganti dengan proper in-process Go scheduler (mis. cron-like library atau lightweight internal job runner) dengan jadwal eksplisit dan ter-version. Tabel queue legacy (INBOX_AUTOPO, t_tekno_send_wa, T_TEKNO_SEND_EMAIL) dipetakan langsung ke equivalent Postgres job-queue.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4. Domain Model (Glossary Awal)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2"/>
          <w:szCs w:val="22"/>
          <w:rtl w:val="0"/>
        </w:rPr>
        <w:t xml:space="preserve">Istilah-istilah berikut menggunakan nama Indonesia sebagaimana dipakai di live system — dipertahankan, tidak diterjemahkan: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Istilah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Makna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SPK (Surat Perintah Kerja)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Order — record transaksi utama untuk satu pekerjaan perbaikan kendaraan. Root DB entity T_SPK.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Bengkel / BENGKEL_ID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Workshop/cabang. Kolom diskriminator/filter, bukan routing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Proses / PROSES_ID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Tahap produksi. Kode live: 000=belum cetak, 001=BONGKAR, 007=PEMASANGAN, 008=FINISHING, 009=QC FINAL, 010=SELESAI, 021=BUBUT.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 (Official Receipt)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Invoice pelanggan/asuransi = total jasa + total sparepart - Nilai OR (deductible).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Permintaan Pembelian Bahan/Sparepart — dokumen internal sebelum 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Purchase Order ke supplier.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Total Constructive Loss — workflow klaim total loss (estimasi → approval → lelang/salvage).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Auction — disposal kendaraan total-loss/salvage.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HASIL_QC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Flag hasil QC: 1=pass, 0=fail, null=pending.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Bartender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 khusus (pencampur cat) yang activity/time log-nya ditrack terpisah.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Siapapun yang tercatat sebagai MEKANIK_QC pada panel/jasa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Marketplace suku cadang bekas internal.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Bursa Mobil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Bursa mobil bekas, terkait TCR/salvage disposal.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STS_EKONOMIS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Kode klasifikasi sourcing sparepart — menentukan apakah/bagaimana auto-order.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Polisi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Nomor plat kendaraan — natural key utama di seluruh lookup SPK/kendaraan/pelanggan.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12" w:val="single"/>
              <w:bottom w:color="e65100" w:space="0" w:sz="4" w:val="single"/>
              <w:right w:color="e65100" w:space="0" w:sz="4" w:val="single"/>
            </w:tcBorders>
            <w:shd w:fill="fff3e0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⚠ COLLISION ISTILAH YANG HARUS DIRESOLVASI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STS_VIP pada T_SPK digunakan secara bersamaan sebagai genuine VIP boolean (pada M_CLIENT) DAN sebagai kode pemilih 'Lokasi Pengerjaan' (values 6,7,9,G,M) pada T_SPK — keduanya HARUS menjadi dua kolom Postgres yang terpisah dan bernama jelas.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5. Bounded Contexts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sz w:val="22"/>
          <w:szCs w:val="22"/>
          <w:rtl w:val="0"/>
        </w:rPr>
        <w:t xml:space="preserve">Diturunkan dari inventory modul terverifikasi (§6) dan integration map. Setiap context memiliki data intinya sendiri dan mengekspos kontrak eksplisit ke context lain — ini adalah batas modul internal modular-monolith, BUKAN batas microservice: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Bounded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SPK &amp; Production/QC — work-order lifecycle, multi-stage tracking, mechanic/Bartender assignment, integrasi ClaimQ/PEGA/QC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Procurement (Sparepart/Bahan/PO) — auto/manual PO, goods receipt, stock, mapping branch↔warehouse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Finance — OR/billing, settlement (incl. VA), bank deposit/reconciliation, journal posting ke GL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TCR / Salvage / Lelang — estimasi, approval, auction, disposal, journal 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Customer Service — complaint intake/tracking, follow-up, online tracking (customer-facing)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Master Data — vehicles, clients, suppliers, insurers, materials, services, panels, users/RBAC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Reporting — pengganti Crystal Reports (§10)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Auxiliary marketplaces — TKU, Bursa Mobil, GA asset repair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Integrations — dedicated context untuk semua external adapter (ClaimQ, PEGA/HCC, WhatsApp, Journal, VA, SMTP, courier, SimasPoin, OCR)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6. Module Breakdown &amp; Urutan Migrasi</w:t>
      </w:r>
    </w:p>
    <w:tbl>
      <w:tblPr>
        <w:tblStyle w:val="Table6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Kedalaman 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Urutan Migrasi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SPK (Work 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Deep — file riil teridentifikasi, field/validasi/save-order fully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Production/QC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Deep — stage codes, sequencing, PASS/FAIL, integration hooks fully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Pertama (bersamaan SPK)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Mechanic/Bartender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Deep (sub-dive)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Bersama SPK/QC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Auto/Manual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Deep (sub-dive) — 3 subsistem coexisting teridentifikasi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Bersama SPK/QC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Procurement/Sparepart/Bahan (broader)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Gelombang kedua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Finance/OR/Settlement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Gelombang kedua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TCR/Salvage/Lelang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Gelombang ketiga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Customer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Gelombang ketiga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Inventory-level (cross-cutting — dibutuhkan dini)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Bersamaan gelombang pertama (fondasi)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Inventory-level; strategi Crystal Reports replacement didefinisikan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Ongoing per modul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TKU / Bursa Mobil / GA-asset-repair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Inventory-level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Gelombang terakhir (prioritas bisnis terendah)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12" w:val="single"/>
              <w:bottom w:color="2e7d32" w:space="0" w:sz="4" w:val="single"/>
              <w:right w:color="2e7d32" w:space="0" w:sz="4" w:val="single"/>
            </w:tcBorders>
            <w:shd w:fill="e8f5e9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CATATAN PENTING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 5-11 memerlukan deep-dive tersendiri (rigor yang sama dengan modul 1-4) SEBELUM desain teknis detail mereka dimulai. Steering ini secara eksplisit TIDAK mengklaim mereka sudah dipahami sampai kedalaman implementation-ready — ini adalah trade-off yang diterima secara sadar.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7. Strategi Migrasi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phase: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sz w:val="22"/>
          <w:szCs w:val="22"/>
          <w:rtl w:val="0"/>
        </w:rPr>
        <w:t xml:space="preserve">Setiap modul Golang dibangun dan divalidasi terhadap perilaku aktual sistem legacy (characterization-tested, §20) sementara sistem ASP.NET + Classic ASP lama tetap menjadi satu-satunya sistem produksi yang tidak dimodifikasi untuk semua 5 cabang. Tidak ada sinkronisasi data dual-system di fase ini karena belum ada yang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Cutover phase: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sz w:val="22"/>
          <w:szCs w:val="22"/>
          <w:rtl w:val="0"/>
        </w:rPr>
        <w:t xml:space="preserve">Setelah semua modul dibangun dan divalidasi, cutover di-rollout branch-by-branch, BUKAN sebagai satu event simultan 5-cabang — dimulai dari cabang terkecil/risiko-terendah, dimonitor untuk periode stabilisasi yang disepakati, sebelum melanjutkan ke cabang lainnya.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Karena satu cabang selalu sepenuhnya di satu sistem pada satu waktu, TIDAK perlu sinkronisasi data real-time antara sistem lama dan baru.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control: target CI/CD (GitLab CI) mengimplikasikan migrasi source control dari Mercurial ke Git/GitLab sebagai task teknis eksplisit di awal.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 prioritas (SPK+Production/QC) adalah yang pertama menjalani full technical design, build, dan characterization testing — dipilih secara deliberate sebagai modul paling business-critical dan paling heavily-integrated.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8. Strategi Teknis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Language/Runtime: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 (versi per team standard — rekomendasi Go 1.2x stabil terbaru).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Driver/ORM: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Lightweight query builder atau sqlc-style typed-query generation (bukan heavyweight ORM) — mempertahankan transparansi SQL sambil mendapat compile-time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 migrasi nyata (golang-migrate, atlas, atau goose) — menggantikan proses 'manual DBA script langsung ke production'.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Setiap operasi bisnis multi-statement HARUS dibungkus dalam satu DB transaction dengan proper rollback — langsung menutup gap di sistem 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Layer: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Satu abstraksi HTTP client yang konsisten (timeout, retry-with-backoff, structured logging, circuit breaking) dibagikan oleh setiap external adapter — menggantikan ~9 duplicated HTTP helper di General.vb.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9. Standar Coding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Konvensi Go standar (gofmt/golangci-lint enforced di CI), table-driven tests, explicit error wrapping.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TIDAK ADA business logic di HTTP handlers — handler parse/validate input, panggil service function, map result ke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Batas domain-module adalah batas Go package yang nyata — internal tables/types modul tidak diimport langsung oleh modul lain; cross-module calls lewat exported interface eksplisit.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10. Struktur Folder (Proposed, Go Backend)</w:t>
      </w:r>
    </w:p>
    <w:p w:rsidR="00000000" w:rsidDel="00000000" w:rsidP="00000000" w:rsidRDefault="00000000" w:rsidRPr="00000000" w14:paraId="000000EF">
      <w:pPr>
        <w:ind w:left="567" w:firstLine="0"/>
        <w:rPr/>
      </w:pPr>
      <w:r w:rsidDel="00000000" w:rsidR="00000000" w:rsidRPr="00000000">
        <w:rPr>
          <w:rFonts w:ascii="Consolas" w:cs="Consolas" w:eastAsia="Consolas" w:hAnsi="Consolas"/>
          <w:color w:val="37474f"/>
          <w:sz w:val="18"/>
          <w:szCs w:val="18"/>
          <w:rtl w:val="0"/>
        </w:rPr>
        <w:t xml:space="preserve">/cmd</w:t>
        <w:br w:type="textWrapping"/>
        <w:t xml:space="preserve">  /api            — main entrypoint(s)</w:t>
        <w:br w:type="textWrapping"/>
        <w:t xml:space="preserve">/internal</w:t>
        <w:br w:type="textWrapping"/>
        <w:t xml:space="preserve">  /spk            — SPK bounded context (domain, service, repository, handlers)</w:t>
        <w:br w:type="textWrapping"/>
        <w:t xml:space="preserve">  /production     — Production/QC bounded context</w:t>
        <w:br w:type="textWrapping"/>
        <w:t xml:space="preserve">  /procurement    — Sparepart/Bahan/PO</w:t>
        <w:br w:type="textWrapping"/>
        <w:t xml:space="preserve">  /finance        — OR/Settlement/VA</w:t>
        <w:br w:type="textWrapping"/>
        <w:t xml:space="preserve">  /tcr            — Total Loss/Salvage/Lelang</w:t>
        <w:br w:type="textWrapping"/>
        <w:t xml:space="preserve">  /customerservice</w:t>
        <w:br w:type="textWrapping"/>
        <w:t xml:space="preserve">  /masterdata     — Vehicles, Clients, Suppliers, Insurers, Materials, Services, Users/RBAC</w:t>
        <w:br w:type="textWrapping"/>
        <w:t xml:space="preserve">  /reporting      — PDF generation replacing Crystal Reports</w:t>
        <w:br w:type="textWrapping"/>
        <w:t xml:space="preserve">  /integrations   — ClaimQ, PEGA/HCC, WhatsApp, JournalService, VA, SMTP, courier, SimasPoin, OCR</w:t>
        <w:br w:type="textWrapping"/>
        <w:t xml:space="preserve">  /scheduler      — replaces JOB_* URL-ping pattern</w:t>
        <w:br w:type="textWrapping"/>
        <w:t xml:space="preserve">  /platform       — cross-cutting: config, logging, db pool, auth middleware</w:t>
        <w:br w:type="textWrapping"/>
        <w:t xml:space="preserve">/migrations       — versioned SQL migrations</w:t>
        <w:br w:type="textWrapping"/>
        <w:t xml:space="preserve">/web              — React SPA (Vite, 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tl w:val="0"/>
        </w:rPr>
        <w:t xml:space="preserve">11. Strategi API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REST/JSON, versioned via URL path (/api/v1/...) dari hari pertama.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Setiap endpoint memerlukan autentikasi (JWT atau session-token) — menutup temuan bahwa 20 dari 23 legacy handler (87%) tanpa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Envelope konsisten untuk success/error responses (explicit status/error-code fields).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Endpoint customer-facing (Online Tracking) mendapat autentikasi ringan — perbaikan keamanan deliberate atas perilaku 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12. Error Handling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Structured, typed errors di domain layer (mis. ErrVehicleNotRegistered, ErrSequenceViolation) dipetakan ke HTTP status codes konsisten.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Kegagalan integrasi eksternal TIDAK BOLEH secara silent memblokir alur bisnis inti — mis. gagal notifikasi WhatsApp tidak boleh mencegah QC save selesai.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Desain harus membedakan integrasi yang legitimately blocking (mis. GL journal posting) vs yang harus degrade gracefully dengan retry queue (mis. WhatsApp, courier tracking).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rPr>
          <w:rtl w:val="0"/>
        </w:rPr>
        <w:t xml:space="preserve">13. Logging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 logging (slog atau zerolog) dengan request-correlation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Tanpa enterprise logging/observability standard yang harus diikuti — rekomendasi stack proporsional (structured JSON logs ke Loki, Prometheus/Grafana untuk metrics) untuk 200-300 DAU.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Auditability: setiap aksi kritikal (approval, perubahan status produksi, transaksi keuangan) harus di-log dengan detail cukup untuk merekonstruksi 'siapa melakukan apa kapan' — peningkatan nyata atas 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14. Konfigurasi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 variables / encrypted config file di-mount saat deploy — tanpa tool secrets-management baru (Vault/SOPS) pada skala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Menggantikan mekanisme TeknoLib.dll yang tertutup (reflection-based connection-string-decrypt) dengan sesuatu yang seluruh tim bisa baca dan reason langsung.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 per-environment (dev/test/prod) via distinct config files/env-var sets — menggantikan pola 'comment out/uncomment URL literal' yang rawan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15. Keamanan (Security)</w:t>
      </w:r>
    </w:p>
    <w:tbl>
      <w:tblPr>
        <w:tblStyle w:val="Table8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12" w:val="single"/>
              <w:bottom w:color="c62828" w:space="0" w:sz="4" w:val="single"/>
              <w:right w:color="c62828" w:space="0" w:sz="4" w:val="single"/>
            </w:tcBorders>
            <w:shd w:fill="ffebee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⚠ TEMUAN MUST-FIX DARI SISTEM LEGACY (JANGAN DIREPLIKASI)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Berikut adalah temuan keamanan kritis yang HARUS diperbaiki di sistem baru: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2828" w:val="clear"/>
            <w:vAlign w:val="center"/>
          </w:tcPr>
          <w:p w:rsidR="00000000" w:rsidDel="00000000" w:rsidP="00000000" w:rsidRDefault="00000000" w:rsidRPr="00000000" w14:paraId="0000010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Temuan 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2828" w:val="clear"/>
            <w:vAlign w:val="center"/>
          </w:tcPr>
          <w:p w:rsidR="00000000" w:rsidDel="00000000" w:rsidP="00000000" w:rsidRDefault="00000000" w:rsidRPr="00000000" w14:paraId="0000010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2828" w:val="clear"/>
            <w:vAlign w:val="center"/>
          </w:tcPr>
          <w:p w:rsidR="00000000" w:rsidDel="00000000" w:rsidP="00000000" w:rsidRDefault="00000000" w:rsidRPr="00000000" w14:paraId="0000010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 Sistem Baru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Login bypass unauthenticated (Default.aspx?l=BB&amp;p=3902141)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Tidak diporting. Didokumentasikan per decision log Q4.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20/23 handler .ashx tanpa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Setiap API endpoint memerlukan autentikasi (§11).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Kolom password plaintext disinkronisasi aktif, dipakai via SQL-injectable concatenation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Hanya modern password hash (bcrypt/argon2); tanpa copy plaintext; semua query parameterized.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Inbound VA-payment webhook tanpa autentikasi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Inbound webhook memerlukan signature/token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5+ hardcoded credential pairs dan API keys committed ke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Semua secrets di configuration (§14), tidak pernah committed ke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Journal Service (GL) tanpa autentikasi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Tambah autentikasi konsisten dengan integration layer (§8).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SQL via raw string concatenation (SQL injection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100% parameterized queries, enforced via code review/lint.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Satu integrasi (BursaMobil/PEGA) menonaktifkan TLS certificate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Certificate validation selalu aktif; tanpa per-integration opt-out.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Classic ASP hardcoded plaintext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CRITICAL (tapi out of scope — didekomisioning)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 — tidak dimigrasi.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sz w:val="22"/>
          <w:szCs w:val="22"/>
          <w:rtl w:val="0"/>
        </w:rPr>
        <w:t xml:space="preserve">Session timeout: dipertahankan 120 menit — trade-off deliberate yang memihak usability shop-floor (jeda idle panjang antara aktivitas produksi fisik) dengan mitigasi memperbaiki celah kritis di 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r w:rsidDel="00000000" w:rsidR="00000000" w:rsidRPr="00000000">
        <w:rPr>
          <w:rtl w:val="0"/>
        </w:rPr>
        <w:t xml:space="preserve">16. Autentikasi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Skema autentikasi tunggal dan terpadu — tanpa pola dual-system (split ASP.NET-vs-Classic-ASP pensiun sepenuhnya bersama Classic ASP).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Credential check terhadap tabel users Postgres-native dengan modern password hash (bcrypt/argon2).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Mekanisme session/token (JWT vs server-side session) definalisasi di technical design — session timeout TETAP 120 menit.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Login-bypass backdoor (§15) secara eksplisit TIDAK diporting.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  <w:t xml:space="preserve">17. Autorisasi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Mempertahankan bentuk RBAC yang sudah terbukti: many-to-many user↔group membership, group↔menu grants UNION-ed dengan per-user menu overrides.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 live database M_GRUP (group ID → description) adalah prasyarat keras untuk membangun enumerasi permission lengkap.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Satu legacy per-user boolean-flag permission (pada M_USER) di luar sistem group/menu RBAC — perlu audit penuh sebelum model RBAC baru definalisasi.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Branch-switching (IT Admin view/act lintas cabang) dipertahankan sebagai fitur, backed oleh role check eksplisit.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18. Strategi Database</w:t>
      </w:r>
    </w:p>
    <w:tbl>
      <w:tblPr>
        <w:tblStyle w:val="Table10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12" w:val="single"/>
              <w:bottom w:color="c62828" w:space="0" w:sz="4" w:val="single"/>
              <w:right w:color="c62828" w:space="0" w:sz="4" w:val="single"/>
            </w:tcBorders>
            <w:shd w:fill="ffebee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PRASYARAT KERAS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Fresh, complete export dari live Oracle database — schema (NEWBENGKEL, BENGKEL, MBU) plus full stored-procedure/package source (DBMS_METADATA.GET_DDL) — DIPERLUKAN sebelum desain Postgres schema detail untuk modul manapun di luar dua modul yang sudah deep-verified.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Target: PostgreSQL, single shared database/cluster untuk semua 5 cabang (§3.3).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mapping: Oracle CHAR(n) → Postgres varchar/text; NUMBER(p,s) → NUMERIC(p,s); Oracle DATE → date vs timestamp per kolom; REF CURSOR → ordinary result-set-returning Go query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Constraints DITAMBAHKAN, bukan hanya diporting: PRIMARY KEY, FOREIGN KEY, CHECK constraints ditambahkan berdasarkan business rules yang saat ini di-enforce hanya di application/procedure code — ini penguatan deliberate.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Rekonsiliasi diketahui: tiga Bengkel→Warehouse maps yang mutually-inconsistent di General.vb HARUS diresolvasi dengan bisnis sebelum schema Postgres di-freeze.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Backup/DR: RPO (menit) / RTO (&lt;1 jam) — continuous WAL archiving/streaming replication, bukan hanya nightly dump.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numbering (NO_SPK, NO_PO, NO_PPB, dll): race condition legacy (non-locking read-then-write) HARUS ditutup (mis. SELECT...FOR UPDATE atau Postgres sequence per bengkel+tahun+doc-type).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r w:rsidDel="00000000" w:rsidR="00000000" w:rsidRPr="00000000">
        <w:rPr>
          <w:rtl w:val="0"/>
        </w:rPr>
        <w:t xml:space="preserve">19. Strategi Deployment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On-premise (§3.6), Docker containers via Docker Compose/systemd (tanpa Kubernetes), GitLab CI pipelines — mengimplikasikan migrasi Mercurial→Git sebagai task awal eksplisit.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Rollout cutover branch-by-branch (§7.2), dimulai dari cabang terkecil/risiko-terendah.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Tanpa observability standard existing — rekomendasi stack proporsional (structured logs + Prometheus/Grafana).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  <w:t xml:space="preserve">20. Strategi Testing</w:t>
      </w:r>
    </w:p>
    <w:tbl>
      <w:tblPr>
        <w:tblStyle w:val="Table11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12" w:val="single"/>
              <w:bottom w:color="2e7d32" w:space="0" w:sz="4" w:val="single"/>
              <w:right w:color="2e7d32" w:space="0" w:sz="4" w:val="single"/>
            </w:tcBorders>
            <w:shd w:fill="e8f5e9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CHARACTERIZATION TESTS WAJIB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Characterization tests WAJIB sebelum porting business logic modul manapun — ini satu-satunya cara memverifikasi behavioral parity untuk proyek reimplementasi, terutama mengingat betapa banyak business logic yang ternyata non-obvious dari first read.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tests standar Go untuk semua domain/service logic baru (target coverage meaningful pada business-rule-bearing 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tests terhadap PostgreSQL instance nyata (test) untuk repository-layer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Perubahan perilaku yang intentional mendapat acceptance-test coverage tersendiri, dipanggil terpisah dari tes 'preserve existing behavior'.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r w:rsidDel="00000000" w:rsidR="00000000" w:rsidRPr="00000000">
        <w:rPr>
          <w:rtl w:val="0"/>
        </w:rPr>
        <w:t xml:space="preserve">21. Analisis Risiko</w:t>
      </w:r>
    </w:p>
    <w:tbl>
      <w:tblPr>
        <w:tblStyle w:val="Table12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71c1c" w:val="clear"/>
            <w:vAlign w:val="center"/>
          </w:tcPr>
          <w:p w:rsidR="00000000" w:rsidDel="00000000" w:rsidP="00000000" w:rsidRDefault="00000000" w:rsidRPr="00000000" w14:paraId="0000014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71c1c" w:val="clear"/>
            <w:vAlign w:val="center"/>
          </w:tcPr>
          <w:p w:rsidR="00000000" w:rsidDel="00000000" w:rsidP="00000000" w:rsidRDefault="00000000" w:rsidRPr="00000000" w14:paraId="0000014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71c1c" w:val="clear"/>
            <w:vAlign w:val="center"/>
          </w:tcPr>
          <w:p w:rsidR="00000000" w:rsidDel="00000000" w:rsidP="00000000" w:rsidRDefault="00000000" w:rsidRPr="00000000" w14:paraId="0000014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71c1c" w:val="clear"/>
            <w:vAlign w:val="center"/>
          </w:tcPr>
          <w:p w:rsidR="00000000" w:rsidDel="00000000" w:rsidP="00000000" w:rsidRDefault="00000000" w:rsidRPr="00000000" w14:paraId="0000014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Hanya ~5.5% stored procedures yang punya source di repo; beberapa package utuh dan 2 schema (BENGKEL, MBU) sepenuhnya 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Fresh live-DB export adalah prasyarat keras (§18)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Zero automated test coverage di legacy — tidak ada oracle untuk verifikasi behavioral equivalence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Mandatory characterization testing per modul (§20)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Kontrak integrasi ClaimQ/PEGA/WhatsApp di-reverse-engineer dari kode, bukan didokumentasi resmi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Validasi ke vendor/partner teams sebelum implementasi modul SPK+QC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JTU_SRV_TERIMA_PART punya dua copy diverging — mana yang live tidak bisa ditentukan dari source saja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Konfirmasi via IIS/access-log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Tiga Bengkel→Warehouse maps yang mutually-inconsistent di General.vb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Rekonsiliasi dengan bisnis/ops sebelum schema Postgres finalized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Tidak ada jaminan akses ke original Crystal Reports .rpt designer files untuk 293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Rekonstruksi dari .xsd/.xss schemas + observed output; Go-native PDF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Security debt berisiko direplikasi silent jika tidak didesain secara eksplisit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Section Security (§15-17) ditulis sebagai must-fix requirements eksplisit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Login-bypass backdoor tetap aktif di legacy selama build phase (potensial panjang)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CRITICAL (accepted)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Keputusan user (Q4): dokumentasi saja, tanpa eskalasi ops terpisah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Modul 5-11 hanya dipahami di inventory level — kompleksitas tersembunyi sangat mungkin 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Setiap modul mendapat deep-dive rigor yang sama sebelum technical design-nya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Risiko cutover big-bang simultaneous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Addressed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Disempurnakan menjadi branch-by-branch rollout (§7.2)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Re-enforcing 'No Polisi wajib' bisa memblokir SPK creation untuk kendaraan tanpa data master historis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Addressed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Disempurnakan: mandatory-input-without-pre-existence-check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Migrasi Mercurial→Git adalah implikasi yang tidak dinyatakan dari keputusan GitLab-CI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Dipanggil eksplisit (§7.4) untuk konfirmasi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r w:rsidDel="00000000" w:rsidR="00000000" w:rsidRPr="00000000">
        <w:rPr>
          <w:rtl w:val="0"/>
        </w:rPr>
        <w:t xml:space="preserve">22. Non-Functional Requirements</w:t>
      </w:r>
    </w:p>
    <w:tbl>
      <w:tblPr>
        <w:tblStyle w:val="Table13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17B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17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200-300 daily active users, on-premise, 5 cabang — sized untuk menghindari under- dan over-engineering.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Sistem legacy tetap fully available &amp; unmodified sepanjang build phase — hard constraint.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 Durability (RPO/RTO)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RPO dalam menit, RTO &lt;1 jam — justified oleh live financial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Timeout 120 menit dipertahankan — trade-off usability-over-marginal-security yang eksplisit.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Bahasa Indonesia (id-ID) di seluruh sistem.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Setiap aksi kritikal di-log dengan detail cukup untuk merekonstruksi who-did-what-when.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Lihat §15-17 — must-fix list, BUKAN replicate-as-is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tl w:val="0"/>
        </w:rPr>
        <w:t xml:space="preserve">23. Strategi Performa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sz w:val="22"/>
          <w:szCs w:val="22"/>
          <w:rtl w:val="0"/>
        </w:rPr>
        <w:t xml:space="preserve">Pada 200-300 DAU dengan satu Postgres instance on-premise, Go backend yang connection-pooled (pgxpool) TIDAK memerlukan caching layer eksotis secara default — rekomendasi mulai TANPA Redis, tambahkan hanya di hot path yang terukur spesifik (kandidat pertama: menu/RBAC lookup yang saat ini re-run 4-level nested SQL per page load).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sz w:val="22"/>
          <w:szCs w:val="22"/>
          <w:rtl w:val="0"/>
        </w:rPr>
        <w:t xml:space="preserve">Dashboard lobby/produksi (display status produksi near-real-time) tidak memerlukan WebSockets/server-push pada skala ini — short-interval polling dari React SPA sudah cukup dan jauh lebih sederhana secara operasional.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r w:rsidDel="00000000" w:rsidR="00000000" w:rsidRPr="00000000">
        <w:rPr>
          <w:rtl w:val="0"/>
        </w:rPr>
        <w:t xml:space="preserve">24. Skalabilitas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Modular monolith (§3.2) menjaga opsi untuk mengekstrak modul yang genuinely hot menjadi service terpisah nanti, tanpa membayar operational tax microservices upfront.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 shared Postgres (§3.3, §18) cukup untuk 200-300 DAU; jika volume tumbuh material di masa depan, read replicas adalah lever pertama sebelum mempertimbangkan perubahan topologi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  <w:t xml:space="preserve">25. Maintainability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maintainability terbesar: business logic dipisahkan dari HTTP handlers ke domain/service functions yang testable (§9) — menggantikan God class 9.723 baris.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Batas modul nyata (§9, §10) langsung mengatasi ketiadaan layering total di 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Characterization + unit + integration tests wajib (§20) langsung mengatasi zero test coverage legacy.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r w:rsidDel="00000000" w:rsidR="00000000" w:rsidRPr="00000000">
        <w:rPr>
          <w:rtl w:val="0"/>
        </w:rPr>
        <w:t xml:space="preserve">26. Future Enhancement (Di Luar Scope Steering Ini)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sz w:val="22"/>
          <w:szCs w:val="22"/>
          <w:rtl w:val="0"/>
        </w:rPr>
        <w:t xml:space="preserve">Dicatat untuk pertimbangan nanti, bukan bagian dari scope migrasi saat 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Mengekstrak SPK/Production menjadi service terpisah jika beban terukur benar-benar memjustifikasi (§24).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Memperkenalkan tool secrets-management (Vault/SOPS) jika Sinar Mas menstandardisasinya organization-wide.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Mengadopsi Kubernetes jika Sinar Mas menstandardisasinya organization-wide.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Meninjau ulang session timeout policy jika security review mendatang mengharuskannya.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Validasi/renegosiasi kontrak API resmi dengan tim partner ClaimQ/PEGA/WhatsApp — membuka jalan ke integration surface yang lebih modern.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r w:rsidDel="00000000" w:rsidR="00000000" w:rsidRPr="00000000">
        <w:rPr>
          <w:rtl w:val="0"/>
        </w:rPr>
        <w:t xml:space="preserve">Appendix — Traceability Index</w:t>
      </w:r>
    </w:p>
    <w:tbl>
      <w:tblPr>
        <w:tblStyle w:val="Table14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19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a237e" w:val="clear"/>
            <w:vAlign w:val="center"/>
          </w:tcPr>
          <w:p w:rsidR="00000000" w:rsidDel="00000000" w:rsidP="00000000" w:rsidRDefault="00000000" w:rsidRPr="00000000" w14:paraId="0000019F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docs/understanding-findings.md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Temuan lengkap yang grounded di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docs/decision-log.md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Setiap pertanyaan/opsi/jawaban/keputusan, berurutan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docs/skill-usage-log.md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Penggunaan skill &amp; rasionale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docs/agents/*.md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Konfigurasi tooling agent-skill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analisis/*.md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Artefak sesi sebelumnya — UNVERIFIED, treated as hypotheses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808080"/>
        <w:sz w:val="16"/>
        <w:szCs w:val="16"/>
        <w:rtl w:val="0"/>
      </w:rPr>
      <w:t xml:space="preserve">PT. Jakarta Teknologi Utama Motor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— CONFIDENTIAL  |  Halaman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STEERING DOCUMENT — Migrasi TEKNO (e-BENGKEL) ke Golang/PostgreSQL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40" w:before="480" w:lineRule="auto"/>
    </w:pPr>
    <w:rPr>
      <w:rFonts w:ascii="Calibri" w:cs="Calibri" w:eastAsia="Calibri" w:hAnsi="Calibri"/>
      <w:b w:val="1"/>
      <w:bCs w:val="1"/>
      <w:color w:val="1a237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1a56d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37474f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x/A9PuKsrUqmRY3jEp4T3y33w==">CgMxLjA4AHIhMVZuY2k5NHJXS3VYM0NwUXBkRjdBdHZMU0VsUkdVRTR1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