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2E50" w14:textId="68018155" w:rsidR="00E05D4F" w:rsidRPr="006520E2" w:rsidRDefault="00E05D4F" w:rsidP="00E508DE">
      <w:pPr>
        <w:jc w:val="center"/>
        <w:rPr>
          <w:rFonts w:ascii="Calibri" w:hAnsi="Calibri" w:cs="Calibri"/>
          <w:b/>
          <w:bCs/>
        </w:rPr>
      </w:pPr>
      <w:r w:rsidRPr="006520E2">
        <w:rPr>
          <w:rFonts w:ascii="Calibri" w:hAnsi="Calibri" w:cs="Calibri"/>
          <w:b/>
          <w:bCs/>
        </w:rPr>
        <w:t xml:space="preserve">Use Case 1: </w:t>
      </w:r>
      <w:r w:rsidR="00E508DE" w:rsidRPr="006520E2">
        <w:rPr>
          <w:rFonts w:ascii="Calibri" w:hAnsi="Calibri" w:cs="Calibri"/>
          <w:b/>
          <w:bCs/>
        </w:rPr>
        <w:t>Factor analysis and p</w:t>
      </w:r>
      <w:r w:rsidRPr="006520E2">
        <w:rPr>
          <w:rFonts w:ascii="Calibri" w:hAnsi="Calibri" w:cs="Calibri"/>
          <w:b/>
          <w:bCs/>
        </w:rPr>
        <w:t xml:space="preserve">rincipal </w:t>
      </w:r>
      <w:r w:rsidR="00E508DE" w:rsidRPr="006520E2">
        <w:rPr>
          <w:rFonts w:ascii="Calibri" w:hAnsi="Calibri" w:cs="Calibri"/>
          <w:b/>
          <w:bCs/>
        </w:rPr>
        <w:t>c</w:t>
      </w:r>
      <w:r w:rsidRPr="006520E2">
        <w:rPr>
          <w:rFonts w:ascii="Calibri" w:hAnsi="Calibri" w:cs="Calibri"/>
          <w:b/>
          <w:bCs/>
        </w:rPr>
        <w:t xml:space="preserve">omponent </w:t>
      </w:r>
      <w:r w:rsidR="00E508DE" w:rsidRPr="006520E2">
        <w:rPr>
          <w:rFonts w:ascii="Calibri" w:hAnsi="Calibri" w:cs="Calibri"/>
          <w:b/>
          <w:bCs/>
        </w:rPr>
        <w:t>a</w:t>
      </w:r>
      <w:r w:rsidRPr="006520E2">
        <w:rPr>
          <w:rFonts w:ascii="Calibri" w:hAnsi="Calibri" w:cs="Calibri"/>
          <w:b/>
          <w:bCs/>
        </w:rPr>
        <w:t>nalysis</w:t>
      </w:r>
    </w:p>
    <w:p w14:paraId="11205310" w14:textId="0B3C3273" w:rsidR="007C1662" w:rsidRPr="006520E2" w:rsidRDefault="007C1662">
      <w:pPr>
        <w:rPr>
          <w:rFonts w:ascii="Calibri" w:hAnsi="Calibri" w:cs="Calibri"/>
          <w:b/>
          <w:bCs/>
        </w:rPr>
      </w:pPr>
      <w:r w:rsidRPr="006520E2">
        <w:rPr>
          <w:rFonts w:ascii="Calibri" w:hAnsi="Calibri" w:cs="Calibri"/>
          <w:b/>
          <w:bCs/>
        </w:rPr>
        <w:t>Background</w:t>
      </w:r>
      <w:r w:rsidR="00E508DE" w:rsidRPr="006520E2">
        <w:rPr>
          <w:rFonts w:ascii="Calibri" w:hAnsi="Calibri" w:cs="Calibri"/>
          <w:b/>
          <w:bCs/>
        </w:rPr>
        <w:t xml:space="preserve"> &amp; Literature</w:t>
      </w:r>
      <w:r w:rsidRPr="006520E2">
        <w:rPr>
          <w:rFonts w:ascii="Calibri" w:hAnsi="Calibri" w:cs="Calibri"/>
          <w:b/>
          <w:bCs/>
        </w:rPr>
        <w:t xml:space="preserve">: </w:t>
      </w:r>
    </w:p>
    <w:p w14:paraId="2D469160" w14:textId="6018A824" w:rsidR="005C382C" w:rsidRPr="006520E2" w:rsidRDefault="005C382C" w:rsidP="005C382C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 xml:space="preserve">Principal component analysis (PCA) is a linear dimensionality reduction technique commonly used in exploratory data analysis or data preprocessing. It transforms high-dimensional, correlated </w:t>
      </w:r>
      <w:r w:rsidR="0057643F">
        <w:rPr>
          <w:rFonts w:ascii="Calibri" w:hAnsi="Calibri" w:cs="Calibri"/>
        </w:rPr>
        <w:t>variables</w:t>
      </w:r>
      <w:r w:rsidRPr="006520E2">
        <w:rPr>
          <w:rFonts w:ascii="Calibri" w:hAnsi="Calibri" w:cs="Calibri"/>
        </w:rPr>
        <w:t xml:space="preserve"> into a new coordinate system of fewer, uncorrelated variables, also known as principal components</w:t>
      </w:r>
      <w:r w:rsidR="00705AAD" w:rsidRPr="006520E2">
        <w:rPr>
          <w:rFonts w:ascii="Calibri" w:hAnsi="Calibri" w:cs="Calibri"/>
        </w:rPr>
        <w:t xml:space="preserve"> (PC</w:t>
      </w:r>
      <w:r w:rsidR="0057643F">
        <w:rPr>
          <w:rFonts w:ascii="Calibri" w:hAnsi="Calibri" w:cs="Calibri"/>
        </w:rPr>
        <w:t>s</w:t>
      </w:r>
      <w:r w:rsidR="00705AAD" w:rsidRPr="006520E2">
        <w:rPr>
          <w:rFonts w:ascii="Calibri" w:hAnsi="Calibri" w:cs="Calibri"/>
        </w:rPr>
        <w:t>)</w:t>
      </w:r>
      <w:r w:rsidRPr="006520E2">
        <w:rPr>
          <w:rFonts w:ascii="Calibri" w:hAnsi="Calibri" w:cs="Calibri"/>
        </w:rPr>
        <w:t>. PCA works by centering</w:t>
      </w:r>
      <w:r w:rsidR="006C51A6">
        <w:rPr>
          <w:rFonts w:ascii="Calibri" w:hAnsi="Calibri" w:cs="Calibri"/>
        </w:rPr>
        <w:t xml:space="preserve"> </w:t>
      </w:r>
      <w:r w:rsidRPr="006520E2">
        <w:rPr>
          <w:rFonts w:ascii="Calibri" w:hAnsi="Calibri" w:cs="Calibri"/>
        </w:rPr>
        <w:t>(</w:t>
      </w:r>
      <w:r w:rsidR="006C51A6">
        <w:rPr>
          <w:rFonts w:ascii="Calibri" w:hAnsi="Calibri" w:cs="Calibri"/>
        </w:rPr>
        <w:t>and</w:t>
      </w:r>
      <w:r w:rsidRPr="006520E2">
        <w:rPr>
          <w:rFonts w:ascii="Calibri" w:hAnsi="Calibri" w:cs="Calibri"/>
        </w:rPr>
        <w:t xml:space="preserve"> rescaling)</w:t>
      </w:r>
      <w:r w:rsidR="006C51A6" w:rsidRPr="006520E2">
        <w:rPr>
          <w:rFonts w:ascii="Calibri" w:hAnsi="Calibri" w:cs="Calibri"/>
        </w:rPr>
        <w:t xml:space="preserve"> data</w:t>
      </w:r>
      <w:r w:rsidRPr="006520E2">
        <w:rPr>
          <w:rFonts w:ascii="Calibri" w:hAnsi="Calibri" w:cs="Calibri"/>
        </w:rPr>
        <w:t xml:space="preserve">, calculating the covariance </w:t>
      </w:r>
      <w:r w:rsidR="00017109">
        <w:rPr>
          <w:rFonts w:ascii="Calibri" w:hAnsi="Calibri" w:cs="Calibri"/>
        </w:rPr>
        <w:t xml:space="preserve">or correlation </w:t>
      </w:r>
      <w:r w:rsidRPr="006520E2">
        <w:rPr>
          <w:rFonts w:ascii="Calibri" w:hAnsi="Calibri" w:cs="Calibri"/>
        </w:rPr>
        <w:t xml:space="preserve">matrix, and findings its eigenvalues and eigenvectors. Eigenvectors represent the directions of the </w:t>
      </w:r>
      <w:r w:rsidR="0070312B">
        <w:rPr>
          <w:rFonts w:ascii="Calibri" w:hAnsi="Calibri" w:cs="Calibri"/>
        </w:rPr>
        <w:t>PCs,</w:t>
      </w:r>
      <w:r w:rsidRPr="006520E2">
        <w:rPr>
          <w:rFonts w:ascii="Calibri" w:hAnsi="Calibri" w:cs="Calibri"/>
        </w:rPr>
        <w:t xml:space="preserve"> and eigenvalues </w:t>
      </w:r>
      <w:r w:rsidR="0070312B">
        <w:rPr>
          <w:rFonts w:ascii="Calibri" w:hAnsi="Calibri" w:cs="Calibri"/>
        </w:rPr>
        <w:t xml:space="preserve">quantify the </w:t>
      </w:r>
      <w:r w:rsidRPr="006520E2">
        <w:rPr>
          <w:rFonts w:ascii="Calibri" w:hAnsi="Calibri" w:cs="Calibri"/>
        </w:rPr>
        <w:t xml:space="preserve">amount of variance explained by each corresponding PC. </w:t>
      </w:r>
    </w:p>
    <w:p w14:paraId="554CC759" w14:textId="6612A7DC" w:rsidR="00CC049F" w:rsidRPr="006520E2" w:rsidRDefault="00CC049F" w:rsidP="00B664A3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 xml:space="preserve">Uncertainty quantification (UQ) in PCA is multifaceted. </w:t>
      </w:r>
      <w:r w:rsidR="00DF756C">
        <w:rPr>
          <w:rFonts w:ascii="Calibri" w:hAnsi="Calibri" w:cs="Calibri"/>
        </w:rPr>
        <w:t xml:space="preserve">One may </w:t>
      </w:r>
      <w:r w:rsidR="00C764BA" w:rsidRPr="006520E2">
        <w:rPr>
          <w:rFonts w:ascii="Calibri" w:hAnsi="Calibri" w:cs="Calibri"/>
        </w:rPr>
        <w:t>ask</w:t>
      </w:r>
      <w:r w:rsidR="003E6A67" w:rsidRPr="006520E2">
        <w:rPr>
          <w:rFonts w:ascii="Calibri" w:hAnsi="Calibri" w:cs="Calibri"/>
        </w:rPr>
        <w:t xml:space="preserve"> how reliable </w:t>
      </w:r>
      <w:r w:rsidR="00C764BA" w:rsidRPr="006520E2">
        <w:rPr>
          <w:rFonts w:ascii="Calibri" w:hAnsi="Calibri" w:cs="Calibri"/>
        </w:rPr>
        <w:t>the eigenvalues are</w:t>
      </w:r>
      <w:r w:rsidR="003E6A67" w:rsidRPr="006520E2">
        <w:rPr>
          <w:rFonts w:ascii="Calibri" w:hAnsi="Calibri" w:cs="Calibri"/>
        </w:rPr>
        <w:t>, loadings</w:t>
      </w:r>
      <w:r w:rsidR="00042BB3" w:rsidRPr="006520E2">
        <w:rPr>
          <w:rFonts w:ascii="Calibri" w:hAnsi="Calibri" w:cs="Calibri"/>
        </w:rPr>
        <w:t xml:space="preserve"> (</w:t>
      </w:r>
      <w:r w:rsidR="00DF756C">
        <w:rPr>
          <w:rFonts w:ascii="Calibri" w:hAnsi="Calibri" w:cs="Calibri"/>
        </w:rPr>
        <w:t>variable contributions to each component</w:t>
      </w:r>
      <w:r w:rsidR="00042BB3" w:rsidRPr="006520E2">
        <w:rPr>
          <w:rFonts w:ascii="Calibri" w:hAnsi="Calibri" w:cs="Calibri"/>
        </w:rPr>
        <w:t>)</w:t>
      </w:r>
      <w:r w:rsidR="003E6A67" w:rsidRPr="006520E2">
        <w:rPr>
          <w:rFonts w:ascii="Calibri" w:hAnsi="Calibri" w:cs="Calibri"/>
        </w:rPr>
        <w:t>, scores</w:t>
      </w:r>
      <w:r w:rsidR="00215F3B" w:rsidRPr="006520E2">
        <w:rPr>
          <w:rFonts w:ascii="Calibri" w:hAnsi="Calibri" w:cs="Calibri"/>
        </w:rPr>
        <w:t xml:space="preserve"> (projection of each sample onto that component)</w:t>
      </w:r>
      <w:r w:rsidR="003E6A67" w:rsidRPr="006520E2">
        <w:rPr>
          <w:rFonts w:ascii="Calibri" w:hAnsi="Calibri" w:cs="Calibri"/>
        </w:rPr>
        <w:t xml:space="preserve">, </w:t>
      </w:r>
      <w:r w:rsidR="00131B80">
        <w:rPr>
          <w:rFonts w:ascii="Calibri" w:hAnsi="Calibri" w:cs="Calibri"/>
        </w:rPr>
        <w:t xml:space="preserve">or </w:t>
      </w:r>
      <w:r w:rsidR="003E6A67" w:rsidRPr="006520E2">
        <w:rPr>
          <w:rFonts w:ascii="Calibri" w:hAnsi="Calibri" w:cs="Calibri"/>
        </w:rPr>
        <w:t xml:space="preserve">the number of retained components, given noisy or limited data. </w:t>
      </w:r>
      <w:r w:rsidRPr="006520E2">
        <w:rPr>
          <w:rFonts w:ascii="Calibri" w:hAnsi="Calibri" w:cs="Calibri"/>
          <w:color w:val="000000" w:themeColor="text1"/>
        </w:rPr>
        <w:t xml:space="preserve">Most existing </w:t>
      </w:r>
      <w:r w:rsidR="00787FE1">
        <w:rPr>
          <w:rFonts w:ascii="Calibri" w:hAnsi="Calibri" w:cs="Calibri"/>
          <w:color w:val="000000" w:themeColor="text1"/>
        </w:rPr>
        <w:t>approaches</w:t>
      </w:r>
      <w:r w:rsidRPr="006520E2">
        <w:rPr>
          <w:rFonts w:ascii="Calibri" w:hAnsi="Calibri" w:cs="Calibri"/>
          <w:color w:val="000000" w:themeColor="text1"/>
        </w:rPr>
        <w:t xml:space="preserve"> treat PCA results as </w:t>
      </w:r>
      <w:r w:rsidR="00B033EE">
        <w:rPr>
          <w:rFonts w:ascii="Calibri" w:hAnsi="Calibri" w:cs="Calibri"/>
          <w:color w:val="000000" w:themeColor="text1"/>
        </w:rPr>
        <w:t>statistical estimators</w:t>
      </w:r>
      <w:r w:rsidRPr="006520E2">
        <w:rPr>
          <w:rFonts w:ascii="Calibri" w:hAnsi="Calibri" w:cs="Calibri"/>
          <w:color w:val="000000" w:themeColor="text1"/>
        </w:rPr>
        <w:t xml:space="preserve"> and quantify uncertaint</w:t>
      </w:r>
      <w:r w:rsidR="00B033EE">
        <w:rPr>
          <w:rFonts w:ascii="Calibri" w:hAnsi="Calibri" w:cs="Calibri"/>
          <w:color w:val="000000" w:themeColor="text1"/>
        </w:rPr>
        <w:t>y</w:t>
      </w:r>
      <w:r w:rsidR="0090729F">
        <w:rPr>
          <w:rFonts w:ascii="Calibri" w:hAnsi="Calibri" w:cs="Calibri"/>
          <w:color w:val="000000" w:themeColor="text1"/>
        </w:rPr>
        <w:t xml:space="preserve"> through their</w:t>
      </w:r>
      <w:r w:rsidRPr="006520E2">
        <w:rPr>
          <w:rFonts w:ascii="Calibri" w:hAnsi="Calibri" w:cs="Calibri"/>
          <w:color w:val="000000" w:themeColor="text1"/>
        </w:rPr>
        <w:t xml:space="preserve"> sampling distribution</w:t>
      </w:r>
      <w:r w:rsidR="0090729F">
        <w:rPr>
          <w:rFonts w:ascii="Calibri" w:hAnsi="Calibri" w:cs="Calibri"/>
          <w:color w:val="000000" w:themeColor="text1"/>
        </w:rPr>
        <w:t>s</w:t>
      </w:r>
      <w:r w:rsidRPr="006520E2">
        <w:rPr>
          <w:rFonts w:ascii="Calibri" w:hAnsi="Calibri" w:cs="Calibri"/>
          <w:color w:val="000000" w:themeColor="text1"/>
        </w:rPr>
        <w:t>. Uncertainties are typically described using a confidence interval: a narrow interval is interpreted as high certainty, whereas a wide interval implies low certainty.</w:t>
      </w:r>
    </w:p>
    <w:p w14:paraId="6D0798AE" w14:textId="77777777" w:rsidR="00B664A3" w:rsidRPr="006520E2" w:rsidRDefault="00B664A3" w:rsidP="00B664A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520E2">
        <w:rPr>
          <w:rFonts w:ascii="Calibri" w:eastAsia="Times New Roman" w:hAnsi="Calibri" w:cs="Calibri"/>
          <w:b/>
          <w:bCs/>
          <w:kern w:val="0"/>
          <w14:ligatures w14:val="none"/>
        </w:rPr>
        <w:t>Main PCA Quantities and CI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90"/>
        <w:gridCol w:w="4245"/>
      </w:tblGrid>
      <w:tr w:rsidR="00B664A3" w:rsidRPr="006520E2" w14:paraId="5568AC48" w14:textId="77777777" w:rsidTr="00B664A3">
        <w:tc>
          <w:tcPr>
            <w:tcW w:w="2515" w:type="dxa"/>
            <w:hideMark/>
          </w:tcPr>
          <w:p w14:paraId="577930AA" w14:textId="77777777" w:rsidR="00B664A3" w:rsidRPr="006520E2" w:rsidRDefault="00B664A3" w:rsidP="005A6B8B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2590" w:type="dxa"/>
            <w:hideMark/>
          </w:tcPr>
          <w:p w14:paraId="5F4CC159" w14:textId="77777777" w:rsidR="00B664A3" w:rsidRPr="006520E2" w:rsidRDefault="00B664A3" w:rsidP="005A6B8B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Main UQ Approach</w:t>
            </w:r>
          </w:p>
        </w:tc>
        <w:tc>
          <w:tcPr>
            <w:tcW w:w="4245" w:type="dxa"/>
            <w:hideMark/>
          </w:tcPr>
          <w:p w14:paraId="1EA25A23" w14:textId="77777777" w:rsidR="00B664A3" w:rsidRPr="006520E2" w:rsidRDefault="00B664A3" w:rsidP="005A6B8B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Citations</w:t>
            </w:r>
          </w:p>
        </w:tc>
      </w:tr>
      <w:tr w:rsidR="00B664A3" w:rsidRPr="006520E2" w14:paraId="774CED8D" w14:textId="77777777" w:rsidTr="00B664A3">
        <w:tc>
          <w:tcPr>
            <w:tcW w:w="2515" w:type="dxa"/>
            <w:hideMark/>
          </w:tcPr>
          <w:p w14:paraId="2BA62F82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Loadings</w:t>
            </w:r>
          </w:p>
        </w:tc>
        <w:tc>
          <w:tcPr>
            <w:tcW w:w="2590" w:type="dxa"/>
            <w:hideMark/>
          </w:tcPr>
          <w:p w14:paraId="2179508A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Bootstrap, broken</w:t>
            </w: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noBreakHyphen/>
              <w:t>stick CIs</w:t>
            </w:r>
          </w:p>
        </w:tc>
        <w:tc>
          <w:tcPr>
            <w:tcW w:w="4245" w:type="dxa"/>
            <w:hideMark/>
          </w:tcPr>
          <w:p w14:paraId="46138E75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(Timmerman et al., 2007; Peres‐Neto et al., 2003; </w:t>
            </w:r>
            <w:proofErr w:type="spellStart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Rahoma</w:t>
            </w:r>
            <w:proofErr w:type="spellEnd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et al., 2021)</w:t>
            </w:r>
          </w:p>
        </w:tc>
      </w:tr>
      <w:tr w:rsidR="00B664A3" w:rsidRPr="006520E2" w14:paraId="3A9D5168" w14:textId="77777777" w:rsidTr="00B664A3">
        <w:tc>
          <w:tcPr>
            <w:tcW w:w="2515" w:type="dxa"/>
            <w:hideMark/>
          </w:tcPr>
          <w:p w14:paraId="5D422C43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Eigenvalues / variance</w:t>
            </w:r>
          </w:p>
        </w:tc>
        <w:tc>
          <w:tcPr>
            <w:tcW w:w="2590" w:type="dxa"/>
            <w:hideMark/>
          </w:tcPr>
          <w:p w14:paraId="4EA8F1B6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Bootstrap CIs</w:t>
            </w:r>
          </w:p>
        </w:tc>
        <w:tc>
          <w:tcPr>
            <w:tcW w:w="4245" w:type="dxa"/>
            <w:hideMark/>
          </w:tcPr>
          <w:p w14:paraId="424DB81F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(</w:t>
            </w:r>
            <w:proofErr w:type="spellStart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Dorabiala</w:t>
            </w:r>
            <w:proofErr w:type="spellEnd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et al., 2023; </w:t>
            </w:r>
            <w:proofErr w:type="spellStart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Kalantan</w:t>
            </w:r>
            <w:proofErr w:type="spellEnd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et al., 2025)</w:t>
            </w:r>
          </w:p>
        </w:tc>
      </w:tr>
      <w:tr w:rsidR="00B664A3" w:rsidRPr="006520E2" w14:paraId="3153F0E2" w14:textId="77777777" w:rsidTr="00B664A3">
        <w:tc>
          <w:tcPr>
            <w:tcW w:w="2515" w:type="dxa"/>
            <w:hideMark/>
          </w:tcPr>
          <w:p w14:paraId="4048DBF2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Scores / discriminability</w:t>
            </w:r>
          </w:p>
        </w:tc>
        <w:tc>
          <w:tcPr>
            <w:tcW w:w="2590" w:type="dxa"/>
            <w:hideMark/>
          </w:tcPr>
          <w:p w14:paraId="462AB299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Bootstrap scores, ellipses</w:t>
            </w:r>
          </w:p>
        </w:tc>
        <w:tc>
          <w:tcPr>
            <w:tcW w:w="4245" w:type="dxa"/>
            <w:hideMark/>
          </w:tcPr>
          <w:p w14:paraId="6F126FB2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(</w:t>
            </w:r>
            <w:proofErr w:type="spellStart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Castura</w:t>
            </w:r>
            <w:proofErr w:type="spellEnd"/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et al., 2021)</w:t>
            </w:r>
          </w:p>
        </w:tc>
      </w:tr>
      <w:tr w:rsidR="00B664A3" w:rsidRPr="006520E2" w14:paraId="423E9358" w14:textId="77777777" w:rsidTr="00B664A3">
        <w:tc>
          <w:tcPr>
            <w:tcW w:w="2515" w:type="dxa"/>
            <w:hideMark/>
          </w:tcPr>
          <w:p w14:paraId="7C4CD342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Number of components/factors</w:t>
            </w:r>
          </w:p>
        </w:tc>
        <w:tc>
          <w:tcPr>
            <w:tcW w:w="2590" w:type="dxa"/>
            <w:hideMark/>
          </w:tcPr>
          <w:p w14:paraId="2A517DEB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Subsampling CIs, parallel analysis</w:t>
            </w:r>
          </w:p>
        </w:tc>
        <w:tc>
          <w:tcPr>
            <w:tcW w:w="4245" w:type="dxa"/>
            <w:hideMark/>
          </w:tcPr>
          <w:p w14:paraId="13586C47" w14:textId="77777777" w:rsidR="00B664A3" w:rsidRPr="006520E2" w:rsidRDefault="00B664A3" w:rsidP="005A6B8B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(</w:t>
            </w:r>
            <w:r w:rsidRPr="006520E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Jha &amp; Barnett, 2022</w:t>
            </w:r>
            <w:r w:rsidRPr="006520E2">
              <w:rPr>
                <w:rFonts w:ascii="Calibri" w:eastAsia="Times New Roman" w:hAnsi="Calibri" w:cs="Calibri"/>
                <w:kern w:val="0"/>
                <w14:ligatures w14:val="none"/>
              </w:rPr>
              <w:t>; Franklin et al., 1995)</w:t>
            </w:r>
          </w:p>
        </w:tc>
      </w:tr>
    </w:tbl>
    <w:p w14:paraId="288A375E" w14:textId="77777777" w:rsidR="009469C0" w:rsidRPr="006520E2" w:rsidRDefault="009469C0" w:rsidP="009469C0">
      <w:pPr>
        <w:rPr>
          <w:rFonts w:ascii="Calibri" w:hAnsi="Calibri" w:cs="Calibri"/>
        </w:rPr>
      </w:pPr>
    </w:p>
    <w:p w14:paraId="3903C04C" w14:textId="0FDA11ED" w:rsidR="00E06473" w:rsidRPr="006520E2" w:rsidRDefault="00CC049F" w:rsidP="009469C0">
      <w:pPr>
        <w:rPr>
          <w:rFonts w:ascii="Calibri" w:hAnsi="Calibri" w:cs="Calibri"/>
          <w:color w:val="000000" w:themeColor="text1"/>
        </w:rPr>
      </w:pPr>
      <w:r w:rsidRPr="006520E2">
        <w:rPr>
          <w:rFonts w:ascii="Calibri" w:hAnsi="Calibri" w:cs="Calibri"/>
          <w:color w:val="000000" w:themeColor="text1"/>
        </w:rPr>
        <w:t xml:space="preserve">In applied settings, choosing the number of </w:t>
      </w:r>
      <w:r w:rsidR="00705AAD" w:rsidRPr="006520E2">
        <w:rPr>
          <w:rFonts w:ascii="Calibri" w:hAnsi="Calibri" w:cs="Calibri"/>
          <w:color w:val="000000" w:themeColor="text1"/>
        </w:rPr>
        <w:t xml:space="preserve">PCs </w:t>
      </w:r>
      <w:r w:rsidRPr="006520E2">
        <w:rPr>
          <w:rFonts w:ascii="Calibri" w:hAnsi="Calibri" w:cs="Calibri"/>
          <w:color w:val="000000" w:themeColor="text1"/>
        </w:rPr>
        <w:t>is one of the most important objectives in PCA (</w:t>
      </w:r>
      <w:proofErr w:type="gramStart"/>
      <w:r w:rsidRPr="006520E2">
        <w:rPr>
          <w:rFonts w:ascii="Calibri" w:hAnsi="Calibri" w:cs="Calibri"/>
          <w:color w:val="000000" w:themeColor="text1"/>
        </w:rPr>
        <w:t>and also</w:t>
      </w:r>
      <w:proofErr w:type="gramEnd"/>
      <w:r w:rsidRPr="006520E2">
        <w:rPr>
          <w:rFonts w:ascii="Calibri" w:hAnsi="Calibri" w:cs="Calibri"/>
          <w:color w:val="000000" w:themeColor="text1"/>
        </w:rPr>
        <w:t xml:space="preserve"> factor analysis). </w:t>
      </w:r>
      <w:r w:rsidR="00705AAD" w:rsidRPr="006520E2">
        <w:rPr>
          <w:rFonts w:ascii="Calibri" w:hAnsi="Calibri" w:cs="Calibri"/>
          <w:color w:val="000000" w:themeColor="text1"/>
        </w:rPr>
        <w:t xml:space="preserve">Underspecifying number of PCs would lead to loss of information, and overspecifying number of PCs </w:t>
      </w:r>
      <w:r w:rsidR="002B02B7">
        <w:rPr>
          <w:rFonts w:ascii="Calibri" w:hAnsi="Calibri" w:cs="Calibri"/>
          <w:color w:val="000000" w:themeColor="text1"/>
        </w:rPr>
        <w:t>can</w:t>
      </w:r>
      <w:r w:rsidR="00705AAD" w:rsidRPr="006520E2">
        <w:rPr>
          <w:rFonts w:ascii="Calibri" w:hAnsi="Calibri" w:cs="Calibri"/>
          <w:color w:val="000000" w:themeColor="text1"/>
        </w:rPr>
        <w:t xml:space="preserve"> weaken signal strengths</w:t>
      </w:r>
      <w:r w:rsidR="00E74980">
        <w:rPr>
          <w:rFonts w:ascii="Calibri" w:hAnsi="Calibri" w:cs="Calibri"/>
          <w:color w:val="000000" w:themeColor="text1"/>
        </w:rPr>
        <w:t xml:space="preserve"> and reduce interpretability</w:t>
      </w:r>
      <w:r w:rsidR="00705AAD" w:rsidRPr="006520E2">
        <w:rPr>
          <w:rFonts w:ascii="Calibri" w:hAnsi="Calibri" w:cs="Calibri"/>
          <w:color w:val="000000" w:themeColor="text1"/>
        </w:rPr>
        <w:t xml:space="preserve">. The number of </w:t>
      </w:r>
      <w:r w:rsidR="00E0231A">
        <w:rPr>
          <w:rFonts w:ascii="Calibri" w:hAnsi="Calibri" w:cs="Calibri"/>
          <w:color w:val="000000" w:themeColor="text1"/>
        </w:rPr>
        <w:t xml:space="preserve">retained </w:t>
      </w:r>
      <w:r w:rsidR="00705AAD" w:rsidRPr="006520E2">
        <w:rPr>
          <w:rFonts w:ascii="Calibri" w:hAnsi="Calibri" w:cs="Calibri"/>
          <w:color w:val="000000" w:themeColor="text1"/>
        </w:rPr>
        <w:t xml:space="preserve">PCs </w:t>
      </w:r>
      <w:r w:rsidR="00DE370C" w:rsidRPr="006520E2">
        <w:rPr>
          <w:rFonts w:ascii="Calibri" w:hAnsi="Calibri" w:cs="Calibri"/>
          <w:color w:val="000000" w:themeColor="text1"/>
        </w:rPr>
        <w:t>is</w:t>
      </w:r>
      <w:r w:rsidR="00705AAD" w:rsidRPr="006520E2">
        <w:rPr>
          <w:rFonts w:ascii="Calibri" w:hAnsi="Calibri" w:cs="Calibri"/>
          <w:color w:val="000000" w:themeColor="text1"/>
        </w:rPr>
        <w:t xml:space="preserve"> not just </w:t>
      </w:r>
      <w:r w:rsidR="00DE370C" w:rsidRPr="006520E2">
        <w:rPr>
          <w:rFonts w:ascii="Calibri" w:hAnsi="Calibri" w:cs="Calibri"/>
          <w:color w:val="000000" w:themeColor="text1"/>
        </w:rPr>
        <w:t xml:space="preserve">a </w:t>
      </w:r>
      <w:r w:rsidR="00705AAD" w:rsidRPr="006520E2">
        <w:rPr>
          <w:rFonts w:ascii="Calibri" w:hAnsi="Calibri" w:cs="Calibri"/>
          <w:color w:val="000000" w:themeColor="text1"/>
        </w:rPr>
        <w:t xml:space="preserve">random </w:t>
      </w:r>
      <w:r w:rsidR="00DE370C" w:rsidRPr="006520E2">
        <w:rPr>
          <w:rFonts w:ascii="Calibri" w:hAnsi="Calibri" w:cs="Calibri"/>
          <w:color w:val="000000" w:themeColor="text1"/>
        </w:rPr>
        <w:t>output;</w:t>
      </w:r>
      <w:r w:rsidR="00705AAD" w:rsidRPr="006520E2">
        <w:rPr>
          <w:rFonts w:ascii="Calibri" w:hAnsi="Calibri" w:cs="Calibri"/>
          <w:color w:val="000000" w:themeColor="text1"/>
        </w:rPr>
        <w:t xml:space="preserve"> </w:t>
      </w:r>
      <w:r w:rsidR="00DE370C" w:rsidRPr="006520E2">
        <w:rPr>
          <w:rFonts w:ascii="Calibri" w:hAnsi="Calibri" w:cs="Calibri"/>
          <w:color w:val="000000" w:themeColor="text1"/>
        </w:rPr>
        <w:t xml:space="preserve">it is </w:t>
      </w:r>
      <w:r w:rsidR="006B45D9">
        <w:rPr>
          <w:rFonts w:ascii="Calibri" w:hAnsi="Calibri" w:cs="Calibri"/>
          <w:color w:val="000000" w:themeColor="text1"/>
        </w:rPr>
        <w:t xml:space="preserve">determined by the </w:t>
      </w:r>
      <w:r w:rsidR="00DE370C" w:rsidRPr="006520E2">
        <w:rPr>
          <w:rFonts w:ascii="Calibri" w:hAnsi="Calibri" w:cs="Calibri"/>
          <w:color w:val="000000" w:themeColor="text1"/>
        </w:rPr>
        <w:t>eigen-</w:t>
      </w:r>
      <w:r w:rsidR="00A6617F">
        <w:rPr>
          <w:rFonts w:ascii="Calibri" w:hAnsi="Calibri" w:cs="Calibri"/>
          <w:color w:val="000000" w:themeColor="text1"/>
        </w:rPr>
        <w:t xml:space="preserve">structure </w:t>
      </w:r>
      <w:r w:rsidR="00DE370C" w:rsidRPr="006520E2">
        <w:rPr>
          <w:rFonts w:ascii="Calibri" w:hAnsi="Calibri" w:cs="Calibri"/>
          <w:color w:val="000000" w:themeColor="text1"/>
        </w:rPr>
        <w:t xml:space="preserve">of the covariance </w:t>
      </w:r>
      <w:r w:rsidR="00A6617F">
        <w:rPr>
          <w:rFonts w:ascii="Calibri" w:hAnsi="Calibri" w:cs="Calibri"/>
          <w:color w:val="000000" w:themeColor="text1"/>
        </w:rPr>
        <w:t>matrix</w:t>
      </w:r>
      <w:r w:rsidR="00DE370C" w:rsidRPr="006520E2">
        <w:rPr>
          <w:rFonts w:ascii="Calibri" w:hAnsi="Calibri" w:cs="Calibri"/>
          <w:color w:val="000000" w:themeColor="text1"/>
        </w:rPr>
        <w:t xml:space="preserve">. Most existing </w:t>
      </w:r>
      <w:r w:rsidR="00A6617F">
        <w:rPr>
          <w:rFonts w:ascii="Calibri" w:hAnsi="Calibri" w:cs="Calibri"/>
          <w:color w:val="000000" w:themeColor="text1"/>
        </w:rPr>
        <w:t xml:space="preserve">UQ approaches are </w:t>
      </w:r>
      <w:r w:rsidR="00E06473" w:rsidRPr="006520E2">
        <w:rPr>
          <w:rFonts w:ascii="Calibri" w:hAnsi="Calibri" w:cs="Calibri"/>
          <w:color w:val="000000" w:themeColor="text1"/>
        </w:rPr>
        <w:t>local</w:t>
      </w:r>
      <w:r w:rsidR="00A6617F">
        <w:rPr>
          <w:rFonts w:ascii="Calibri" w:hAnsi="Calibri" w:cs="Calibri"/>
          <w:color w:val="000000" w:themeColor="text1"/>
        </w:rPr>
        <w:t xml:space="preserve"> and</w:t>
      </w:r>
      <w:r w:rsidR="00E06473" w:rsidRPr="006520E2">
        <w:rPr>
          <w:rFonts w:ascii="Calibri" w:hAnsi="Calibri" w:cs="Calibri"/>
          <w:color w:val="000000" w:themeColor="text1"/>
        </w:rPr>
        <w:t xml:space="preserve"> marginal</w:t>
      </w:r>
      <w:r w:rsidR="000B0DDA">
        <w:rPr>
          <w:rFonts w:ascii="Calibri" w:hAnsi="Calibri" w:cs="Calibri"/>
          <w:color w:val="000000" w:themeColor="text1"/>
        </w:rPr>
        <w:t>, focusing on individual quantities such as eigenvalues or loadings</w:t>
      </w:r>
      <w:r w:rsidR="005E6D3C">
        <w:rPr>
          <w:rFonts w:ascii="Calibri" w:hAnsi="Calibri" w:cs="Calibri"/>
          <w:color w:val="000000" w:themeColor="text1"/>
        </w:rPr>
        <w:t xml:space="preserve">, </w:t>
      </w:r>
      <w:r w:rsidR="00DE370C" w:rsidRPr="006520E2">
        <w:rPr>
          <w:rFonts w:ascii="Calibri" w:hAnsi="Calibri" w:cs="Calibri"/>
          <w:color w:val="000000" w:themeColor="text1"/>
        </w:rPr>
        <w:t xml:space="preserve">which </w:t>
      </w:r>
      <w:r w:rsidR="00E06473" w:rsidRPr="006520E2">
        <w:rPr>
          <w:rFonts w:ascii="Calibri" w:hAnsi="Calibri" w:cs="Calibri"/>
          <w:color w:val="000000" w:themeColor="text1"/>
        </w:rPr>
        <w:t>may miss important structural ambiguity</w:t>
      </w:r>
      <w:r w:rsidR="00CB6013" w:rsidRPr="006520E2">
        <w:rPr>
          <w:rFonts w:ascii="Calibri" w:hAnsi="Calibri" w:cs="Calibri"/>
          <w:color w:val="000000" w:themeColor="text1"/>
        </w:rPr>
        <w:t xml:space="preserve">. For example, two datasets </w:t>
      </w:r>
      <w:r w:rsidR="008108A8">
        <w:rPr>
          <w:rFonts w:ascii="Calibri" w:hAnsi="Calibri" w:cs="Calibri"/>
          <w:color w:val="000000" w:themeColor="text1"/>
        </w:rPr>
        <w:t>may</w:t>
      </w:r>
      <w:r w:rsidR="00CB6013" w:rsidRPr="006520E2">
        <w:rPr>
          <w:rFonts w:ascii="Calibri" w:hAnsi="Calibri" w:cs="Calibri"/>
          <w:color w:val="000000" w:themeColor="text1"/>
        </w:rPr>
        <w:t xml:space="preserve"> have identical eigenvalues </w:t>
      </w:r>
      <w:r w:rsidR="008108A8">
        <w:rPr>
          <w:rFonts w:ascii="Calibri" w:hAnsi="Calibri" w:cs="Calibri"/>
          <w:color w:val="000000" w:themeColor="text1"/>
        </w:rPr>
        <w:t xml:space="preserve">but </w:t>
      </w:r>
      <w:r w:rsidR="00CB6013" w:rsidRPr="006520E2">
        <w:rPr>
          <w:rFonts w:ascii="Calibri" w:hAnsi="Calibri" w:cs="Calibri"/>
          <w:color w:val="000000" w:themeColor="text1"/>
        </w:rPr>
        <w:t xml:space="preserve">have completely </w:t>
      </w:r>
      <w:r w:rsidR="00CB6013" w:rsidRPr="006520E2">
        <w:rPr>
          <w:rFonts w:ascii="Calibri" w:hAnsi="Calibri" w:cs="Calibri"/>
          <w:color w:val="000000" w:themeColor="text1"/>
        </w:rPr>
        <w:lastRenderedPageBreak/>
        <w:t xml:space="preserve">different </w:t>
      </w:r>
      <w:r w:rsidR="00CC5E83">
        <w:rPr>
          <w:rFonts w:ascii="Calibri" w:hAnsi="Calibri" w:cs="Calibri"/>
          <w:color w:val="000000" w:themeColor="text1"/>
        </w:rPr>
        <w:t>loading structures.</w:t>
      </w:r>
      <w:r w:rsidR="00CB6013" w:rsidRPr="006520E2">
        <w:rPr>
          <w:rFonts w:ascii="Calibri" w:hAnsi="Calibri" w:cs="Calibri"/>
          <w:color w:val="000000" w:themeColor="text1"/>
        </w:rPr>
        <w:t xml:space="preserve"> </w:t>
      </w:r>
      <w:r w:rsidR="00DE370C" w:rsidRPr="006520E2">
        <w:rPr>
          <w:rFonts w:ascii="Calibri" w:hAnsi="Calibri" w:cs="Calibri"/>
          <w:color w:val="000000" w:themeColor="text1"/>
        </w:rPr>
        <w:t xml:space="preserve">Therefore, </w:t>
      </w:r>
      <w:r w:rsidR="00E5145D">
        <w:rPr>
          <w:rFonts w:ascii="Calibri" w:hAnsi="Calibri" w:cs="Calibri"/>
          <w:color w:val="000000" w:themeColor="text1"/>
        </w:rPr>
        <w:t xml:space="preserve">instead of focusing on individual parameters, </w:t>
      </w:r>
      <w:r w:rsidR="00DE370C" w:rsidRPr="006520E2">
        <w:rPr>
          <w:rFonts w:ascii="Calibri" w:hAnsi="Calibri" w:cs="Calibri"/>
          <w:color w:val="000000" w:themeColor="text1"/>
        </w:rPr>
        <w:t xml:space="preserve">it is important to evaluate uncertainty </w:t>
      </w:r>
      <w:r w:rsidR="00085F78">
        <w:rPr>
          <w:rFonts w:ascii="Calibri" w:hAnsi="Calibri" w:cs="Calibri"/>
          <w:color w:val="000000" w:themeColor="text1"/>
        </w:rPr>
        <w:t xml:space="preserve">of the underlying space of the </w:t>
      </w:r>
      <w:proofErr w:type="spellStart"/>
      <w:r w:rsidR="00085F78">
        <w:rPr>
          <w:rFonts w:ascii="Calibri" w:hAnsi="Calibri" w:cs="Calibri"/>
          <w:color w:val="000000" w:themeColor="text1"/>
        </w:rPr>
        <w:t>eigenstructure</w:t>
      </w:r>
      <w:proofErr w:type="spellEnd"/>
      <w:r w:rsidR="00085F78">
        <w:rPr>
          <w:rFonts w:ascii="Calibri" w:hAnsi="Calibri" w:cs="Calibri"/>
          <w:color w:val="000000" w:themeColor="text1"/>
        </w:rPr>
        <w:t xml:space="preserve">. </w:t>
      </w:r>
    </w:p>
    <w:p w14:paraId="72D43DAB" w14:textId="09245A06" w:rsidR="00E508DE" w:rsidRPr="006520E2" w:rsidRDefault="00E508DE" w:rsidP="00BA14D7">
      <w:pPr>
        <w:rPr>
          <w:rFonts w:ascii="Calibri" w:hAnsi="Calibri" w:cs="Calibri"/>
          <w:b/>
          <w:bCs/>
        </w:rPr>
      </w:pPr>
      <w:r w:rsidRPr="006520E2">
        <w:rPr>
          <w:rFonts w:ascii="Calibri" w:hAnsi="Calibri" w:cs="Calibri"/>
          <w:b/>
          <w:bCs/>
        </w:rPr>
        <w:t>Research Question:</w:t>
      </w:r>
      <w:r w:rsidR="00BA14D7" w:rsidRPr="006520E2">
        <w:rPr>
          <w:rFonts w:ascii="Calibri" w:hAnsi="Calibri" w:cs="Calibri"/>
          <w:b/>
          <w:bCs/>
        </w:rPr>
        <w:t xml:space="preserve"> </w:t>
      </w:r>
    </w:p>
    <w:p w14:paraId="5F00A2AF" w14:textId="74164EDB" w:rsidR="006C43D2" w:rsidRPr="00E53C13" w:rsidRDefault="006C43D2">
      <w:pPr>
        <w:rPr>
          <w:rFonts w:ascii="Calibri" w:hAnsi="Calibri" w:cs="Calibri"/>
        </w:rPr>
      </w:pPr>
      <w:r>
        <w:rPr>
          <w:rFonts w:ascii="Calibri" w:hAnsi="Calibri" w:cs="Calibri"/>
        </w:rPr>
        <w:t>How can we quantify uncertaint</w:t>
      </w:r>
      <w:r w:rsidR="00BA14D7" w:rsidRPr="006C43D2">
        <w:rPr>
          <w:rFonts w:ascii="Calibri" w:hAnsi="Calibri" w:cs="Calibri"/>
        </w:rPr>
        <w:t xml:space="preserve">y </w:t>
      </w:r>
      <w:r>
        <w:rPr>
          <w:rFonts w:ascii="Calibri" w:hAnsi="Calibri" w:cs="Calibri"/>
        </w:rPr>
        <w:t>in</w:t>
      </w:r>
      <w:r w:rsidR="00BA14D7" w:rsidRPr="006C43D2">
        <w:rPr>
          <w:rFonts w:ascii="Calibri" w:hAnsi="Calibri" w:cs="Calibri"/>
        </w:rPr>
        <w:t xml:space="preserve"> PCA outputs </w:t>
      </w:r>
      <w:r>
        <w:rPr>
          <w:rFonts w:ascii="Calibri" w:hAnsi="Calibri" w:cs="Calibri"/>
        </w:rPr>
        <w:t xml:space="preserve">by accounting </w:t>
      </w:r>
      <w:r w:rsidR="00E53C13">
        <w:rPr>
          <w:rFonts w:ascii="Calibri" w:hAnsi="Calibri" w:cs="Calibri"/>
        </w:rPr>
        <w:t>for variability in the entire eigensystem rather than individual quantities?</w:t>
      </w:r>
    </w:p>
    <w:p w14:paraId="7FEB7F6F" w14:textId="0776434D" w:rsidR="00BA14D7" w:rsidRPr="006520E2" w:rsidRDefault="00E508DE">
      <w:pPr>
        <w:rPr>
          <w:rFonts w:ascii="Calibri" w:hAnsi="Calibri" w:cs="Calibri"/>
          <w:b/>
          <w:bCs/>
        </w:rPr>
      </w:pPr>
      <w:r w:rsidRPr="006520E2">
        <w:rPr>
          <w:rFonts w:ascii="Calibri" w:hAnsi="Calibri" w:cs="Calibri"/>
          <w:b/>
          <w:bCs/>
        </w:rPr>
        <w:t>Data:</w:t>
      </w:r>
    </w:p>
    <w:p w14:paraId="107CFB07" w14:textId="4FE8F9CE" w:rsidR="0061434D" w:rsidRPr="006520E2" w:rsidRDefault="007B0C8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spectral decomposition theorem, we construct </w:t>
      </w:r>
      <w:r w:rsidR="00A10230">
        <w:rPr>
          <w:rFonts w:ascii="Calibri" w:hAnsi="Calibri" w:cs="Calibri"/>
        </w:rPr>
        <w:t xml:space="preserve">a covariance matrix by pre-specifying lambda. </w:t>
      </w:r>
      <w:r w:rsidR="00DA7BCE">
        <w:rPr>
          <w:rFonts w:ascii="Calibri" w:hAnsi="Calibri" w:cs="Calibri"/>
        </w:rPr>
        <w:t>Two</w:t>
      </w:r>
      <w:r w:rsidR="00151405" w:rsidRPr="006520E2">
        <w:rPr>
          <w:rFonts w:ascii="Calibri" w:hAnsi="Calibri" w:cs="Calibri"/>
        </w:rPr>
        <w:t xml:space="preserve"> </w:t>
      </w:r>
      <w:r w:rsidR="0061434D" w:rsidRPr="006520E2">
        <w:rPr>
          <w:rFonts w:ascii="Calibri" w:hAnsi="Calibri" w:cs="Calibri"/>
        </w:rPr>
        <w:t>covariance</w:t>
      </w:r>
      <w:r w:rsidR="00151405" w:rsidRPr="006520E2">
        <w:rPr>
          <w:rFonts w:ascii="Calibri" w:hAnsi="Calibri" w:cs="Calibri"/>
        </w:rPr>
        <w:t xml:space="preserve"> scenario</w:t>
      </w:r>
      <w:r w:rsidR="0061434D" w:rsidRPr="006520E2">
        <w:rPr>
          <w:rFonts w:ascii="Calibri" w:hAnsi="Calibri" w:cs="Calibri"/>
        </w:rPr>
        <w:t>s</w:t>
      </w:r>
      <w:r w:rsidR="00151405" w:rsidRPr="006520E2">
        <w:rPr>
          <w:rFonts w:ascii="Calibri" w:hAnsi="Calibri" w:cs="Calibri"/>
        </w:rPr>
        <w:t xml:space="preserve"> will be created:</w:t>
      </w:r>
      <w:r w:rsidR="0061434D" w:rsidRPr="006520E2">
        <w:rPr>
          <w:rFonts w:ascii="Calibri" w:hAnsi="Calibri" w:cs="Calibri"/>
        </w:rPr>
        <w:t xml:space="preserve"> a fragile condition and a stable condition. </w:t>
      </w:r>
      <w:proofErr w:type="spellStart"/>
      <w:r w:rsidR="00C72527" w:rsidRPr="006520E2">
        <w:rPr>
          <w:rFonts w:ascii="Calibri" w:hAnsi="Calibri" w:cs="Calibri"/>
        </w:rPr>
        <w:t>Sigma_Fragile</w:t>
      </w:r>
      <w:proofErr w:type="spellEnd"/>
      <w:r w:rsidR="00C72527" w:rsidRPr="006520E2">
        <w:rPr>
          <w:rFonts w:ascii="Calibri" w:hAnsi="Calibri" w:cs="Calibri"/>
        </w:rPr>
        <w:t xml:space="preserve"> will be constructed using a narrow gap between eigenvalues (e.g., l1 = 6.0, l2 = 5.9, …), and in contrast, </w:t>
      </w:r>
      <w:proofErr w:type="spellStart"/>
      <w:r w:rsidR="00C72527" w:rsidRPr="006520E2">
        <w:rPr>
          <w:rFonts w:ascii="Calibri" w:hAnsi="Calibri" w:cs="Calibri"/>
        </w:rPr>
        <w:t>Sigma_Stable</w:t>
      </w:r>
      <w:proofErr w:type="spellEnd"/>
      <w:r w:rsidR="00C72527" w:rsidRPr="006520E2">
        <w:rPr>
          <w:rFonts w:ascii="Calibri" w:hAnsi="Calibri" w:cs="Calibri"/>
        </w:rPr>
        <w:t xml:space="preserve"> will be constructed with clearer separation between eigenvalues </w:t>
      </w:r>
      <w:proofErr w:type="gramStart"/>
      <w:r w:rsidR="00C72527" w:rsidRPr="006520E2">
        <w:rPr>
          <w:rFonts w:ascii="Calibri" w:hAnsi="Calibri" w:cs="Calibri"/>
        </w:rPr>
        <w:t>( e.g.</w:t>
      </w:r>
      <w:proofErr w:type="gramEnd"/>
      <w:r w:rsidR="00C72527" w:rsidRPr="006520E2">
        <w:rPr>
          <w:rFonts w:ascii="Calibri" w:hAnsi="Calibri" w:cs="Calibri"/>
        </w:rPr>
        <w:t>, l1= 6.0, l2=2.0, …).</w:t>
      </w:r>
      <w:r w:rsidR="00C72527">
        <w:rPr>
          <w:rFonts w:ascii="Calibri" w:hAnsi="Calibri" w:cs="Calibri"/>
        </w:rPr>
        <w:t xml:space="preserve"> For Q, </w:t>
      </w:r>
      <w:r w:rsidR="000C282E">
        <w:rPr>
          <w:rFonts w:ascii="Calibri" w:hAnsi="Calibri" w:cs="Calibri"/>
        </w:rPr>
        <w:t xml:space="preserve">a typical method to generate a </w:t>
      </w:r>
      <w:r w:rsidR="00AA5CB2">
        <w:rPr>
          <w:rFonts w:ascii="Calibri" w:hAnsi="Calibri" w:cs="Calibri"/>
        </w:rPr>
        <w:t xml:space="preserve">p x p orthogonal matrix is to generate a matrix of random normals and perform </w:t>
      </w:r>
      <w:r w:rsidR="0061434D" w:rsidRPr="006520E2">
        <w:rPr>
          <w:rFonts w:ascii="Calibri" w:hAnsi="Calibri" w:cs="Calibri"/>
        </w:rPr>
        <w:t>a QR decomposition approach</w:t>
      </w:r>
      <w:r w:rsidR="00AA5CB2">
        <w:rPr>
          <w:rFonts w:ascii="Calibri" w:hAnsi="Calibri" w:cs="Calibri"/>
        </w:rPr>
        <w:t xml:space="preserve">. </w:t>
      </w:r>
      <w:r w:rsidR="0061434D" w:rsidRPr="006520E2">
        <w:rPr>
          <w:rFonts w:ascii="Calibri" w:hAnsi="Calibri" w:cs="Calibri"/>
        </w:rPr>
        <w:t xml:space="preserve">Multivariate normal data will be sampled from both populations: </w:t>
      </w:r>
      <w:r w:rsidR="00151405" w:rsidRPr="006520E2">
        <w:rPr>
          <w:rFonts w:ascii="Calibri" w:hAnsi="Calibri" w:cs="Calibri"/>
        </w:rPr>
        <w:t xml:space="preserve">X ~ </w:t>
      </w:r>
      <w:proofErr w:type="gramStart"/>
      <w:r w:rsidR="0036536A" w:rsidRPr="006520E2">
        <w:rPr>
          <w:rFonts w:ascii="Calibri" w:hAnsi="Calibri" w:cs="Calibri"/>
        </w:rPr>
        <w:t>MV</w:t>
      </w:r>
      <w:r w:rsidR="00151405" w:rsidRPr="006520E2">
        <w:rPr>
          <w:rFonts w:ascii="Calibri" w:hAnsi="Calibri" w:cs="Calibri"/>
        </w:rPr>
        <w:t>N(</w:t>
      </w:r>
      <w:proofErr w:type="gramEnd"/>
      <w:r w:rsidR="00151405" w:rsidRPr="006520E2">
        <w:rPr>
          <w:rFonts w:ascii="Calibri" w:hAnsi="Calibri" w:cs="Calibri"/>
        </w:rPr>
        <w:t xml:space="preserve">0, </w:t>
      </w:r>
      <w:proofErr w:type="spellStart"/>
      <w:r w:rsidR="00151405" w:rsidRPr="006520E2">
        <w:rPr>
          <w:rFonts w:ascii="Calibri" w:hAnsi="Calibri" w:cs="Calibri"/>
        </w:rPr>
        <w:t>Sigma_Fragile</w:t>
      </w:r>
      <w:proofErr w:type="spellEnd"/>
      <w:r w:rsidR="00151405" w:rsidRPr="006520E2">
        <w:rPr>
          <w:rFonts w:ascii="Calibri" w:hAnsi="Calibri" w:cs="Calibri"/>
        </w:rPr>
        <w:t>), Y~</w:t>
      </w:r>
      <w:proofErr w:type="gramStart"/>
      <w:r w:rsidR="0036536A" w:rsidRPr="006520E2">
        <w:rPr>
          <w:rFonts w:ascii="Calibri" w:hAnsi="Calibri" w:cs="Calibri"/>
        </w:rPr>
        <w:t>MV</w:t>
      </w:r>
      <w:r w:rsidR="00151405" w:rsidRPr="006520E2">
        <w:rPr>
          <w:rFonts w:ascii="Calibri" w:hAnsi="Calibri" w:cs="Calibri"/>
        </w:rPr>
        <w:t>N(</w:t>
      </w:r>
      <w:proofErr w:type="gramEnd"/>
      <w:r w:rsidR="00151405" w:rsidRPr="006520E2">
        <w:rPr>
          <w:rFonts w:ascii="Calibri" w:hAnsi="Calibri" w:cs="Calibri"/>
        </w:rPr>
        <w:t xml:space="preserve">0, </w:t>
      </w:r>
      <w:proofErr w:type="spellStart"/>
      <w:r w:rsidR="00151405" w:rsidRPr="006520E2">
        <w:rPr>
          <w:rFonts w:ascii="Calibri" w:hAnsi="Calibri" w:cs="Calibri"/>
        </w:rPr>
        <w:t>Sigma_Stable</w:t>
      </w:r>
      <w:proofErr w:type="spellEnd"/>
      <w:r w:rsidR="00151405" w:rsidRPr="006520E2">
        <w:rPr>
          <w:rFonts w:ascii="Calibri" w:hAnsi="Calibri" w:cs="Calibri"/>
        </w:rPr>
        <w:t>)</w:t>
      </w:r>
      <w:r w:rsidR="0036536A" w:rsidRPr="006520E2">
        <w:rPr>
          <w:rFonts w:ascii="Calibri" w:hAnsi="Calibri" w:cs="Calibri"/>
        </w:rPr>
        <w:t xml:space="preserve"> with dimension p = </w:t>
      </w:r>
      <w:r w:rsidR="0061434D" w:rsidRPr="006520E2">
        <w:rPr>
          <w:rFonts w:ascii="Calibri" w:hAnsi="Calibri" w:cs="Calibri"/>
        </w:rPr>
        <w:t>2</w:t>
      </w:r>
      <w:r w:rsidR="0036536A" w:rsidRPr="006520E2">
        <w:rPr>
          <w:rFonts w:ascii="Calibri" w:hAnsi="Calibri" w:cs="Calibri"/>
        </w:rPr>
        <w:t>0.</w:t>
      </w:r>
      <w:r w:rsidR="0061434D" w:rsidRPr="006520E2">
        <w:rPr>
          <w:rFonts w:ascii="Calibri" w:hAnsi="Calibri" w:cs="Calibri"/>
        </w:rPr>
        <w:t xml:space="preserve"> Empirical correlation matrices from both distributions will be estimated and serve as the starting point of our UQ procedure (see Methods section). </w:t>
      </w:r>
      <w:r w:rsidR="00BA14D7" w:rsidRPr="006520E2">
        <w:rPr>
          <w:rFonts w:ascii="Calibri" w:hAnsi="Calibri" w:cs="Calibri"/>
        </w:rPr>
        <w:t xml:space="preserve">To evaluate </w:t>
      </w:r>
      <w:r w:rsidR="0061434D" w:rsidRPr="006520E2">
        <w:rPr>
          <w:rFonts w:ascii="Calibri" w:hAnsi="Calibri" w:cs="Calibri"/>
        </w:rPr>
        <w:t xml:space="preserve">the </w:t>
      </w:r>
      <w:r w:rsidR="00BA14D7" w:rsidRPr="006520E2">
        <w:rPr>
          <w:rFonts w:ascii="Calibri" w:hAnsi="Calibri" w:cs="Calibri"/>
        </w:rPr>
        <w:t xml:space="preserve">impact of sampling noise, </w:t>
      </w:r>
      <w:r w:rsidR="0061434D" w:rsidRPr="006520E2">
        <w:rPr>
          <w:rFonts w:ascii="Calibri" w:hAnsi="Calibri" w:cs="Calibri"/>
        </w:rPr>
        <w:t xml:space="preserve">the simulation will </w:t>
      </w:r>
      <w:r w:rsidR="00AA5CB2">
        <w:rPr>
          <w:rFonts w:ascii="Calibri" w:hAnsi="Calibri" w:cs="Calibri"/>
        </w:rPr>
        <w:t xml:space="preserve">also </w:t>
      </w:r>
      <w:r w:rsidR="0061434D" w:rsidRPr="006520E2">
        <w:rPr>
          <w:rFonts w:ascii="Calibri" w:hAnsi="Calibri" w:cs="Calibri"/>
        </w:rPr>
        <w:t>be iterated across a range of sample sizes</w:t>
      </w:r>
      <w:r w:rsidR="00BA14D7" w:rsidRPr="006520E2">
        <w:rPr>
          <w:rFonts w:ascii="Calibri" w:hAnsi="Calibri" w:cs="Calibri"/>
        </w:rPr>
        <w:t>: {50, 100, 200, 500, 1000, 2000, 5000}</w:t>
      </w:r>
      <w:r w:rsidR="0061434D" w:rsidRPr="006520E2">
        <w:rPr>
          <w:rFonts w:ascii="Calibri" w:hAnsi="Calibri" w:cs="Calibri"/>
        </w:rPr>
        <w:t>.</w:t>
      </w:r>
    </w:p>
    <w:p w14:paraId="363FF60E" w14:textId="2D0E165F" w:rsidR="00E508DE" w:rsidRPr="006520E2" w:rsidRDefault="00E508DE">
      <w:pPr>
        <w:rPr>
          <w:rFonts w:ascii="Calibri" w:hAnsi="Calibri" w:cs="Calibri"/>
          <w:b/>
          <w:bCs/>
        </w:rPr>
      </w:pPr>
      <w:r w:rsidRPr="006520E2">
        <w:rPr>
          <w:rFonts w:ascii="Calibri" w:hAnsi="Calibri" w:cs="Calibri"/>
          <w:b/>
          <w:bCs/>
        </w:rPr>
        <w:t>Methods:</w:t>
      </w:r>
    </w:p>
    <w:p w14:paraId="0EC75A36" w14:textId="6B934EE8" w:rsidR="009E1150" w:rsidRPr="006520E2" w:rsidRDefault="009E1150" w:rsidP="0061434D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>The starting point of the UQ procedure will be the empirical correlation matrix</w:t>
      </w:r>
      <w:r w:rsidR="00B84D26" w:rsidRPr="006520E2">
        <w:rPr>
          <w:rFonts w:ascii="Calibri" w:hAnsi="Calibri" w:cs="Calibri"/>
        </w:rPr>
        <w:t xml:space="preserve"> (R)</w:t>
      </w:r>
      <w:r w:rsidR="00EF2EF3" w:rsidRPr="006520E2">
        <w:rPr>
          <w:rFonts w:ascii="Calibri" w:hAnsi="Calibri" w:cs="Calibri"/>
        </w:rPr>
        <w:t>.</w:t>
      </w:r>
      <w:r w:rsidRPr="006520E2">
        <w:rPr>
          <w:rFonts w:ascii="Calibri" w:hAnsi="Calibri" w:cs="Calibri"/>
        </w:rPr>
        <w:t xml:space="preserve"> </w:t>
      </w:r>
      <w:r w:rsidR="00EF2EF3" w:rsidRPr="006520E2">
        <w:rPr>
          <w:rFonts w:ascii="Calibri" w:hAnsi="Calibri" w:cs="Calibri"/>
        </w:rPr>
        <w:t>A</w:t>
      </w:r>
      <w:r w:rsidRPr="006520E2">
        <w:rPr>
          <w:rFonts w:ascii="Calibri" w:hAnsi="Calibri" w:cs="Calibri"/>
        </w:rPr>
        <w:t xml:space="preserve"> 95% MCMC cloud (B=20000 </w:t>
      </w:r>
      <w:proofErr w:type="spellStart"/>
      <w:r w:rsidRPr="006520E2">
        <w:rPr>
          <w:rFonts w:ascii="Calibri" w:hAnsi="Calibri" w:cs="Calibri"/>
        </w:rPr>
        <w:t>Rhats</w:t>
      </w:r>
      <w:proofErr w:type="spellEnd"/>
      <w:r w:rsidRPr="006520E2">
        <w:rPr>
          <w:rFonts w:ascii="Calibri" w:hAnsi="Calibri" w:cs="Calibri"/>
        </w:rPr>
        <w:t xml:space="preserve">) </w:t>
      </w:r>
      <w:r w:rsidR="00B84D26" w:rsidRPr="006520E2">
        <w:rPr>
          <w:rFonts w:ascii="Calibri" w:hAnsi="Calibri" w:cs="Calibri"/>
        </w:rPr>
        <w:t xml:space="preserve">of R </w:t>
      </w:r>
      <w:r w:rsidRPr="006520E2">
        <w:rPr>
          <w:rFonts w:ascii="Calibri" w:hAnsi="Calibri" w:cs="Calibri"/>
        </w:rPr>
        <w:t xml:space="preserve">will be generated and PCA will be performed on each </w:t>
      </w:r>
      <w:proofErr w:type="spellStart"/>
      <w:r w:rsidRPr="006520E2">
        <w:rPr>
          <w:rFonts w:ascii="Calibri" w:hAnsi="Calibri" w:cs="Calibri"/>
        </w:rPr>
        <w:t>Rhat</w:t>
      </w:r>
      <w:proofErr w:type="spellEnd"/>
      <w:r w:rsidRPr="006520E2">
        <w:rPr>
          <w:rFonts w:ascii="Calibri" w:hAnsi="Calibri" w:cs="Calibri"/>
        </w:rPr>
        <w:t xml:space="preserve">. PCA outputs (eigenvalues and loadings) of each </w:t>
      </w:r>
      <w:proofErr w:type="spellStart"/>
      <w:r w:rsidRPr="006520E2">
        <w:rPr>
          <w:rFonts w:ascii="Calibri" w:hAnsi="Calibri" w:cs="Calibri"/>
        </w:rPr>
        <w:t>Rhat</w:t>
      </w:r>
      <w:proofErr w:type="spellEnd"/>
      <w:r w:rsidRPr="006520E2">
        <w:rPr>
          <w:rFonts w:ascii="Calibri" w:hAnsi="Calibri" w:cs="Calibri"/>
        </w:rPr>
        <w:t xml:space="preserve"> will be </w:t>
      </w:r>
      <w:r w:rsidR="00F41F0F" w:rsidRPr="006520E2">
        <w:rPr>
          <w:rFonts w:ascii="Calibri" w:hAnsi="Calibri" w:cs="Calibri"/>
        </w:rPr>
        <w:t xml:space="preserve">summarized and reported. </w:t>
      </w:r>
    </w:p>
    <w:p w14:paraId="6E57BE85" w14:textId="726C6D14" w:rsidR="00F61CF8" w:rsidRDefault="00B65EF0" w:rsidP="00A137EC">
      <w:pPr>
        <w:rPr>
          <w:rFonts w:ascii="Calibri" w:hAnsi="Calibri" w:cs="Calibri"/>
        </w:rPr>
      </w:pPr>
      <w:r>
        <w:rPr>
          <w:rFonts w:ascii="Calibri" w:hAnsi="Calibri" w:cs="Calibri"/>
        </w:rPr>
        <w:t>The</w:t>
      </w:r>
      <w:r w:rsidR="00947247">
        <w:rPr>
          <w:rFonts w:ascii="Calibri" w:hAnsi="Calibri" w:cs="Calibri"/>
        </w:rPr>
        <w:t xml:space="preserve"> primary outcome of interest </w:t>
      </w:r>
      <w:r w:rsidR="001936BC">
        <w:rPr>
          <w:rFonts w:ascii="Calibri" w:hAnsi="Calibri" w:cs="Calibri"/>
        </w:rPr>
        <w:t xml:space="preserve">is </w:t>
      </w:r>
      <w:r w:rsidR="00F10B67">
        <w:rPr>
          <w:rFonts w:ascii="Calibri" w:hAnsi="Calibri" w:cs="Calibri"/>
        </w:rPr>
        <w:t xml:space="preserve">to determine how many </w:t>
      </w:r>
      <w:r w:rsidR="00AC79FF">
        <w:rPr>
          <w:rFonts w:ascii="Calibri" w:hAnsi="Calibri" w:cs="Calibri"/>
        </w:rPr>
        <w:t xml:space="preserve">principal components should be retained </w:t>
      </w:r>
      <w:r w:rsidR="00B651DA">
        <w:rPr>
          <w:rFonts w:ascii="Calibri" w:hAnsi="Calibri" w:cs="Calibri"/>
        </w:rPr>
        <w:t xml:space="preserve">while accounting for </w:t>
      </w:r>
      <w:r w:rsidR="00AC79FF">
        <w:rPr>
          <w:rFonts w:ascii="Calibri" w:hAnsi="Calibri" w:cs="Calibri"/>
        </w:rPr>
        <w:t>uncertainty</w:t>
      </w:r>
      <w:r w:rsidR="00626A39">
        <w:rPr>
          <w:rFonts w:ascii="Calibri" w:hAnsi="Calibri" w:cs="Calibri"/>
        </w:rPr>
        <w:t xml:space="preserve">. </w:t>
      </w:r>
      <w:r w:rsidR="00BF434C">
        <w:rPr>
          <w:rFonts w:ascii="Calibri" w:hAnsi="Calibri" w:cs="Calibri"/>
        </w:rPr>
        <w:t xml:space="preserve">Rather than selecting components based </w:t>
      </w:r>
      <w:r w:rsidR="006673A4">
        <w:rPr>
          <w:rFonts w:ascii="Calibri" w:hAnsi="Calibri" w:cs="Calibri"/>
        </w:rPr>
        <w:t xml:space="preserve">solely on eigenvalues, we frame this as finding a </w:t>
      </w:r>
      <w:r w:rsidR="00CB7DFB">
        <w:rPr>
          <w:rFonts w:ascii="Calibri" w:hAnsi="Calibri" w:cs="Calibri"/>
        </w:rPr>
        <w:t xml:space="preserve">reduced subspace </w:t>
      </w:r>
      <w:r w:rsidR="0053059D">
        <w:rPr>
          <w:rFonts w:ascii="Calibri" w:hAnsi="Calibri" w:cs="Calibri"/>
        </w:rPr>
        <w:t>that is consistently stable</w:t>
      </w:r>
      <w:r w:rsidR="000816A1">
        <w:rPr>
          <w:rFonts w:ascii="Calibri" w:hAnsi="Calibri" w:cs="Calibri"/>
        </w:rPr>
        <w:t xml:space="preserve"> under</w:t>
      </w:r>
      <w:r w:rsidR="00EC7178">
        <w:rPr>
          <w:rFonts w:ascii="Calibri" w:hAnsi="Calibri" w:cs="Calibri"/>
        </w:rPr>
        <w:t xml:space="preserve"> perturbations of the correlation structure.</w:t>
      </w:r>
      <w:r w:rsidR="0053059D">
        <w:rPr>
          <w:rFonts w:ascii="Calibri" w:hAnsi="Calibri" w:cs="Calibri"/>
        </w:rPr>
        <w:t xml:space="preserve"> </w:t>
      </w:r>
      <w:r w:rsidR="00A137EC">
        <w:rPr>
          <w:rFonts w:ascii="Calibri" w:hAnsi="Calibri" w:cs="Calibri"/>
        </w:rPr>
        <w:t xml:space="preserve">The projection matrix </w:t>
      </w:r>
      <w:r w:rsidR="00A137EC">
        <w:rPr>
          <w:rFonts w:ascii="Calibri" w:hAnsi="Calibri" w:cs="Calibri"/>
        </w:rPr>
        <w:t xml:space="preserve">Pk = </w:t>
      </w:r>
      <w:proofErr w:type="spellStart"/>
      <w:r w:rsidR="00A137EC">
        <w:rPr>
          <w:rFonts w:ascii="Calibri" w:hAnsi="Calibri" w:cs="Calibri"/>
        </w:rPr>
        <w:t>Vk</w:t>
      </w:r>
      <w:proofErr w:type="spellEnd"/>
      <w:r w:rsidR="00A137EC">
        <w:rPr>
          <w:rFonts w:ascii="Calibri" w:hAnsi="Calibri" w:cs="Calibri"/>
        </w:rPr>
        <w:t xml:space="preserve"> </w:t>
      </w:r>
      <w:proofErr w:type="spellStart"/>
      <w:r w:rsidR="00A137EC">
        <w:rPr>
          <w:rFonts w:ascii="Calibri" w:hAnsi="Calibri" w:cs="Calibri"/>
        </w:rPr>
        <w:t>VkT</w:t>
      </w:r>
      <w:proofErr w:type="spellEnd"/>
      <w:r w:rsidR="00AD697C">
        <w:rPr>
          <w:rFonts w:ascii="Calibri" w:hAnsi="Calibri" w:cs="Calibri"/>
        </w:rPr>
        <w:t xml:space="preserve"> can uniquely describe the</w:t>
      </w:r>
      <w:r w:rsidR="003B3249">
        <w:rPr>
          <w:rFonts w:ascii="Calibri" w:hAnsi="Calibri" w:cs="Calibri"/>
        </w:rPr>
        <w:t xml:space="preserve"> k-dimensional subspace </w:t>
      </w:r>
      <w:r w:rsidR="00B30DD5">
        <w:rPr>
          <w:rFonts w:ascii="Calibri" w:hAnsi="Calibri" w:cs="Calibri"/>
        </w:rPr>
        <w:t>spanned by the leading</w:t>
      </w:r>
      <w:r w:rsidR="00AD697C">
        <w:rPr>
          <w:rFonts w:ascii="Calibri" w:hAnsi="Calibri" w:cs="Calibri"/>
        </w:rPr>
        <w:t xml:space="preserve"> k</w:t>
      </w:r>
      <w:r w:rsidR="00B30DD5">
        <w:rPr>
          <w:rFonts w:ascii="Calibri" w:hAnsi="Calibri" w:cs="Calibri"/>
        </w:rPr>
        <w:t xml:space="preserve"> principal components.</w:t>
      </w:r>
      <w:r w:rsidR="00055120">
        <w:rPr>
          <w:rFonts w:ascii="Calibri" w:hAnsi="Calibri" w:cs="Calibri"/>
        </w:rPr>
        <w:t xml:space="preserve"> </w:t>
      </w:r>
      <w:r w:rsidR="00197DF2">
        <w:rPr>
          <w:rFonts w:ascii="Calibri" w:hAnsi="Calibri" w:cs="Calibri"/>
        </w:rPr>
        <w:t>Stability is assessed by</w:t>
      </w:r>
      <w:r w:rsidR="00A16630">
        <w:rPr>
          <w:rFonts w:ascii="Calibri" w:hAnsi="Calibri" w:cs="Calibri"/>
        </w:rPr>
        <w:t xml:space="preserve"> </w:t>
      </w:r>
      <w:r w:rsidR="00197DF2">
        <w:rPr>
          <w:rFonts w:ascii="Calibri" w:hAnsi="Calibri" w:cs="Calibri"/>
        </w:rPr>
        <w:t xml:space="preserve">measuring the distance </w:t>
      </w:r>
      <w:r w:rsidR="00152A8A">
        <w:rPr>
          <w:rFonts w:ascii="Calibri" w:hAnsi="Calibri" w:cs="Calibri"/>
        </w:rPr>
        <w:t xml:space="preserve">distribution </w:t>
      </w:r>
      <w:r w:rsidR="00197DF2">
        <w:rPr>
          <w:rFonts w:ascii="Calibri" w:hAnsi="Calibri" w:cs="Calibri"/>
        </w:rPr>
        <w:t xml:space="preserve">between </w:t>
      </w:r>
      <w:r w:rsidR="00436173">
        <w:rPr>
          <w:rFonts w:ascii="Calibri" w:hAnsi="Calibri" w:cs="Calibri"/>
        </w:rPr>
        <w:t>perturbation-based</w:t>
      </w:r>
      <w:r w:rsidR="00A16630">
        <w:rPr>
          <w:rFonts w:ascii="Calibri" w:hAnsi="Calibri" w:cs="Calibri"/>
        </w:rPr>
        <w:t xml:space="preserve"> subspace </w:t>
      </w:r>
      <w:r w:rsidR="00436173">
        <w:rPr>
          <w:rFonts w:ascii="Calibri" w:hAnsi="Calibri" w:cs="Calibri"/>
        </w:rPr>
        <w:t xml:space="preserve">and reference subspace </w:t>
      </w:r>
      <w:r w:rsidR="004D32A8">
        <w:rPr>
          <w:rFonts w:ascii="Calibri" w:hAnsi="Calibri" w:cs="Calibri"/>
        </w:rPr>
        <w:t>i.e.</w:t>
      </w:r>
      <w:r w:rsidR="007724E3">
        <w:rPr>
          <w:rFonts w:ascii="Calibri" w:hAnsi="Calibri" w:cs="Calibri"/>
        </w:rPr>
        <w:t xml:space="preserve"> subspace derived from </w:t>
      </w:r>
      <w:r w:rsidR="001A7BA2">
        <w:rPr>
          <w:rFonts w:ascii="Calibri" w:hAnsi="Calibri" w:cs="Calibri"/>
        </w:rPr>
        <w:t>the initial R (observed R)</w:t>
      </w:r>
      <w:r w:rsidR="00EB434B">
        <w:rPr>
          <w:rFonts w:ascii="Calibri" w:hAnsi="Calibri" w:cs="Calibri"/>
        </w:rPr>
        <w:t xml:space="preserve">. </w:t>
      </w:r>
      <w:r w:rsidR="00F6173B" w:rsidRPr="00F6173B">
        <w:rPr>
          <w:rFonts w:ascii="Calibri" w:hAnsi="Calibri" w:cs="Calibri"/>
        </w:rPr>
        <w:t>For each candidate dimension k, we summarize the distribution of these distances (e.g., mean or median pairwise distance). A subspace is considered stable if this variability remains small. The number of principal components is then selected as the largest k for which the corresponding subspace remains stable across the confidence set.</w:t>
      </w:r>
    </w:p>
    <w:p w14:paraId="0450929B" w14:textId="77777777" w:rsidR="00F61CF8" w:rsidRDefault="00F61CF8" w:rsidP="00A137EC">
      <w:pPr>
        <w:rPr>
          <w:rFonts w:ascii="Calibri" w:hAnsi="Calibri" w:cs="Calibri"/>
        </w:rPr>
      </w:pPr>
    </w:p>
    <w:p w14:paraId="0A98D31D" w14:textId="102BB0C9" w:rsidR="001946A5" w:rsidRDefault="00B77CDA" w:rsidP="00021845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As for comparison, a PCA on </w:t>
      </w:r>
      <w:proofErr w:type="spellStart"/>
      <w:r>
        <w:rPr>
          <w:rFonts w:ascii="Calibri" w:hAnsi="Calibri" w:cs="Calibri"/>
        </w:rPr>
        <w:t>Rhat</w:t>
      </w:r>
      <w:proofErr w:type="spellEnd"/>
      <w:r>
        <w:rPr>
          <w:rFonts w:ascii="Calibri" w:hAnsi="Calibri" w:cs="Calibri"/>
        </w:rPr>
        <w:t xml:space="preserve"> will be performed, and a scree plot will be used to determine the number of PCs to retain.</w:t>
      </w:r>
    </w:p>
    <w:p w14:paraId="272FFD64" w14:textId="38E6D57C" w:rsidR="00021845" w:rsidRDefault="00021845" w:rsidP="00021845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 xml:space="preserve">{do we want to include another method to compare? Bootstrap/ subsampling/ Parallel analysis etc.} </w:t>
      </w:r>
    </w:p>
    <w:p w14:paraId="136EEC4F" w14:textId="09DE293F" w:rsidR="00154FA8" w:rsidRPr="00B77CDA" w:rsidRDefault="00B77CDA" w:rsidP="0061434D">
      <w:pPr>
        <w:rPr>
          <w:rFonts w:ascii="Calibri" w:hAnsi="Calibri" w:cs="Calibri"/>
          <w:u w:val="single"/>
        </w:rPr>
      </w:pPr>
      <w:r w:rsidRPr="00B77CDA">
        <w:rPr>
          <w:rFonts w:ascii="Calibri" w:hAnsi="Calibri" w:cs="Calibri"/>
          <w:u w:val="single"/>
        </w:rPr>
        <w:t>Below are optional</w:t>
      </w:r>
    </w:p>
    <w:p w14:paraId="06102926" w14:textId="6BC1BF94" w:rsidR="00E42E48" w:rsidRPr="006520E2" w:rsidRDefault="00F41F0F" w:rsidP="0061434D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 xml:space="preserve">First, to evaluate eigenvalues’ stability, </w:t>
      </w:r>
      <w:r w:rsidR="0026307E" w:rsidRPr="006520E2">
        <w:rPr>
          <w:rFonts w:ascii="Calibri" w:hAnsi="Calibri" w:cs="Calibri"/>
        </w:rPr>
        <w:t xml:space="preserve">distribution of </w:t>
      </w:r>
      <w:r w:rsidRPr="006520E2">
        <w:rPr>
          <w:rFonts w:ascii="Calibri" w:hAnsi="Calibri" w:cs="Calibri"/>
        </w:rPr>
        <w:t>eigenvalue for each component will be reported (</w:t>
      </w:r>
      <w:r w:rsidR="004A2DE2" w:rsidRPr="006520E2">
        <w:rPr>
          <w:rFonts w:ascii="Calibri" w:hAnsi="Calibri" w:cs="Calibri"/>
        </w:rPr>
        <w:t>using</w:t>
      </w:r>
      <w:r w:rsidRPr="006520E2">
        <w:rPr>
          <w:rFonts w:ascii="Calibri" w:hAnsi="Calibri" w:cs="Calibri"/>
        </w:rPr>
        <w:t xml:space="preserve"> a </w:t>
      </w:r>
      <w:r w:rsidR="00E42E48" w:rsidRPr="006520E2">
        <w:rPr>
          <w:rFonts w:ascii="Calibri" w:hAnsi="Calibri" w:cs="Calibri"/>
        </w:rPr>
        <w:t>box</w:t>
      </w:r>
      <w:r w:rsidRPr="006520E2">
        <w:rPr>
          <w:rFonts w:ascii="Calibri" w:hAnsi="Calibri" w:cs="Calibri"/>
        </w:rPr>
        <w:t xml:space="preserve"> plot).  A high overlap between the intervals for lambda1 and lambda2 would indicate that the joint stability is low; minimal or </w:t>
      </w:r>
      <w:r w:rsidR="00D6062D" w:rsidRPr="006520E2">
        <w:rPr>
          <w:rFonts w:ascii="Calibri" w:hAnsi="Calibri" w:cs="Calibri"/>
        </w:rPr>
        <w:t>no</w:t>
      </w:r>
      <w:r w:rsidRPr="006520E2">
        <w:rPr>
          <w:rFonts w:ascii="Calibri" w:hAnsi="Calibri" w:cs="Calibri"/>
        </w:rPr>
        <w:t xml:space="preserve"> overlap between eigenvalues would indicate high stability. Among the two scenarios, we would expect the stable scenario to have high stability, and the fragile scenario to have low stability. </w:t>
      </w:r>
    </w:p>
    <w:p w14:paraId="6CE08E41" w14:textId="2EFFC650" w:rsidR="00E42E48" w:rsidRPr="006520E2" w:rsidRDefault="00F41F0F" w:rsidP="0061434D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 xml:space="preserve">Second, </w:t>
      </w:r>
      <w:r w:rsidR="00FE706E" w:rsidRPr="006520E2">
        <w:rPr>
          <w:rFonts w:ascii="Calibri" w:hAnsi="Calibri" w:cs="Calibri"/>
        </w:rPr>
        <w:t xml:space="preserve">we will report </w:t>
      </w:r>
      <w:r w:rsidR="00E42E48" w:rsidRPr="006520E2">
        <w:rPr>
          <w:rFonts w:ascii="Calibri" w:hAnsi="Calibri" w:cs="Calibri"/>
        </w:rPr>
        <w:t>variable-level stability, that is to assess the probability (frequency) of a variable m being top contributors of PC j</w:t>
      </w:r>
      <w:r w:rsidR="00FD35DF" w:rsidRPr="006520E2">
        <w:rPr>
          <w:rFonts w:ascii="Calibri" w:hAnsi="Calibri" w:cs="Calibri"/>
        </w:rPr>
        <w:t xml:space="preserve">, and the contribution will be </w:t>
      </w:r>
      <w:r w:rsidR="00682E43" w:rsidRPr="006520E2">
        <w:rPr>
          <w:rFonts w:ascii="Calibri" w:hAnsi="Calibri" w:cs="Calibri"/>
        </w:rPr>
        <w:t>assessed using factor loading.</w:t>
      </w:r>
      <w:r w:rsidR="00E42E48" w:rsidRPr="006520E2">
        <w:rPr>
          <w:rFonts w:ascii="Calibri" w:hAnsi="Calibri" w:cs="Calibri"/>
        </w:rPr>
        <w:t xml:space="preserve"> A high probability would be interpreted as a stable factor loading, whereas a low probability will be reported as an ambiguous variable. Th</w:t>
      </w:r>
      <w:r w:rsidR="00682E43" w:rsidRPr="006520E2">
        <w:rPr>
          <w:rFonts w:ascii="Calibri" w:hAnsi="Calibri" w:cs="Calibri"/>
        </w:rPr>
        <w:t xml:space="preserve">e results will </w:t>
      </w:r>
      <w:r w:rsidR="00E42E48" w:rsidRPr="006520E2">
        <w:rPr>
          <w:rFonts w:ascii="Calibri" w:hAnsi="Calibri" w:cs="Calibri"/>
        </w:rPr>
        <w:t>be reported using a heatmap.</w:t>
      </w:r>
      <w:r w:rsidR="00FE706E" w:rsidRPr="006520E2">
        <w:rPr>
          <w:rFonts w:ascii="Calibri" w:hAnsi="Calibri" w:cs="Calibri"/>
        </w:rPr>
        <w:t xml:space="preserve"> </w:t>
      </w:r>
      <w:r w:rsidR="00682E43" w:rsidRPr="006520E2">
        <w:rPr>
          <w:rFonts w:ascii="Calibri" w:hAnsi="Calibri" w:cs="Calibri"/>
        </w:rPr>
        <w:t xml:space="preserve">Note: </w:t>
      </w:r>
      <w:r w:rsidR="00FE706E" w:rsidRPr="006520E2">
        <w:rPr>
          <w:rFonts w:ascii="Calibri" w:hAnsi="Calibri" w:cs="Calibri"/>
        </w:rPr>
        <w:t>loadings are not interpretable when eigenvalues are close (</w:t>
      </w:r>
      <w:r w:rsidR="009528FA" w:rsidRPr="006520E2">
        <w:rPr>
          <w:rFonts w:ascii="Calibri" w:hAnsi="Calibri" w:cs="Calibri"/>
        </w:rPr>
        <w:t xml:space="preserve">e.g., </w:t>
      </w:r>
      <w:r w:rsidR="00FE706E" w:rsidRPr="006520E2">
        <w:rPr>
          <w:rFonts w:ascii="Calibri" w:hAnsi="Calibri" w:cs="Calibri"/>
        </w:rPr>
        <w:t xml:space="preserve">the fragile scenario), </w:t>
      </w:r>
      <w:r w:rsidR="009528FA" w:rsidRPr="006520E2">
        <w:rPr>
          <w:rFonts w:ascii="Calibri" w:hAnsi="Calibri" w:cs="Calibri"/>
        </w:rPr>
        <w:t xml:space="preserve">therefore we choose not to compare the absolute values or distribution of loading directly. </w:t>
      </w:r>
    </w:p>
    <w:p w14:paraId="60B1AE39" w14:textId="78A22C33" w:rsidR="007C1662" w:rsidRPr="006520E2" w:rsidRDefault="0061434D">
      <w:pPr>
        <w:rPr>
          <w:rFonts w:ascii="Calibri" w:hAnsi="Calibri" w:cs="Calibri"/>
          <w:b/>
          <w:bCs/>
        </w:rPr>
      </w:pPr>
      <w:r w:rsidRPr="006520E2">
        <w:rPr>
          <w:rFonts w:ascii="Calibri" w:hAnsi="Calibri" w:cs="Calibri"/>
          <w:b/>
          <w:bCs/>
        </w:rPr>
        <w:t>Shell Tables and Figures to report:</w:t>
      </w:r>
    </w:p>
    <w:p w14:paraId="24D12DD8" w14:textId="77777777" w:rsidR="0061434D" w:rsidRPr="006520E2" w:rsidRDefault="0061434D">
      <w:pPr>
        <w:rPr>
          <w:rFonts w:ascii="Calibri" w:hAnsi="Calibri" w:cs="Calibri"/>
        </w:rPr>
      </w:pPr>
    </w:p>
    <w:p w14:paraId="442AC1A3" w14:textId="77777777" w:rsidR="0061434D" w:rsidRPr="006520E2" w:rsidRDefault="0061434D">
      <w:pPr>
        <w:rPr>
          <w:rFonts w:ascii="Calibri" w:hAnsi="Calibri" w:cs="Calibri"/>
        </w:rPr>
      </w:pPr>
    </w:p>
    <w:p w14:paraId="149FB0D2" w14:textId="77777777" w:rsidR="0061434D" w:rsidRPr="006520E2" w:rsidRDefault="0061434D">
      <w:pPr>
        <w:rPr>
          <w:rFonts w:ascii="Calibri" w:hAnsi="Calibri" w:cs="Calibri"/>
        </w:rPr>
      </w:pPr>
    </w:p>
    <w:p w14:paraId="70646ECD" w14:textId="77777777" w:rsidR="0061434D" w:rsidRPr="006520E2" w:rsidRDefault="0061434D">
      <w:pPr>
        <w:rPr>
          <w:rFonts w:ascii="Calibri" w:hAnsi="Calibri" w:cs="Calibri"/>
        </w:rPr>
      </w:pPr>
    </w:p>
    <w:p w14:paraId="27A756A0" w14:textId="4D4F25A8" w:rsidR="00E05D4F" w:rsidRPr="006520E2" w:rsidRDefault="00955C39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>Either one:</w:t>
      </w:r>
    </w:p>
    <w:p w14:paraId="40A91D3F" w14:textId="10AF14E0" w:rsidR="00E05D4F" w:rsidRPr="006520E2" w:rsidRDefault="00955C39" w:rsidP="00E05D4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520E2">
        <w:rPr>
          <w:rFonts w:ascii="Calibri" w:hAnsi="Calibri" w:cs="Calibri"/>
        </w:rPr>
        <w:t>Mathematically attractable</w:t>
      </w:r>
    </w:p>
    <w:p w14:paraId="2345C2BA" w14:textId="59E00131" w:rsidR="00955C39" w:rsidRPr="006520E2" w:rsidRDefault="00955C39" w:rsidP="00E05D4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520E2">
        <w:rPr>
          <w:rFonts w:ascii="Calibri" w:hAnsi="Calibri" w:cs="Calibri"/>
        </w:rPr>
        <w:t>Closer to interpretation</w:t>
      </w:r>
      <w:r w:rsidR="007C1662" w:rsidRPr="006520E2">
        <w:rPr>
          <w:rFonts w:ascii="Calibri" w:hAnsi="Calibri" w:cs="Calibri"/>
        </w:rPr>
        <w:t xml:space="preserve"> (stick to this)</w:t>
      </w:r>
    </w:p>
    <w:p w14:paraId="70C9B48D" w14:textId="77777777" w:rsidR="00955C39" w:rsidRPr="006520E2" w:rsidRDefault="00955C39" w:rsidP="00955C39">
      <w:pPr>
        <w:rPr>
          <w:rFonts w:ascii="Calibri" w:hAnsi="Calibri" w:cs="Calibri"/>
        </w:rPr>
      </w:pPr>
    </w:p>
    <w:p w14:paraId="005FB9F1" w14:textId="6F3CADBB" w:rsidR="00955C39" w:rsidRPr="006520E2" w:rsidRDefault="00955C39" w:rsidP="00955C39">
      <w:pPr>
        <w:rPr>
          <w:rFonts w:ascii="Calibri" w:hAnsi="Calibri" w:cs="Calibri"/>
          <w:b/>
          <w:bCs/>
        </w:rPr>
      </w:pPr>
      <w:r w:rsidRPr="006520E2">
        <w:rPr>
          <w:rFonts w:ascii="Calibri" w:hAnsi="Calibri" w:cs="Calibri"/>
          <w:b/>
          <w:bCs/>
        </w:rPr>
        <w:t>Factor loading matrix</w:t>
      </w:r>
    </w:p>
    <w:p w14:paraId="247297D1" w14:textId="7702951E" w:rsidR="007C1662" w:rsidRPr="006520E2" w:rsidRDefault="007C1662" w:rsidP="00955C39">
      <w:pPr>
        <w:rPr>
          <w:rFonts w:ascii="Calibri" w:hAnsi="Calibri" w:cs="Calibri"/>
        </w:rPr>
      </w:pPr>
      <w:r w:rsidRPr="006520E2">
        <w:rPr>
          <w:rFonts w:ascii="Calibri" w:hAnsi="Calibri" w:cs="Calibri"/>
        </w:rPr>
        <w:t>Pick a rotation strategy, treat that as part of the procedure, factor analysis.</w:t>
      </w:r>
    </w:p>
    <w:p w14:paraId="7B566C37" w14:textId="77777777" w:rsidR="00B664A3" w:rsidRPr="006520E2" w:rsidRDefault="00B664A3" w:rsidP="00955C39">
      <w:pPr>
        <w:rPr>
          <w:rFonts w:ascii="Calibri" w:hAnsi="Calibri" w:cs="Calibri"/>
        </w:rPr>
      </w:pPr>
    </w:p>
    <w:p w14:paraId="4FAD84CE" w14:textId="77777777" w:rsidR="00B664A3" w:rsidRPr="006520E2" w:rsidRDefault="00B664A3" w:rsidP="00955C39">
      <w:pPr>
        <w:rPr>
          <w:rFonts w:ascii="Calibri" w:hAnsi="Calibri" w:cs="Calibri"/>
        </w:rPr>
      </w:pPr>
    </w:p>
    <w:p w14:paraId="1F847DF1" w14:textId="77777777" w:rsidR="00B664A3" w:rsidRPr="006520E2" w:rsidRDefault="00B664A3" w:rsidP="00955C39">
      <w:pPr>
        <w:rPr>
          <w:rFonts w:ascii="Calibri" w:hAnsi="Calibri" w:cs="Calibri"/>
        </w:rPr>
      </w:pPr>
    </w:p>
    <w:p w14:paraId="0E8BFFCB" w14:textId="77777777" w:rsidR="00B664A3" w:rsidRPr="006520E2" w:rsidRDefault="00B664A3" w:rsidP="00955C39">
      <w:pPr>
        <w:rPr>
          <w:rFonts w:ascii="Calibri" w:hAnsi="Calibri" w:cs="Calibri"/>
        </w:rPr>
      </w:pPr>
    </w:p>
    <w:p w14:paraId="6A849F7C" w14:textId="77777777" w:rsidR="00B664A3" w:rsidRPr="006520E2" w:rsidRDefault="00B664A3" w:rsidP="00955C39">
      <w:pPr>
        <w:rPr>
          <w:rFonts w:ascii="Calibri" w:hAnsi="Calibri" w:cs="Calibri"/>
        </w:rPr>
      </w:pPr>
    </w:p>
    <w:p w14:paraId="31CCB69F" w14:textId="77777777" w:rsidR="00B664A3" w:rsidRPr="006520E2" w:rsidRDefault="00B664A3" w:rsidP="00B664A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520E2">
        <w:rPr>
          <w:rFonts w:ascii="Calibri" w:eastAsia="Times New Roman" w:hAnsi="Calibri" w:cs="Calibri"/>
          <w:b/>
          <w:bCs/>
          <w:kern w:val="0"/>
          <w14:ligatures w14:val="none"/>
        </w:rPr>
        <w:t>References</w:t>
      </w:r>
    </w:p>
    <w:p w14:paraId="1586C216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Castura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J., Rutledge, D., Ross, C., &amp; Næs, T. (2021). Discriminability and uncertainty in principal component analysis (PCA) of temporal check-all-that-apply (TCATA) data.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Food Quality and Preference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, 104370. </w:t>
      </w:r>
      <w:hyperlink r:id="rId5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https://doi.org/10.1016/j.foodqual.2021.104370</w:t>
        </w:r>
      </w:hyperlink>
    </w:p>
    <w:p w14:paraId="6DD0950A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Dorabiala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O., Aravkin, A., &amp; Member, I. (2023). Ensemble Principal Component Analysis.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IEEE Access, 12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, 6663-6671. </w:t>
      </w:r>
      <w:hyperlink r:id="rId6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https://doi.org/10.1109/access.2024.3350984</w:t>
        </w:r>
      </w:hyperlink>
    </w:p>
    <w:p w14:paraId="75F292AC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t xml:space="preserve">Franklin, S., Gibson, D., Robertson, P., Pohlmann, J., &amp; Fralish, J. (1995). Parallel Analysis: a method for determining significant principal components.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Journal of Vegetation Science, 6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, 99-106. </w:t>
      </w:r>
      <w:hyperlink r:id="rId7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https://doi.org/10.2307/3236261</w:t>
        </w:r>
      </w:hyperlink>
    </w:p>
    <w:p w14:paraId="75F1BBDB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t xml:space="preserve">Görtler, J., Spinner, T., </w:t>
      </w: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Streeb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D., Weiskopf, D., &amp; </w:t>
      </w: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Deussen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O. (2019). Uncertainty-Aware Principal Component Analysis.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IEEE Transactions on Visualization and Computer Graphics, 26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, 822-831. </w:t>
      </w:r>
      <w:hyperlink r:id="rId8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https://doi.org/10.1109/tvcg.2019.2934812</w:t>
        </w:r>
      </w:hyperlink>
    </w:p>
    <w:p w14:paraId="55C0A5A3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t>Jha, C., &amp; Barnett, I. (2022). Confidence Intervals for the Number of Components in Factor Analysis and Principal Components Analysis via Subsampling. **.</w:t>
      </w:r>
    </w:p>
    <w:p w14:paraId="5A9F3967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Kalantan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Z., Alharbi, L., Al-Zahrani, M., &amp; </w:t>
      </w: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Binhimd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S. (2025). Robust Dimensionality Reduction: A Bootstrap-Based Evaluation of PCA with Applications in Nutritional and Environmental Sciences.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Contemporary Mathematics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. </w:t>
      </w:r>
      <w:hyperlink r:id="rId9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https://doi.org/10.37256/cm.6120256016</w:t>
        </w:r>
      </w:hyperlink>
    </w:p>
    <w:p w14:paraId="296A006E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t xml:space="preserve">Kumar, S., Pandey, S., &amp; Sarkar, P. (2025). Beyond Sin-Squared Error: Linear-Time </w:t>
      </w: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Entrywise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 Uncertainty Quantification for Streaming PCA. </w:t>
      </w:r>
      <w:proofErr w:type="spellStart"/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ArXiv</w:t>
      </w:r>
      <w:proofErr w:type="spellEnd"/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, abs/2506.12655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. </w:t>
      </w:r>
      <w:hyperlink r:id="rId10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https://doi.org/10.48550/arxiv.2506.12655</w:t>
        </w:r>
      </w:hyperlink>
    </w:p>
    <w:p w14:paraId="629F57E5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t xml:space="preserve">Maldonado, J., &amp; Ruiz, E. (2021). Accurate Confidence Regions for Principal Components Factors*.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Oxford Bulletin of Economics and Statistics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. </w:t>
      </w:r>
      <w:hyperlink r:id="rId11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https://doi.org/10.1111/obes.12436</w:t>
        </w:r>
      </w:hyperlink>
    </w:p>
    <w:p w14:paraId="15FBE787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t xml:space="preserve">Peres‐Neto, P., Jackson, D., &amp; Somers, K. (2003). GIVING MEANINGFUL INTERPRETATION TO ORDINATION AXES: ASSESSING LOADING SIGNIFICANCE IN PRINCIPAL COMPONENT ANALYSIS.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Ecology, 84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, 2347-2363. </w:t>
      </w:r>
      <w:hyperlink r:id="rId12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https://doi.org/10.1890/00-0634</w:t>
        </w:r>
      </w:hyperlink>
    </w:p>
    <w:p w14:paraId="7BEDD8C4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Rahoma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A., Imtiaz, S., &amp; Ahmed, S. (2021). Sparse principal component analysis using bootstrap method.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Chemical Engineering Science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. </w:t>
      </w:r>
      <w:hyperlink r:id="rId13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https://doi.org/10.1016/j.ces.2021.116890</w:t>
        </w:r>
      </w:hyperlink>
    </w:p>
    <w:p w14:paraId="6EA1D647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lastRenderedPageBreak/>
        <w:t xml:space="preserve">Timmerman, M., Kiers, H., &amp; </w:t>
      </w:r>
      <w:proofErr w:type="spellStart"/>
      <w:r w:rsidRPr="006520E2">
        <w:rPr>
          <w:rFonts w:ascii="Calibri" w:eastAsia="Times New Roman" w:hAnsi="Calibri" w:cs="Calibri"/>
          <w:kern w:val="0"/>
          <w14:ligatures w14:val="none"/>
        </w:rPr>
        <w:t>Smilde</w:t>
      </w:r>
      <w:proofErr w:type="spell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, A. (2007). Estimating confidence intervals for principal component loadings: a comparison between the bootstrap and asymptotic </w:t>
      </w:r>
      <w:proofErr w:type="gramStart"/>
      <w:r w:rsidRPr="006520E2">
        <w:rPr>
          <w:rFonts w:ascii="Calibri" w:eastAsia="Times New Roman" w:hAnsi="Calibri" w:cs="Calibri"/>
          <w:kern w:val="0"/>
          <w14:ligatures w14:val="none"/>
        </w:rPr>
        <w:t>results..</w:t>
      </w:r>
      <w:proofErr w:type="gramEnd"/>
      <w:r w:rsidRPr="006520E2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The British journal of mathematical and statistical psychology, 60 Pt 2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, 295-314. </w:t>
      </w:r>
      <w:hyperlink r:id="rId14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https://doi.org/10.1348/000711006x109636</w:t>
        </w:r>
      </w:hyperlink>
    </w:p>
    <w:p w14:paraId="51A66464" w14:textId="77777777" w:rsidR="00B664A3" w:rsidRPr="006520E2" w:rsidRDefault="00B664A3" w:rsidP="00B664A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520E2">
        <w:rPr>
          <w:rFonts w:ascii="Calibri" w:eastAsia="Times New Roman" w:hAnsi="Calibri" w:cs="Calibri"/>
          <w:kern w:val="0"/>
          <w14:ligatures w14:val="none"/>
        </w:rPr>
        <w:t xml:space="preserve">Wu, S., Hannig, J., &amp; Lee, T. (2021). Uncertainty quantification for principal component regression. </w:t>
      </w:r>
      <w:r w:rsidRPr="006520E2">
        <w:rPr>
          <w:rFonts w:ascii="Calibri" w:eastAsia="Times New Roman" w:hAnsi="Calibri" w:cs="Calibri"/>
          <w:i/>
          <w:iCs/>
          <w:kern w:val="0"/>
          <w14:ligatures w14:val="none"/>
        </w:rPr>
        <w:t>Electronic Journal of Statistics, 15</w:t>
      </w:r>
      <w:r w:rsidRPr="006520E2">
        <w:rPr>
          <w:rFonts w:ascii="Calibri" w:eastAsia="Times New Roman" w:hAnsi="Calibri" w:cs="Calibri"/>
          <w:kern w:val="0"/>
          <w14:ligatures w14:val="none"/>
        </w:rPr>
        <w:t xml:space="preserve">. </w:t>
      </w:r>
      <w:hyperlink r:id="rId15" w:history="1">
        <w:r w:rsidRPr="006520E2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https://doi.org/10.1214/21-ejs1837</w:t>
        </w:r>
      </w:hyperlink>
    </w:p>
    <w:p w14:paraId="7766413E" w14:textId="77777777" w:rsidR="00B664A3" w:rsidRPr="006520E2" w:rsidRDefault="00B664A3" w:rsidP="00B664A3">
      <w:pPr>
        <w:rPr>
          <w:rFonts w:ascii="Calibri" w:hAnsi="Calibri" w:cs="Calibri"/>
        </w:rPr>
      </w:pPr>
    </w:p>
    <w:p w14:paraId="520C029A" w14:textId="77777777" w:rsidR="00B664A3" w:rsidRPr="006520E2" w:rsidRDefault="00B664A3" w:rsidP="00955C39">
      <w:pPr>
        <w:rPr>
          <w:rFonts w:ascii="Calibri" w:hAnsi="Calibri" w:cs="Calibri"/>
        </w:rPr>
      </w:pPr>
    </w:p>
    <w:sectPr w:rsidR="00B664A3" w:rsidRPr="00652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493"/>
    <w:multiLevelType w:val="hybridMultilevel"/>
    <w:tmpl w:val="2F74D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236F"/>
    <w:multiLevelType w:val="hybridMultilevel"/>
    <w:tmpl w:val="FBFA3CF0"/>
    <w:lvl w:ilvl="0" w:tplc="D52800A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CA2ABE"/>
    <w:multiLevelType w:val="hybridMultilevel"/>
    <w:tmpl w:val="DB1EA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3626E"/>
    <w:multiLevelType w:val="hybridMultilevel"/>
    <w:tmpl w:val="F4BA4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44C60"/>
    <w:multiLevelType w:val="hybridMultilevel"/>
    <w:tmpl w:val="AA2CC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91D41"/>
    <w:multiLevelType w:val="hybridMultilevel"/>
    <w:tmpl w:val="B2D8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D68AC"/>
    <w:multiLevelType w:val="hybridMultilevel"/>
    <w:tmpl w:val="64BCE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457632">
    <w:abstractNumId w:val="5"/>
  </w:num>
  <w:num w:numId="2" w16cid:durableId="1219586291">
    <w:abstractNumId w:val="3"/>
  </w:num>
  <w:num w:numId="3" w16cid:durableId="1031690093">
    <w:abstractNumId w:val="6"/>
  </w:num>
  <w:num w:numId="4" w16cid:durableId="1089697997">
    <w:abstractNumId w:val="0"/>
  </w:num>
  <w:num w:numId="5" w16cid:durableId="2113084073">
    <w:abstractNumId w:val="2"/>
  </w:num>
  <w:num w:numId="6" w16cid:durableId="392122348">
    <w:abstractNumId w:val="4"/>
  </w:num>
  <w:num w:numId="7" w16cid:durableId="38267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4F"/>
    <w:rsid w:val="0001199A"/>
    <w:rsid w:val="000134CA"/>
    <w:rsid w:val="00017109"/>
    <w:rsid w:val="00021845"/>
    <w:rsid w:val="00042BB3"/>
    <w:rsid w:val="00051042"/>
    <w:rsid w:val="00055120"/>
    <w:rsid w:val="000816A1"/>
    <w:rsid w:val="00085F78"/>
    <w:rsid w:val="000B0DDA"/>
    <w:rsid w:val="000C282E"/>
    <w:rsid w:val="0011067C"/>
    <w:rsid w:val="00131B80"/>
    <w:rsid w:val="001439FC"/>
    <w:rsid w:val="00151405"/>
    <w:rsid w:val="00152A8A"/>
    <w:rsid w:val="00154FA8"/>
    <w:rsid w:val="001936BC"/>
    <w:rsid w:val="001946A5"/>
    <w:rsid w:val="00197DF2"/>
    <w:rsid w:val="001A7BA2"/>
    <w:rsid w:val="001B63F7"/>
    <w:rsid w:val="001C6B59"/>
    <w:rsid w:val="001F4951"/>
    <w:rsid w:val="00215F3B"/>
    <w:rsid w:val="00256F5D"/>
    <w:rsid w:val="0026307E"/>
    <w:rsid w:val="002B02B7"/>
    <w:rsid w:val="003651D9"/>
    <w:rsid w:val="0036536A"/>
    <w:rsid w:val="003A71B3"/>
    <w:rsid w:val="003B3249"/>
    <w:rsid w:val="003D30F9"/>
    <w:rsid w:val="003D6A6F"/>
    <w:rsid w:val="003E03D3"/>
    <w:rsid w:val="003E6A67"/>
    <w:rsid w:val="00421B72"/>
    <w:rsid w:val="00425B53"/>
    <w:rsid w:val="00436173"/>
    <w:rsid w:val="00480B0C"/>
    <w:rsid w:val="004A2DE2"/>
    <w:rsid w:val="004D32A8"/>
    <w:rsid w:val="0053059D"/>
    <w:rsid w:val="00543A77"/>
    <w:rsid w:val="0057643F"/>
    <w:rsid w:val="005B101D"/>
    <w:rsid w:val="005C382C"/>
    <w:rsid w:val="005D6A9A"/>
    <w:rsid w:val="005E6D3C"/>
    <w:rsid w:val="0061434D"/>
    <w:rsid w:val="00626A39"/>
    <w:rsid w:val="006321EC"/>
    <w:rsid w:val="00637906"/>
    <w:rsid w:val="006520E2"/>
    <w:rsid w:val="00657F62"/>
    <w:rsid w:val="006673A4"/>
    <w:rsid w:val="00682E43"/>
    <w:rsid w:val="006B45D9"/>
    <w:rsid w:val="006C2629"/>
    <w:rsid w:val="006C43D2"/>
    <w:rsid w:val="006C4A64"/>
    <w:rsid w:val="006C51A6"/>
    <w:rsid w:val="0070312B"/>
    <w:rsid w:val="00705AAD"/>
    <w:rsid w:val="00762F7E"/>
    <w:rsid w:val="0076576E"/>
    <w:rsid w:val="007724E3"/>
    <w:rsid w:val="00787FE1"/>
    <w:rsid w:val="007A18B5"/>
    <w:rsid w:val="007B0C84"/>
    <w:rsid w:val="007C1662"/>
    <w:rsid w:val="007C551A"/>
    <w:rsid w:val="00800E73"/>
    <w:rsid w:val="00804E09"/>
    <w:rsid w:val="0081011B"/>
    <w:rsid w:val="008108A8"/>
    <w:rsid w:val="008873A7"/>
    <w:rsid w:val="008B1A05"/>
    <w:rsid w:val="008B4DE6"/>
    <w:rsid w:val="0090729F"/>
    <w:rsid w:val="009170D2"/>
    <w:rsid w:val="009469C0"/>
    <w:rsid w:val="00947247"/>
    <w:rsid w:val="00950D9E"/>
    <w:rsid w:val="009528FA"/>
    <w:rsid w:val="00955C39"/>
    <w:rsid w:val="00991B68"/>
    <w:rsid w:val="00994077"/>
    <w:rsid w:val="009C130D"/>
    <w:rsid w:val="009E1150"/>
    <w:rsid w:val="00A06DFC"/>
    <w:rsid w:val="00A10230"/>
    <w:rsid w:val="00A137EC"/>
    <w:rsid w:val="00A16630"/>
    <w:rsid w:val="00A43BCE"/>
    <w:rsid w:val="00A6617F"/>
    <w:rsid w:val="00A92F5B"/>
    <w:rsid w:val="00AA39B6"/>
    <w:rsid w:val="00AA5CB2"/>
    <w:rsid w:val="00AA607C"/>
    <w:rsid w:val="00AC407B"/>
    <w:rsid w:val="00AC79FF"/>
    <w:rsid w:val="00AD697C"/>
    <w:rsid w:val="00B033EE"/>
    <w:rsid w:val="00B25384"/>
    <w:rsid w:val="00B30DD5"/>
    <w:rsid w:val="00B651DA"/>
    <w:rsid w:val="00B65EF0"/>
    <w:rsid w:val="00B664A3"/>
    <w:rsid w:val="00B77CDA"/>
    <w:rsid w:val="00B84D26"/>
    <w:rsid w:val="00BA14D7"/>
    <w:rsid w:val="00BF434C"/>
    <w:rsid w:val="00C11846"/>
    <w:rsid w:val="00C72527"/>
    <w:rsid w:val="00C764BA"/>
    <w:rsid w:val="00CA0E96"/>
    <w:rsid w:val="00CA2E24"/>
    <w:rsid w:val="00CB6013"/>
    <w:rsid w:val="00CB7DFB"/>
    <w:rsid w:val="00CC049F"/>
    <w:rsid w:val="00CC5E83"/>
    <w:rsid w:val="00CE20B0"/>
    <w:rsid w:val="00D6062D"/>
    <w:rsid w:val="00DA7BCE"/>
    <w:rsid w:val="00DE370C"/>
    <w:rsid w:val="00DF756C"/>
    <w:rsid w:val="00E0231A"/>
    <w:rsid w:val="00E05D4F"/>
    <w:rsid w:val="00E06473"/>
    <w:rsid w:val="00E31BA8"/>
    <w:rsid w:val="00E42E48"/>
    <w:rsid w:val="00E508DE"/>
    <w:rsid w:val="00E5145D"/>
    <w:rsid w:val="00E53C13"/>
    <w:rsid w:val="00E74980"/>
    <w:rsid w:val="00E834EA"/>
    <w:rsid w:val="00E9736D"/>
    <w:rsid w:val="00EB118E"/>
    <w:rsid w:val="00EB434B"/>
    <w:rsid w:val="00EC54D5"/>
    <w:rsid w:val="00EC7178"/>
    <w:rsid w:val="00ED6E00"/>
    <w:rsid w:val="00EF2EF3"/>
    <w:rsid w:val="00F10B67"/>
    <w:rsid w:val="00F1244D"/>
    <w:rsid w:val="00F14FD3"/>
    <w:rsid w:val="00F41F0F"/>
    <w:rsid w:val="00F6173B"/>
    <w:rsid w:val="00F61CF8"/>
    <w:rsid w:val="00F772C7"/>
    <w:rsid w:val="00FD35DF"/>
    <w:rsid w:val="00FE706E"/>
    <w:rsid w:val="00FF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8B01A"/>
  <w15:chartTrackingRefBased/>
  <w15:docId w15:val="{5DD35F10-E075-6549-B393-D64801BC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4F"/>
    <w:rPr>
      <w:b/>
      <w:bCs/>
      <w:smallCaps/>
      <w:color w:val="0F4761" w:themeColor="accent1" w:themeShade="BF"/>
      <w:spacing w:val="5"/>
    </w:rPr>
  </w:style>
  <w:style w:type="character" w:customStyle="1" w:styleId="typebaseuybk">
    <w:name w:val="type_base__uyb_k"/>
    <w:basedOn w:val="DefaultParagraphFont"/>
    <w:rsid w:val="00B664A3"/>
  </w:style>
  <w:style w:type="table" w:styleId="TableGrid">
    <w:name w:val="Table Grid"/>
    <w:basedOn w:val="TableNormal"/>
    <w:uiPriority w:val="39"/>
    <w:rsid w:val="00B66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tvcg.2019.2934812" TargetMode="External"/><Relationship Id="rId13" Type="http://schemas.openxmlformats.org/officeDocument/2006/relationships/hyperlink" Target="https://doi.org/10.1016/j.ces.2021.1168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2307/3236261" TargetMode="External"/><Relationship Id="rId12" Type="http://schemas.openxmlformats.org/officeDocument/2006/relationships/hyperlink" Target="https://doi.org/10.1890/00-063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109/access.2024.3350984" TargetMode="External"/><Relationship Id="rId11" Type="http://schemas.openxmlformats.org/officeDocument/2006/relationships/hyperlink" Target="https://doi.org/10.1111/obes.12436" TargetMode="External"/><Relationship Id="rId5" Type="http://schemas.openxmlformats.org/officeDocument/2006/relationships/hyperlink" Target="https://doi.org/10.1016/j.foodqual.2021.104370" TargetMode="External"/><Relationship Id="rId15" Type="http://schemas.openxmlformats.org/officeDocument/2006/relationships/hyperlink" Target="https://doi.org/10.1214/21-ejs1837" TargetMode="External"/><Relationship Id="rId10" Type="http://schemas.openxmlformats.org/officeDocument/2006/relationships/hyperlink" Target="https://doi.org/10.48550/arxiv.2506.126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7256/cm.6120256016" TargetMode="External"/><Relationship Id="rId14" Type="http://schemas.openxmlformats.org/officeDocument/2006/relationships/hyperlink" Target="https://doi.org/10.1348/000711006x1096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5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Ong</dc:creator>
  <cp:keywords/>
  <dc:description/>
  <cp:lastModifiedBy>Jon Ong</cp:lastModifiedBy>
  <cp:revision>110</cp:revision>
  <dcterms:created xsi:type="dcterms:W3CDTF">2026-04-24T18:15:00Z</dcterms:created>
  <dcterms:modified xsi:type="dcterms:W3CDTF">2026-04-27T05:28:00Z</dcterms:modified>
</cp:coreProperties>
</file>