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C9A96E"/>
          <w:sz w:val="72"/>
          <w:szCs w:val="72"/>
        </w:rPr>
        <w:t xml:space="preserve">KAIROSEDGE</w:t>
      </w:r>
    </w:p>
    <w:p>
      <w:pPr>
        <w:spacing w:before="80" w:after="80"/>
        <w:jc w:val="center"/>
      </w:pPr>
      <w:r>
        <w:rPr>
          <w:rFonts w:ascii="Arial" w:cs="Arial" w:eastAsia="Arial" w:hAnsi="Arial"/>
          <w:b/>
          <w:bCs/>
          <w:color w:val="1A1A2E"/>
          <w:sz w:val="48"/>
          <w:szCs w:val="48"/>
        </w:rPr>
        <w:t xml:space="preserve">INDICATOR REFERENCE</w:t>
      </w:r>
    </w:p>
    <w:p>
      <w:pPr>
        <w:spacing w:before="160" w:after="80"/>
        <w:jc w:val="center"/>
      </w:pPr>
      <w:r>
        <w:rPr>
          <w:rFonts w:ascii="Arial" w:cs="Arial" w:eastAsia="Arial" w:hAnsi="Arial"/>
          <w:color w:val="666666"/>
          <w:sz w:val="26"/>
          <w:szCs w:val="26"/>
        </w:rPr>
        <w:t xml:space="preserve">Complete guide to all indicators — subpanel and overlay</w:t>
      </w:r>
    </w:p>
    <w:p>
      <w:pPr>
        <w:spacing w:before="80" w:after="80"/>
        <w:jc w:val="center"/>
      </w:pPr>
      <w:r>
        <w:rPr>
          <w:rFonts w:ascii="Arial" w:cs="Arial" w:eastAsia="Arial" w:hAnsi="Arial"/>
          <w:color w:val="999999"/>
          <w:sz w:val="24"/>
          <w:szCs w:val="24"/>
        </w:rPr>
        <w:t xml:space="preserve">ESX Exclusive  ·  March 2026</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7F4EE" w:val="clear"/>
            <w:tcMar>
              <w:top w:type="dxa" w:w="120"/>
              <w:left w:type="dxa" w:w="80"/>
              <w:bottom w:type="dxa" w:w="120"/>
              <w:right w:type="dxa" w:w="80"/>
            </w:tcMar>
          </w:tcPr>
          <w:p>
            <w:pPr>
              <w:jc w:val="center"/>
            </w:pPr>
            <w:r>
              <w:rPr>
                <w:rFonts w:ascii="Arial" w:cs="Arial" w:eastAsia="Arial" w:hAnsi="Arial"/>
                <w:b/>
                <w:bCs/>
                <w:color w:val="C9A96E"/>
                <w:sz w:val="56"/>
                <w:szCs w:val="56"/>
              </w:rPr>
              <w:t xml:space="preserve">5</w:t>
            </w:r>
          </w:p>
          <w:p>
            <w:pPr>
              <w:jc w:val="center"/>
            </w:pPr>
            <w:r>
              <w:rPr>
                <w:rFonts w:ascii="Arial" w:cs="Arial" w:eastAsia="Arial" w:hAnsi="Arial"/>
                <w:color w:val="555555"/>
                <w:sz w:val="20"/>
                <w:szCs w:val="20"/>
              </w:rPr>
              <w:t xml:space="preserve">Existing
Subpanel</w:t>
            </w:r>
          </w:p>
        </w:tc>
        <w:tc>
          <w:tcPr>
            <w:tcW w:type="dxa" w:w="2340"/>
            <w:tcBorders>
              <w:top w:val="single" w:color="CCCCCC" w:sz="1"/>
              <w:left w:val="single" w:color="CCCCCC" w:sz="1"/>
              <w:bottom w:val="single" w:color="CCCCCC" w:sz="1"/>
              <w:right w:val="single" w:color="CCCCCC" w:sz="1"/>
            </w:tcBorders>
            <w:shd w:fill="F7F4EE" w:val="clear"/>
            <w:tcMar>
              <w:top w:type="dxa" w:w="120"/>
              <w:left w:type="dxa" w:w="80"/>
              <w:bottom w:type="dxa" w:w="120"/>
              <w:right w:type="dxa" w:w="80"/>
            </w:tcMar>
          </w:tcPr>
          <w:p>
            <w:pPr>
              <w:jc w:val="center"/>
            </w:pPr>
            <w:r>
              <w:rPr>
                <w:rFonts w:ascii="Arial" w:cs="Arial" w:eastAsia="Arial" w:hAnsi="Arial"/>
                <w:b/>
                <w:bCs/>
                <w:color w:val="C9A96E"/>
                <w:sz w:val="56"/>
                <w:szCs w:val="56"/>
              </w:rPr>
              <w:t xml:space="preserve">2</w:t>
            </w:r>
          </w:p>
          <w:p>
            <w:pPr>
              <w:jc w:val="center"/>
            </w:pPr>
            <w:r>
              <w:rPr>
                <w:rFonts w:ascii="Arial" w:cs="Arial" w:eastAsia="Arial" w:hAnsi="Arial"/>
                <w:color w:val="555555"/>
                <w:sz w:val="20"/>
                <w:szCs w:val="20"/>
              </w:rPr>
              <w:t xml:space="preserve">In-Dev
Subpanel</w:t>
            </w:r>
          </w:p>
        </w:tc>
        <w:tc>
          <w:tcPr>
            <w:tcW w:type="dxa" w:w="2340"/>
            <w:tcBorders>
              <w:top w:val="single" w:color="CCCCCC" w:sz="1"/>
              <w:left w:val="single" w:color="CCCCCC" w:sz="1"/>
              <w:bottom w:val="single" w:color="CCCCCC" w:sz="1"/>
              <w:right w:val="single" w:color="CCCCCC" w:sz="1"/>
            </w:tcBorders>
            <w:shd w:fill="F7F4EE" w:val="clear"/>
            <w:tcMar>
              <w:top w:type="dxa" w:w="120"/>
              <w:left w:type="dxa" w:w="80"/>
              <w:bottom w:type="dxa" w:w="120"/>
              <w:right w:type="dxa" w:w="80"/>
            </w:tcMar>
          </w:tcPr>
          <w:p>
            <w:pPr>
              <w:jc w:val="center"/>
            </w:pPr>
            <w:r>
              <w:rPr>
                <w:rFonts w:ascii="Arial" w:cs="Arial" w:eastAsia="Arial" w:hAnsi="Arial"/>
                <w:b/>
                <w:bCs/>
                <w:color w:val="C9A96E"/>
                <w:sz w:val="56"/>
                <w:szCs w:val="56"/>
              </w:rPr>
              <w:t xml:space="preserve">8</w:t>
            </w:r>
          </w:p>
          <w:p>
            <w:pPr>
              <w:jc w:val="center"/>
            </w:pPr>
            <w:r>
              <w:rPr>
                <w:rFonts w:ascii="Arial" w:cs="Arial" w:eastAsia="Arial" w:hAnsi="Arial"/>
                <w:color w:val="555555"/>
                <w:sz w:val="20"/>
                <w:szCs w:val="20"/>
              </w:rPr>
              <w:t xml:space="preserve">New
Subpanel</w:t>
            </w:r>
          </w:p>
        </w:tc>
        <w:tc>
          <w:tcPr>
            <w:tcW w:type="dxa" w:w="2340"/>
            <w:tcBorders>
              <w:top w:val="single" w:color="CCCCCC" w:sz="1"/>
              <w:left w:val="single" w:color="CCCCCC" w:sz="1"/>
              <w:bottom w:val="single" w:color="CCCCCC" w:sz="1"/>
              <w:right w:val="single" w:color="CCCCCC" w:sz="1"/>
            </w:tcBorders>
            <w:shd w:fill="F7F4EE" w:val="clear"/>
            <w:tcMar>
              <w:top w:type="dxa" w:w="120"/>
              <w:left w:type="dxa" w:w="80"/>
              <w:bottom w:type="dxa" w:w="120"/>
              <w:right w:type="dxa" w:w="80"/>
            </w:tcMar>
          </w:tcPr>
          <w:p>
            <w:pPr>
              <w:jc w:val="center"/>
            </w:pPr>
            <w:r>
              <w:rPr>
                <w:rFonts w:ascii="Arial" w:cs="Arial" w:eastAsia="Arial" w:hAnsi="Arial"/>
                <w:b/>
                <w:bCs/>
                <w:color w:val="C9A96E"/>
                <w:sz w:val="56"/>
                <w:szCs w:val="56"/>
              </w:rPr>
              <w:t xml:space="preserve">7</w:t>
            </w:r>
          </w:p>
          <w:p>
            <w:pPr>
              <w:jc w:val="center"/>
            </w:pPr>
            <w:r>
              <w:rPr>
                <w:rFonts w:ascii="Arial" w:cs="Arial" w:eastAsia="Arial" w:hAnsi="Arial"/>
                <w:color w:val="555555"/>
                <w:sz w:val="20"/>
                <w:szCs w:val="20"/>
              </w:rPr>
              <w:t xml:space="preserve">Overlay</w:t>
            </w:r>
          </w:p>
        </w:tc>
      </w:tr>
    </w:tbl>
    <w:p>
      <w:r>
        <w:br w:type="page"/>
      </w:r>
    </w:p>
    <w:p>
      <w:pPr>
        <w:pStyle w:val="Heading1"/>
        <w:spacing w:before="360" w:after="160"/>
      </w:pPr>
      <w:r>
        <w:rPr>
          <w:rFonts w:ascii="Arial" w:cs="Arial" w:eastAsia="Arial" w:hAnsi="Arial"/>
          <w:b/>
          <w:bCs/>
          <w:color w:val="1A1A2E"/>
          <w:sz w:val="36"/>
          <w:szCs w:val="36"/>
        </w:rPr>
        <w:t xml:space="preserve">How the Indicators Work</w:t>
      </w:r>
    </w:p>
    <w:p>
      <w:pPr>
        <w:spacing w:before="60" w:after="80"/>
      </w:pPr>
      <w:r>
        <w:rPr>
          <w:rFonts w:ascii="Arial" w:cs="Arial" w:eastAsia="Arial" w:hAnsi="Arial"/>
          <w:sz w:val="22"/>
          <w:szCs w:val="22"/>
        </w:rPr>
        <w:t xml:space="preserve">KairosEdge runs two families of indicators simultaneously. Subpanel indicators are separate chart panels below the main ESX price chart — each measuring a distinct dimension of game state. Overlay indicators are drawn directly on the main price chart, contextualizing live contract prices.</w:t>
      </w:r>
    </w:p>
    <w:p/>
    <w:p>
      <w:pPr>
        <w:spacing w:before="60" w:after="80"/>
      </w:pPr>
      <w:r>
        <w:rPr>
          <w:rFonts w:ascii="Arial" w:cs="Arial" w:eastAsia="Arial" w:hAnsi="Arial"/>
          <w:sz w:val="22"/>
          <w:szCs w:val="22"/>
        </w:rPr>
        <w:t xml:space="preserve">All subpanel indicators run from tip-off to final buzzer. The halftime marker line appears on all charts as a visual reference. The entry marker is dynamic — placed wherever in the game a trade triggers, not locked to halftime.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Subpanel — Existing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HRS, PA, ES, CC, Market Edge — live on ESX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Subpanel — In Dev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TCI, STI — being built by Frank on ESX</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Subpanel — Proposed</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VVI, FPI, NRΔ, TDU, FLI, LQD, SQI, TRI — research-validated additions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Overlay — Proposed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Fair Value Band, Entry/Exit Zones, Signal Markers, VWAP Bands, S/R Levels, Bollinger, Event Markers</w:t>
            </w:r>
          </w:p>
        </w:tc>
      </w:tr>
    </w:tbl>
    <w:p/>
    <w:p/>
    <w:p>
      <w:pPr>
        <w:pBdr>
          <w:bottom w:val="single" w:color="C9A96E" w:sz="4" w:space="1"/>
        </w:pBdr>
        <w:spacing w:before="200" w:after="200"/>
      </w:pPr>
    </w:p>
    <w:p>
      <w:r>
        <w:br w:type="page"/>
      </w:r>
    </w:p>
    <w:p>
      <w:pPr>
        <w:pStyle w:val="Heading1"/>
        <w:spacing w:before="360" w:after="160"/>
      </w:pPr>
      <w:r>
        <w:rPr>
          <w:rFonts w:ascii="Arial" w:cs="Arial" w:eastAsia="Arial" w:hAnsi="Arial"/>
          <w:b/>
          <w:bCs/>
          <w:color w:val="1A1A2E"/>
          <w:sz w:val="36"/>
          <w:szCs w:val="36"/>
        </w:rPr>
        <w:t xml:space="preserve">Part 1: Existing Subpanel Indicators</w:t>
      </w:r>
    </w:p>
    <w:p>
      <w:pPr>
        <w:spacing w:before="60" w:after="80"/>
      </w:pPr>
      <w:r>
        <w:rPr>
          <w:rFonts w:ascii="Arial" w:cs="Arial" w:eastAsia="Arial" w:hAnsi="Arial"/>
          <w:sz w:val="22"/>
          <w:szCs w:val="22"/>
        </w:rPr>
        <w:t xml:space="preserve">These five indicators are live on ESX today. They form the core scoring engine — every composite score, BUY signal, and exit recommendation is derived from these five inputs combined with their respective weights.</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8B1A1A" w:val="clear"/>
            <w:tcMar>
              <w:top w:type="dxa" w:w="160"/>
              <w:left w:type="dxa" w:w="200"/>
              <w:bottom w:type="dxa" w:w="160"/>
              <w:right w:type="dxa" w:w="120"/>
            </w:tcMar>
          </w:tcPr>
          <w:p>
            <w:r>
              <w:rPr>
                <w:rFonts w:ascii="Arial" w:cs="Arial" w:eastAsia="Arial" w:hAnsi="Arial"/>
                <w:b/>
                <w:bCs/>
                <w:color w:val="FFFFFF"/>
                <w:sz w:val="32"/>
                <w:szCs w:val="32"/>
              </w:rPr>
              <w:t xml:space="preserve">HRS — Regression Index</w:t>
            </w:r>
          </w:p>
          <w:p>
            <w:r>
              <w:rPr>
                <w:rFonts w:ascii="Arial" w:cs="Arial" w:eastAsia="Arial" w:hAnsi="Arial"/>
                <w:color w:val="FFFFFF"/>
                <w:sz w:val="20"/>
                <w:szCs w:val="20"/>
              </w:rPr>
              <w:t xml:space="preserve">Hot/cold shooting deviation vs season baseline</w:t>
            </w:r>
          </w:p>
        </w:tc>
        <w:tc>
          <w:tcPr>
            <w:tcW w:type="dxa" w:w="2860"/>
            <w:tcBorders>
              <w:top w:val="none" w:color="FFFFFF" w:sz="0"/>
              <w:left w:val="none" w:color="FFFFFF" w:sz="0"/>
              <w:bottom w:val="none" w:color="FFFFFF" w:sz="0"/>
              <w:right w:val="none" w:color="FFFFFF" w:sz="0"/>
            </w:tcBorders>
            <w:shd w:fill="8B1A1A"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LIVE</w:t>
            </w:r>
          </w:p>
          <w:p>
            <w:pPr>
              <w:jc w:val="right"/>
            </w:pPr>
            <w:r>
              <w:rPr>
                <w:rFonts w:ascii="Arial" w:cs="Arial" w:eastAsia="Arial" w:hAnsi="Arial"/>
                <w:color w:val="FFFFFF"/>
                <w:sz w:val="18"/>
                <w:szCs w:val="18"/>
              </w:rPr>
              <w:t xml:space="preserve">Subpanel · Composite Weight: 0.35</w:t>
            </w:r>
          </w:p>
          <w:p>
            <w:pPr>
              <w:jc w:val="right"/>
            </w:pPr>
            <w:r>
              <w:rPr>
                <w:rFonts w:ascii="Arial" w:cs="Arial" w:eastAsia="Arial" w:hAnsi="Arial"/>
                <w:color w:val="FFFFFF"/>
                <w:sz w:val="18"/>
                <w:szCs w:val="18"/>
              </w:rPr>
              <w:t xml:space="preserve">Weight: 35%</w:t>
            </w:r>
          </w:p>
        </w:tc>
      </w:tr>
    </w:tbl>
    <w:p/>
    <w:p>
      <w:pPr>
        <w:spacing w:before="60" w:after="80"/>
      </w:pPr>
      <w:r>
        <w:rPr>
          <w:rFonts w:ascii="Arial" w:cs="Arial" w:eastAsia="Arial" w:hAnsi="Arial"/>
          <w:sz w:val="22"/>
          <w:szCs w:val="22"/>
        </w:rPr>
        <w:t xml:space="preserve">The primary trigger indicator. Without a positive HRS signal, there is no trade. Measures how far the leading team's eFG% is above their season norm. High deviation = shooting hot above baseline = statistically likely to regress toward average in Q3 and Q4.</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eFG% = (FGM + 0.5 × 3PM) / FGA</w:t>
      </w:r>
    </w:p>
    <w:p>
      <w:pPr>
        <w:spacing w:before="80" w:after="80"/>
        <w:ind w:left="720"/>
      </w:pPr>
      <w:r>
        <w:rPr>
          <w:rFonts w:ascii="Courier New" w:cs="Courier New" w:eastAsia="Courier New" w:hAnsi="Courier New"/>
          <w:color w:val="333333"/>
          <w:sz w:val="20"/>
          <w:szCs w:val="20"/>
        </w:rPr>
        <w:t xml:space="preserve">Deviation = Actual eFG% − Season baseline eFG%</w:t>
      </w:r>
    </w:p>
    <w:p>
      <w:pPr>
        <w:spacing w:before="80" w:after="80"/>
        <w:ind w:left="720"/>
      </w:pPr>
      <w:r>
        <w:rPr>
          <w:rFonts w:ascii="Courier New" w:cs="Courier New" w:eastAsia="Courier New" w:hAnsi="Courier New"/>
          <w:color w:val="333333"/>
          <w:sz w:val="20"/>
          <w:szCs w:val="20"/>
        </w:rPr>
        <w:t xml:space="preserve">Season eFG% = sFG + 50 × (s3 / 100) × 0.44</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5E6C8" w:val="clear"/>
            <w:tcMar>
              <w:top w:type="dxa" w:w="100"/>
              <w:left w:type="dxa" w:w="180"/>
              <w:bottom w:type="dxa" w:w="100"/>
              <w:right w:type="dxa" w:w="180"/>
            </w:tcMar>
          </w:tcPr>
          <w:p>
            <w:r>
              <w:rPr>
                <w:rFonts w:ascii="Arial" w:cs="Arial" w:eastAsia="Arial" w:hAnsi="Arial"/>
                <w:i/>
                <w:iCs/>
                <w:sz w:val="21"/>
                <w:szCs w:val="21"/>
              </w:rPr>
              <w:t xml:space="preserve">The 0.44 multiplier reflects the modern NBA's 3PA/FGA ratio (~42.4% in 2024–25). An earlier version used 0.38 — valid for 2019 but not today. Fixed in Research 05.</w:t>
            </w:r>
          </w:p>
        </w:tc>
      </w:tr>
    </w:tbl>
    <w:p/>
    <w:p>
      <w:pPr>
        <w:spacing w:before="200" w:after="80"/>
      </w:pPr>
      <w:r>
        <w:rPr>
          <w:rFonts w:ascii="Arial" w:cs="Arial" w:eastAsia="Arial" w:hAnsi="Arial"/>
          <w:b/>
          <w:bCs/>
          <w:color w:val="1A1A2E"/>
          <w:sz w:val="24"/>
          <w:szCs w:val="24"/>
        </w:rPr>
        <w:t xml:space="preserve">Why It Works</w:t>
      </w:r>
    </w:p>
    <w:p>
      <w:pPr>
        <w:pStyle w:val="ListParagraph"/>
        <w:numPr>
          <w:ilvl w:val="0"/>
          <w:numId w:val="2"/>
        </w:numPr>
        <w:spacing w:before="40" w:after="40"/>
      </w:pPr>
      <w:r>
        <w:rPr>
          <w:rFonts w:ascii="Arial" w:cs="Arial" w:eastAsia="Arial" w:hAnsi="Arial"/>
          <w:sz w:val="22"/>
          <w:szCs w:val="22"/>
        </w:rPr>
        <w:t xml:space="preserve">NBA first-half 3PT% requires ~750 attempts to stabilize. Teams shoot ~15 per half. Single-half shooting is noise by construction: binomial SD is ±12.4pp on 15 attempts.</w:t>
      </w:r>
    </w:p>
    <w:p>
      <w:pPr>
        <w:pStyle w:val="ListParagraph"/>
        <w:numPr>
          <w:ilvl w:val="0"/>
          <w:numId w:val="2"/>
        </w:numPr>
        <w:spacing w:before="40" w:after="40"/>
      </w:pPr>
      <w:r>
        <w:rPr>
          <w:rFonts w:ascii="Arial" w:cs="Arial" w:eastAsia="Arial" w:hAnsi="Arial"/>
          <w:sz w:val="22"/>
          <w:szCs w:val="22"/>
        </w:rPr>
        <w:t xml:space="preserve">Stancil's 14,400-game study: teams that shot badly in Q1 but were tied won 57% of Q2 — direct empirical proof of regression.</w:t>
      </w:r>
    </w:p>
    <w:p>
      <w:pPr>
        <w:pStyle w:val="ListParagraph"/>
        <w:numPr>
          <w:ilvl w:val="0"/>
          <w:numId w:val="2"/>
        </w:numPr>
        <w:spacing w:before="40" w:after="40"/>
      </w:pPr>
      <w:r>
        <w:rPr>
          <w:rFonts w:ascii="Arial" w:cs="Arial" w:eastAsia="Arial" w:hAnsi="Arial"/>
          <w:sz w:val="22"/>
          <w:szCs w:val="22"/>
        </w:rPr>
        <w:t xml:space="preserve">Season 3PT% delta matters more than raw halftime %: a 34% team shooting 47% is a massive signal. A 42% team shooting 46% is noise.</w:t>
      </w:r>
    </w:p>
    <w:p>
      <w:pPr>
        <w:pStyle w:val="ListParagraph"/>
        <w:numPr>
          <w:ilvl w:val="0"/>
          <w:numId w:val="2"/>
        </w:numPr>
        <w:spacing w:before="40" w:after="40"/>
      </w:pPr>
      <w:r>
        <w:rPr>
          <w:rFonts w:ascii="Arial" w:cs="Arial" w:eastAsia="Arial" w:hAnsi="Arial"/>
          <w:sz w:val="22"/>
          <w:szCs w:val="22"/>
        </w:rPr>
        <w:t xml:space="preserve">Assist rate modifier included: assisted shots are ~2pp more accurate. Assists used as a shot quality proxy.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Color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Red #FF5555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ESPN scoreboard API — FGM, FGA, 3PM per team, season averages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Real-time?</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Yes — updates every possession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Stancil (14,400 games), Miller &amp; Sanjurjo (2018), binomial statistics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Open issues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Assist rate league avg slightly understated (NBA avg 60–64%, code uses 58–62%) — P3 minor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3A6B" w:val="clear"/>
            <w:tcMar>
              <w:top w:type="dxa" w:w="160"/>
              <w:left w:type="dxa" w:w="200"/>
              <w:bottom w:type="dxa" w:w="160"/>
              <w:right w:type="dxa" w:w="120"/>
            </w:tcMar>
          </w:tcPr>
          <w:p>
            <w:r>
              <w:rPr>
                <w:rFonts w:ascii="Arial" w:cs="Arial" w:eastAsia="Arial" w:hAnsi="Arial"/>
                <w:b/>
                <w:bCs/>
                <w:color w:val="FFFFFF"/>
                <w:sz w:val="32"/>
                <w:szCs w:val="32"/>
              </w:rPr>
              <w:t xml:space="preserve">PA — Possession Advantage Index</w:t>
            </w:r>
          </w:p>
          <w:p>
            <w:r>
              <w:rPr>
                <w:rFonts w:ascii="Arial" w:cs="Arial" w:eastAsia="Arial" w:hAnsi="Arial"/>
                <w:color w:val="FFFFFF"/>
                <w:sz w:val="20"/>
                <w:szCs w:val="20"/>
              </w:rPr>
              <w:t xml:space="preserve">Four Factors structural differential between teams</w:t>
            </w:r>
          </w:p>
        </w:tc>
        <w:tc>
          <w:tcPr>
            <w:tcW w:type="dxa" w:w="2860"/>
            <w:tcBorders>
              <w:top w:val="none" w:color="FFFFFF" w:sz="0"/>
              <w:left w:val="none" w:color="FFFFFF" w:sz="0"/>
              <w:bottom w:val="none" w:color="FFFFFF" w:sz="0"/>
              <w:right w:val="none" w:color="FFFFFF" w:sz="0"/>
            </w:tcBorders>
            <w:shd w:fill="1A3A6B"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LIVE</w:t>
            </w:r>
          </w:p>
          <w:p>
            <w:pPr>
              <w:jc w:val="right"/>
            </w:pPr>
            <w:r>
              <w:rPr>
                <w:rFonts w:ascii="Arial" w:cs="Arial" w:eastAsia="Arial" w:hAnsi="Arial"/>
                <w:color w:val="FFFFFF"/>
                <w:sz w:val="18"/>
                <w:szCs w:val="18"/>
              </w:rPr>
              <w:t xml:space="preserve">Subpanel · Composite Weight: 0.25</w:t>
            </w:r>
          </w:p>
          <w:p>
            <w:pPr>
              <w:jc w:val="right"/>
            </w:pPr>
            <w:r>
              <w:rPr>
                <w:rFonts w:ascii="Arial" w:cs="Arial" w:eastAsia="Arial" w:hAnsi="Arial"/>
                <w:color w:val="FFFFFF"/>
                <w:sz w:val="18"/>
                <w:szCs w:val="18"/>
              </w:rPr>
              <w:t xml:space="preserve">Weight: 25%</w:t>
            </w:r>
          </w:p>
        </w:tc>
      </w:tr>
    </w:tbl>
    <w:p/>
    <w:p>
      <w:pPr>
        <w:spacing w:before="60" w:after="80"/>
      </w:pPr>
      <w:r>
        <w:rPr>
          <w:rFonts w:ascii="Arial" w:cs="Arial" w:eastAsia="Arial" w:hAnsi="Arial"/>
          <w:sz w:val="22"/>
          <w:szCs w:val="22"/>
        </w:rPr>
        <w:t xml:space="preserve">The structural validation indicator. PA answers the critical question: is the trailing team losing because of hot shooting by the opponent, or because they're genuinely outmatched? A team losing due to variance is a buy. A team losing due to structural inferiority is not.</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PAI = (eFGdiff × 0.40) + (turnoverDiff × 0.35) + (reboundDiff × 0.20) + (FTAdiff × 0.15)</w:t>
      </w:r>
    </w:p>
    <w:p/>
    <w:p>
      <w:pPr>
        <w:spacing w:before="200" w:after="80"/>
      </w:pPr>
      <w:r>
        <w:rPr>
          <w:rFonts w:ascii="Arial" w:cs="Arial" w:eastAsia="Arial" w:hAnsi="Arial"/>
          <w:b/>
          <w:bCs/>
          <w:color w:val="1A1A2E"/>
          <w:sz w:val="24"/>
          <w:szCs w:val="24"/>
        </w:rPr>
        <w:t xml:space="preserve">Why Each Factor Is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eFG% differential (0.40)</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Highest predictive factor in Dean Oliver’s Four Factors framework (2004). Updated weighting from EvanZ (2010) and Squared2020 (2017).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Turnovers (0.35)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Each turnover swings ~2.2 expected points. Most predictive single halftime factor for possession advantage.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Rebounds (0.20)</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Defensive rebounding has r² ≈ 0.69 with winning in literature. Controls possessions fundamentally.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FT rate (0.15)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Within acceptable research range per Oliver’s original weights.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5E6C8" w:val="clear"/>
            <w:tcMar>
              <w:top w:type="dxa" w:w="100"/>
              <w:left w:type="dxa" w:w="180"/>
              <w:bottom w:type="dxa" w:w="100"/>
              <w:right w:type="dxa" w:w="180"/>
            </w:tcMar>
          </w:tcPr>
          <w:p>
            <w:r>
              <w:rPr>
                <w:rFonts w:ascii="Arial" w:cs="Arial" w:eastAsia="Arial" w:hAnsi="Arial"/>
                <w:i/>
                <w:iCs/>
                <w:sz w:val="21"/>
                <w:szCs w:val="21"/>
              </w:rPr>
              <w:t xml:space="preserve">Paint differential was removed from PAI in Research 03 — it had a 40% weight with no academic backing. eFG% differential replaced it as the highest-impact single change in the system's history.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Color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Blue #44AAFF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ESPN play-by-play and box score API</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Real-time?</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Dean Oliver (2004), EvanZ (2010), Squared2020 (2017)</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Open issues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Offensive rebound rate entirely missing despite being a Four Factors core component (P2 open). FTA weight is ~8% vs Oliver’s recommended 15% (P2-NEW-6).</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5B2D8B" w:val="clear"/>
            <w:tcMar>
              <w:top w:type="dxa" w:w="160"/>
              <w:left w:type="dxa" w:w="200"/>
              <w:bottom w:type="dxa" w:w="160"/>
              <w:right w:type="dxa" w:w="120"/>
            </w:tcMar>
          </w:tcPr>
          <w:p>
            <w:r>
              <w:rPr>
                <w:rFonts w:ascii="Arial" w:cs="Arial" w:eastAsia="Arial" w:hAnsi="Arial"/>
                <w:b/>
                <w:bCs/>
                <w:color w:val="FFFFFF"/>
                <w:sz w:val="32"/>
                <w:szCs w:val="32"/>
              </w:rPr>
              <w:t xml:space="preserve">ES — Efficiency Sustainability Score</w:t>
            </w:r>
          </w:p>
          <w:p>
            <w:r>
              <w:rPr>
                <w:rFonts w:ascii="Arial" w:cs="Arial" w:eastAsia="Arial" w:hAnsi="Arial"/>
                <w:color w:val="FFFFFF"/>
                <w:sz w:val="20"/>
                <w:szCs w:val="20"/>
              </w:rPr>
              <w:t xml:space="preserve">How durable is the leading team's scoring mechanism</w:t>
            </w:r>
          </w:p>
        </w:tc>
        <w:tc>
          <w:tcPr>
            <w:tcW w:type="dxa" w:w="2860"/>
            <w:tcBorders>
              <w:top w:val="none" w:color="FFFFFF" w:sz="0"/>
              <w:left w:val="none" w:color="FFFFFF" w:sz="0"/>
              <w:bottom w:val="none" w:color="FFFFFF" w:sz="0"/>
              <w:right w:val="none" w:color="FFFFFF" w:sz="0"/>
            </w:tcBorders>
            <w:shd w:fill="5B2D8B"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LIVE</w:t>
            </w:r>
          </w:p>
          <w:p>
            <w:pPr>
              <w:jc w:val="right"/>
            </w:pPr>
            <w:r>
              <w:rPr>
                <w:rFonts w:ascii="Arial" w:cs="Arial" w:eastAsia="Arial" w:hAnsi="Arial"/>
                <w:color w:val="FFFFFF"/>
                <w:sz w:val="18"/>
                <w:szCs w:val="18"/>
              </w:rPr>
              <w:t xml:space="preserve">Subpanel · Composite Weight: 0.20</w:t>
            </w:r>
          </w:p>
          <w:p>
            <w:pPr>
              <w:jc w:val="right"/>
            </w:pPr>
            <w:r>
              <w:rPr>
                <w:rFonts w:ascii="Arial" w:cs="Arial" w:eastAsia="Arial" w:hAnsi="Arial"/>
                <w:color w:val="FFFFFF"/>
                <w:sz w:val="18"/>
                <w:szCs w:val="18"/>
              </w:rPr>
              <w:t xml:space="preserve">Weight: 20%</w:t>
            </w:r>
          </w:p>
        </w:tc>
      </w:tr>
    </w:tbl>
    <w:p/>
    <w:p>
      <w:pPr>
        <w:spacing w:before="60" w:after="80"/>
      </w:pPr>
      <w:r>
        <w:rPr>
          <w:rFonts w:ascii="Arial" w:cs="Arial" w:eastAsia="Arial" w:hAnsi="Arial"/>
          <w:sz w:val="22"/>
          <w:szCs w:val="22"/>
        </w:rPr>
        <w:t xml:space="preserve">The confirmation indicator. ES penalizes high 3-point rate (unsustainable scoring) and rewards high FT rate (durable scoring). Starts high for the leading team when their scoring method is robust; degrades if they're over-relying on 3s.</w:t>
      </w:r>
    </w:p>
    <w:p/>
    <w:p>
      <w:pPr>
        <w:spacing w:before="200" w:after="80"/>
      </w:pPr>
      <w:r>
        <w:rPr>
          <w:rFonts w:ascii="Arial" w:cs="Arial" w:eastAsia="Arial" w:hAnsi="Arial"/>
          <w:b/>
          <w:bCs/>
          <w:color w:val="1A1A2E"/>
          <w:sz w:val="24"/>
          <w:szCs w:val="24"/>
        </w:rPr>
        <w:t xml:space="preserve">Key Signals</w:t>
      </w:r>
    </w:p>
    <w:p>
      <w:pPr>
        <w:pStyle w:val="ListParagraph"/>
        <w:numPr>
          <w:ilvl w:val="0"/>
          <w:numId w:val="2"/>
        </w:numPr>
        <w:spacing w:before="40" w:after="40"/>
      </w:pPr>
      <w:r>
        <w:rPr>
          <w:rFonts w:ascii="Arial" w:cs="Arial" w:eastAsia="Arial" w:hAnsi="Arial"/>
          <w:sz w:val="22"/>
          <w:szCs w:val="22"/>
        </w:rPr>
        <w:t xml:space="preserve">High 3PA rate relative to season norm: leading team is relying on the highest-variance shot in basketball. Degrades ES.</w:t>
      </w:r>
    </w:p>
    <w:p>
      <w:pPr>
        <w:pStyle w:val="ListParagraph"/>
        <w:numPr>
          <w:ilvl w:val="0"/>
          <w:numId w:val="2"/>
        </w:numPr>
        <w:spacing w:before="40" w:after="40"/>
      </w:pPr>
      <w:r>
        <w:rPr>
          <w:rFonts w:ascii="Arial" w:cs="Arial" w:eastAsia="Arial" w:hAnsi="Arial"/>
          <w:sz w:val="22"/>
          <w:szCs w:val="22"/>
        </w:rPr>
        <w:t xml:space="preserve">High FT rate: drawing fouls is skill-based, not luck-based. Sustains ES.</w:t>
      </w:r>
    </w:p>
    <w:p>
      <w:pPr>
        <w:pStyle w:val="ListParagraph"/>
        <w:numPr>
          <w:ilvl w:val="0"/>
          <w:numId w:val="2"/>
        </w:numPr>
        <w:spacing w:before="40" w:after="40"/>
      </w:pPr>
      <w:r>
        <w:rPr>
          <w:rFonts w:ascii="Arial" w:cs="Arial" w:eastAsia="Arial" w:hAnsi="Arial"/>
          <w:sz w:val="22"/>
          <w:szCs w:val="22"/>
        </w:rPr>
        <w:t xml:space="preserve">Catch-and-shoot percentage (C&amp;S%): isolates shot quality from shot creation. High C&amp;S% from open looks is more repeatable than pull-up jumpers.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5E6C8" w:val="clear"/>
            <w:tcMar>
              <w:top w:type="dxa" w:w="100"/>
              <w:left w:type="dxa" w:w="180"/>
              <w:bottom w:type="dxa" w:w="100"/>
              <w:right w:type="dxa" w:w="180"/>
            </w:tcMar>
          </w:tcPr>
          <w:p>
            <w:r>
              <w:rPr>
                <w:rFonts w:ascii="Arial" w:cs="Arial" w:eastAsia="Arial" w:hAnsi="Arial"/>
                <w:i/>
                <w:iCs/>
                <w:sz w:val="21"/>
                <w:szCs w:val="21"/>
              </w:rPr>
              <w:t xml:space="preserve">Berger &amp; Pope (2011) Q2 momentum signal failed replication in subsequent NBA samples. The weight was reduced to 4pts maximum. This is the correct call — momentum effects in basketball are overwhelmingly explained by regression to the mean.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Color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Purple #CC55FF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ESPN play-by-play (shot type classification), box score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Real-time?</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Yes — shot classification updates each possession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Shot quality research (open vs contested), C&amp;S% tracking principles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Open issues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C&amp;S FG% is hardcoded despite availability from free APIs (P2-NEW-3). Shot classification previously misclassified cutting layups and alley-oops as catch-and-shoot (fixed in Research 05).</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6B3A" w:val="clear"/>
            <w:tcMar>
              <w:top w:type="dxa" w:w="160"/>
              <w:left w:type="dxa" w:w="200"/>
              <w:bottom w:type="dxa" w:w="160"/>
              <w:right w:type="dxa" w:w="120"/>
            </w:tcMar>
          </w:tcPr>
          <w:p>
            <w:r>
              <w:rPr>
                <w:rFonts w:ascii="Arial" w:cs="Arial" w:eastAsia="Arial" w:hAnsi="Arial"/>
                <w:b/>
                <w:bCs/>
                <w:color w:val="FFFFFF"/>
                <w:sz w:val="32"/>
                <w:szCs w:val="32"/>
              </w:rPr>
              <w:t xml:space="preserve">CC — Comeback Capacity</w:t>
            </w:r>
          </w:p>
          <w:p>
            <w:r>
              <w:rPr>
                <w:rFonts w:ascii="Arial" w:cs="Arial" w:eastAsia="Arial" w:hAnsi="Arial"/>
                <w:color w:val="FFFFFF"/>
                <w:sz w:val="20"/>
                <w:szCs w:val="20"/>
              </w:rPr>
              <w:t xml:space="preserve">How fast can the trailing team close the gap</w:t>
            </w:r>
          </w:p>
        </w:tc>
        <w:tc>
          <w:tcPr>
            <w:tcW w:type="dxa" w:w="2860"/>
            <w:tcBorders>
              <w:top w:val="none" w:color="FFFFFF" w:sz="0"/>
              <w:left w:val="none" w:color="FFFFFF" w:sz="0"/>
              <w:bottom w:val="none" w:color="FFFFFF" w:sz="0"/>
              <w:right w:val="none" w:color="FFFFFF" w:sz="0"/>
            </w:tcBorders>
            <w:shd w:fill="1A6B3A"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LIVE</w:t>
            </w:r>
          </w:p>
          <w:p>
            <w:pPr>
              <w:jc w:val="right"/>
            </w:pPr>
            <w:r>
              <w:rPr>
                <w:rFonts w:ascii="Arial" w:cs="Arial" w:eastAsia="Arial" w:hAnsi="Arial"/>
                <w:color w:val="FFFFFF"/>
                <w:sz w:val="18"/>
                <w:szCs w:val="18"/>
              </w:rPr>
              <w:t xml:space="preserve">Subpanel · Composite Weight: 0.10</w:t>
            </w:r>
          </w:p>
          <w:p>
            <w:pPr>
              <w:jc w:val="right"/>
            </w:pPr>
            <w:r>
              <w:rPr>
                <w:rFonts w:ascii="Arial" w:cs="Arial" w:eastAsia="Arial" w:hAnsi="Arial"/>
                <w:color w:val="FFFFFF"/>
                <w:sz w:val="18"/>
                <w:szCs w:val="18"/>
              </w:rPr>
              <w:t xml:space="preserve">Weight: 10%</w:t>
            </w:r>
          </w:p>
        </w:tc>
      </w:tr>
    </w:tbl>
    <w:p/>
    <w:p>
      <w:pPr>
        <w:spacing w:before="60" w:after="80"/>
      </w:pPr>
      <w:r>
        <w:rPr>
          <w:rFonts w:ascii="Arial" w:cs="Arial" w:eastAsia="Arial" w:hAnsi="Arial"/>
          <w:sz w:val="22"/>
          <w:szCs w:val="22"/>
        </w:rPr>
        <w:t xml:space="preserve">The exit signal indicator. CC measures the trailing team's structural ability to score quickly — 3PA rate, pace, and turnover creation rate. Used to time exits more than entries. A team with high CC can overcome deficits faster; a team with low CC needs more time.</w:t>
      </w:r>
    </w:p>
    <w:p/>
    <w:p>
      <w:pPr>
        <w:spacing w:before="200" w:after="80"/>
      </w:pPr>
      <w:r>
        <w:rPr>
          <w:rFonts w:ascii="Arial" w:cs="Arial" w:eastAsia="Arial" w:hAnsi="Arial"/>
          <w:b/>
          <w:bCs/>
          <w:color w:val="1A1A2E"/>
          <w:sz w:val="24"/>
          <w:szCs w:val="24"/>
        </w:rPr>
        <w:t xml:space="preserve">Key Inputs</w:t>
      </w:r>
    </w:p>
    <w:p>
      <w:pPr>
        <w:pStyle w:val="ListParagraph"/>
        <w:numPr>
          <w:ilvl w:val="0"/>
          <w:numId w:val="2"/>
        </w:numPr>
        <w:spacing w:before="40" w:after="40"/>
      </w:pPr>
      <w:r>
        <w:rPr>
          <w:rFonts w:ascii="Arial" w:cs="Arial" w:eastAsia="Arial" w:hAnsi="Arial"/>
          <w:sz w:val="22"/>
          <w:szCs w:val="22"/>
        </w:rPr>
        <w:t xml:space="preserve">3PA rate: trailing team's rate of three-point attempts. High = faster potential scoring bursts.</w:t>
      </w:r>
    </w:p>
    <w:p>
      <w:pPr>
        <w:pStyle w:val="ListParagraph"/>
        <w:numPr>
          <w:ilvl w:val="0"/>
          <w:numId w:val="2"/>
        </w:numPr>
        <w:spacing w:before="40" w:after="40"/>
      </w:pPr>
      <w:r>
        <w:rPr>
          <w:rFonts w:ascii="Arial" w:cs="Arial" w:eastAsia="Arial" w:hAnsi="Arial"/>
          <w:sz w:val="22"/>
          <w:szCs w:val="22"/>
        </w:rPr>
        <w:t xml:space="preserve">Pace: possessions per 48 minutes. Faster pace = more opportunities to close the gap.</w:t>
      </w:r>
    </w:p>
    <w:p>
      <w:pPr>
        <w:pStyle w:val="ListParagraph"/>
        <w:numPr>
          <w:ilvl w:val="0"/>
          <w:numId w:val="2"/>
        </w:numPr>
        <w:spacing w:before="40" w:after="40"/>
      </w:pPr>
      <w:r>
        <w:rPr>
          <w:rFonts w:ascii="Arial" w:cs="Arial" w:eastAsia="Arial" w:hAnsi="Arial"/>
          <w:sz w:val="22"/>
          <w:szCs w:val="22"/>
        </w:rPr>
        <w:t xml:space="preserve">Turnover creation rate: steals and forced turnovers create fast-break opportunities — the highest-efficiency possessions in basketball.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Color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Green #00DD88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ESPN play-by-play, box score (pace, 3PA, STL)</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Real-time?</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Transition efficiency research (~1.228 PPP vs half-court ~1.084 PPP)</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Open issues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League average pace was empirically wrong (fixed in Research 06). Coach adjustments are hardcoded and unstable (P2-NEW-2). No B2B fatigue signal despite being predictive in literature.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8B6914" w:val="clear"/>
            <w:tcMar>
              <w:top w:type="dxa" w:w="160"/>
              <w:left w:type="dxa" w:w="200"/>
              <w:bottom w:type="dxa" w:w="160"/>
              <w:right w:type="dxa" w:w="120"/>
            </w:tcMar>
          </w:tcPr>
          <w:p>
            <w:r>
              <w:rPr>
                <w:rFonts w:ascii="Arial" w:cs="Arial" w:eastAsia="Arial" w:hAnsi="Arial"/>
                <w:b/>
                <w:bCs/>
                <w:color w:val="FFFFFF"/>
                <w:sz w:val="32"/>
                <w:szCs w:val="32"/>
              </w:rPr>
              <w:t xml:space="preserve">Market Edge — Temporal Edge Theory</w:t>
            </w:r>
          </w:p>
          <w:p>
            <w:r>
              <w:rPr>
                <w:rFonts w:ascii="Arial" w:cs="Arial" w:eastAsia="Arial" w:hAnsi="Arial"/>
                <w:color w:val="FFFFFF"/>
                <w:sz w:val="20"/>
                <w:szCs w:val="20"/>
              </w:rPr>
              <w:t xml:space="preserve">Brownian motion fair value vs live ESX market price</w:t>
            </w:r>
          </w:p>
        </w:tc>
        <w:tc>
          <w:tcPr>
            <w:tcW w:type="dxa" w:w="2860"/>
            <w:tcBorders>
              <w:top w:val="none" w:color="FFFFFF" w:sz="0"/>
              <w:left w:val="none" w:color="FFFFFF" w:sz="0"/>
              <w:bottom w:val="none" w:color="FFFFFF" w:sz="0"/>
              <w:right w:val="none" w:color="FFFFFF" w:sz="0"/>
            </w:tcBorders>
            <w:shd w:fill="8B6914"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LIVE</w:t>
            </w:r>
          </w:p>
          <w:p>
            <w:pPr>
              <w:jc w:val="right"/>
            </w:pPr>
            <w:r>
              <w:rPr>
                <w:rFonts w:ascii="Arial" w:cs="Arial" w:eastAsia="Arial" w:hAnsi="Arial"/>
                <w:color w:val="FFFFFF"/>
                <w:sz w:val="18"/>
                <w:szCs w:val="18"/>
              </w:rPr>
              <w:t xml:space="preserve">Subpanel · Composite Weight: 0.10</w:t>
            </w:r>
          </w:p>
          <w:p>
            <w:pPr>
              <w:jc w:val="right"/>
            </w:pPr>
            <w:r>
              <w:rPr>
                <w:rFonts w:ascii="Arial" w:cs="Arial" w:eastAsia="Arial" w:hAnsi="Arial"/>
                <w:color w:val="FFFFFF"/>
                <w:sz w:val="18"/>
                <w:szCs w:val="18"/>
              </w:rPr>
              <w:t xml:space="preserve">Weight: 10%</w:t>
            </w:r>
          </w:p>
        </w:tc>
      </w:tr>
    </w:tbl>
    <w:p/>
    <w:p>
      <w:pPr>
        <w:spacing w:before="60" w:after="80"/>
      </w:pPr>
      <w:r>
        <w:rPr>
          <w:rFonts w:ascii="Arial" w:cs="Arial" w:eastAsia="Arial" w:hAnsi="Arial"/>
          <w:sz w:val="22"/>
          <w:szCs w:val="22"/>
        </w:rPr>
        <w:t xml:space="preserve">The final trade signal. Market Edge compares the model's mathematically-derived fair value (trailing team's true win probability) against the live ESX contract price. The gap between these two numbers is the tradeable edge. When fair value exceeds market price by 8+ percentage points, the trade meets the EV gate.</w:t>
      </w:r>
    </w:p>
    <w:p/>
    <w:p>
      <w:pPr>
        <w:spacing w:before="200" w:after="80"/>
      </w:pPr>
      <w:r>
        <w:rPr>
          <w:rFonts w:ascii="Arial" w:cs="Arial" w:eastAsia="Arial" w:hAnsi="Arial"/>
          <w:b/>
          <w:bCs/>
          <w:color w:val="1A1A2E"/>
          <w:sz w:val="24"/>
          <w:szCs w:val="24"/>
        </w:rPr>
        <w:t xml:space="preserve">Formula — Stern 1994 Brownian Motion</w:t>
      </w:r>
    </w:p>
    <w:p>
      <w:pPr>
        <w:spacing w:before="80" w:after="80"/>
        <w:ind w:left="720"/>
      </w:pPr>
      <w:r>
        <w:rPr>
          <w:rFonts w:ascii="Courier New" w:cs="Courier New" w:eastAsia="Courier New" w:hAnsi="Courier New"/>
          <w:color w:val="333333"/>
          <w:sz w:val="20"/>
          <w:szCs w:val="20"/>
        </w:rPr>
        <w:t xml:space="preserve">z = (-deficit + spread × τ) / (σ × √τ)</w:t>
      </w:r>
    </w:p>
    <w:p>
      <w:pPr>
        <w:spacing w:before="80" w:after="80"/>
        <w:ind w:left="720"/>
      </w:pPr>
      <w:r>
        <w:rPr>
          <w:rFonts w:ascii="Courier New" w:cs="Courier New" w:eastAsia="Courier New" w:hAnsi="Courier New"/>
          <w:color w:val="333333"/>
          <w:sz w:val="20"/>
          <w:szCs w:val="20"/>
        </w:rPr>
        <w:t xml:space="preserve">Fair Value = normalCDF(z) × 100, clamped [1, 99]</w:t>
      </w:r>
    </w:p>
    <w:p>
      <w:pPr>
        <w:spacing w:before="80" w:after="80"/>
        <w:ind w:left="720"/>
      </w:pPr>
      <w:r>
        <w:rPr>
          <w:rFonts w:ascii="Courier New" w:cs="Courier New" w:eastAsia="Courier New" w:hAnsi="Courier New"/>
          <w:color w:val="333333"/>
          <w:sz w:val="20"/>
          <w:szCs w:val="20"/>
        </w:rPr>
        <w:t xml:space="preserve">τ = remaining seconds / 2880</w:t>
      </w:r>
    </w:p>
    <w:p/>
    <w:p>
      <w:pPr>
        <w:spacing w:before="200" w:after="80"/>
      </w:pPr>
      <w:r>
        <w:rPr>
          <w:rFonts w:ascii="Arial" w:cs="Arial" w:eastAsia="Arial" w:hAnsi="Arial"/>
          <w:b/>
          <w:bCs/>
          <w:color w:val="1A1A2E"/>
          <w:sz w:val="24"/>
          <w:szCs w:val="24"/>
        </w:rPr>
        <w:t xml:space="preserve">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deficit</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Points the trailing team is down (positive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spread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Pre-game market line, positive if trailing team is favored</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σ = 12.5</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NBA full-game scoring standard deviation (validated in Research 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τ</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Fraction of game remaining (1.0 = tip-off, 0.5 = halftime, 0 = buzzer)</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√τ</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Uncertainty shrinks by square root of remaining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normalCDF(z)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Converts position on bell curve to win probability percentage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Fair Value</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Solid line on the chart — trailing team's theoretical win probability in cents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Dashed 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Live ESX contract price polled every 30 seconds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The gap</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Fair Value minus Market Price = the trading edge</w:t>
            </w:r>
          </w:p>
        </w:tc>
      </w:tr>
    </w:tbl>
    <w:p/>
    <w:p>
      <w:pPr>
        <w:spacing w:before="200" w:after="80"/>
      </w:pPr>
      <w:r>
        <w:rPr>
          <w:rFonts w:ascii="Arial" w:cs="Arial" w:eastAsia="Arial" w:hAnsi="Arial"/>
          <w:b/>
          <w:bCs/>
          <w:color w:val="1A1A2E"/>
          <w:sz w:val="24"/>
          <w:szCs w:val="24"/>
        </w:rPr>
        <w:t xml:space="preserve">Why It Works</w:t>
      </w:r>
    </w:p>
    <w:p>
      <w:pPr>
        <w:spacing w:before="60" w:after="80"/>
      </w:pPr>
      <w:r>
        <w:rPr>
          <w:rFonts w:ascii="Arial" w:cs="Arial" w:eastAsia="Arial" w:hAnsi="Arial"/>
          <w:sz w:val="22"/>
          <w:szCs w:val="22"/>
        </w:rPr>
        <w:t xml:space="preserve">Basketball scoring behaves like a random walk. Over ~200 possessions, the Central Limit Theorem guarantees that total score difference will be approximately normally distributed. Gabel &amp; Redner (2012) confirmed empirically using 6,087 NBA games that variance grows linearly with elapsed time — exactly as Brownian motion predicts.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5E6C8" w:val="clear"/>
            <w:tcMar>
              <w:top w:type="dxa" w:w="100"/>
              <w:left w:type="dxa" w:w="180"/>
              <w:bottom w:type="dxa" w:w="100"/>
              <w:right w:type="dxa" w:w="180"/>
            </w:tcMar>
          </w:tcPr>
          <w:p>
            <w:r>
              <w:rPr>
                <w:rFonts w:ascii="Arial" w:cs="Arial" w:eastAsia="Arial" w:hAnsi="Arial"/>
                <w:i/>
                <w:iCs/>
                <w:sz w:val="21"/>
                <w:szCs w:val="21"/>
              </w:rPr>
              <w:t xml:space="preserve">⚠️ CRITICAL BUG NOT YET FIXED (P0-NEW-1): The formula currently uses t=0.5 instead of Math.sqrt(0.5)=0.707. This underestimates scoring variance by ~√2 = 1.41×. A team trailing by 8 gets fair value ~42¢ when it should be ~52¢. All current fair values are wrong by ~41%. Fix before any live trading.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Color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Gold #DDB67D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ESX live contract price + ESPN game clock and score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Real-time?</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Polled every 30s (WebSocket auth broken — P0-NEW-2 — REST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Stern (1994) JASA Vol. 89, Gabel &amp; Redner (2012) 6,087 games, Polson &amp; Stern (2015)</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Open issues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√t critical error (P0-NEW-1 — unresolved). WebSocket auth broken (P0-NEW-2). σ may still be too low at 12.5 vs research suggesting 13.0 (P2-NEW-5). HCA previously double-counted — fixed.</w:t>
            </w:r>
          </w:p>
        </w:tc>
      </w:tr>
    </w:tbl>
    <w:p/>
    <w:p/>
    <w:p>
      <w:pPr>
        <w:pBdr>
          <w:bottom w:val="single" w:color="C9A96E" w:sz="4" w:space="1"/>
        </w:pBdr>
        <w:spacing w:before="200" w:after="200"/>
      </w:pPr>
    </w:p>
    <w:p>
      <w:r>
        <w:br w:type="page"/>
      </w:r>
    </w:p>
    <w:p>
      <w:pPr>
        <w:pStyle w:val="Heading1"/>
        <w:spacing w:before="360" w:after="160"/>
      </w:pPr>
      <w:r>
        <w:rPr>
          <w:rFonts w:ascii="Arial" w:cs="Arial" w:eastAsia="Arial" w:hAnsi="Arial"/>
          <w:b/>
          <w:bCs/>
          <w:color w:val="1A1A2E"/>
          <w:sz w:val="36"/>
          <w:szCs w:val="36"/>
        </w:rPr>
        <w:t xml:space="preserve">Part 2: In-Development Subpanel Indicators</w:t>
      </w:r>
    </w:p>
    <w:p>
      <w:pPr>
        <w:spacing w:before="60" w:after="80"/>
      </w:pPr>
      <w:r>
        <w:rPr>
          <w:rFonts w:ascii="Arial" w:cs="Arial" w:eastAsia="Arial" w:hAnsi="Arial"/>
          <w:sz w:val="22"/>
          <w:szCs w:val="22"/>
        </w:rPr>
        <w:t xml:space="preserve">These two indicators are currently being built by Frank on ESX. They are not yet live. Their completion unlocks Trade Types 3 and 4.</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5B6B" w:val="clear"/>
            <w:tcMar>
              <w:top w:type="dxa" w:w="160"/>
              <w:left w:type="dxa" w:w="200"/>
              <w:bottom w:type="dxa" w:w="160"/>
              <w:right w:type="dxa" w:w="120"/>
            </w:tcMar>
          </w:tcPr>
          <w:p>
            <w:r>
              <w:rPr>
                <w:rFonts w:ascii="Arial" w:cs="Arial" w:eastAsia="Arial" w:hAnsi="Arial"/>
                <w:b/>
                <w:bCs/>
                <w:color w:val="FFFFFF"/>
                <w:sz w:val="32"/>
                <w:szCs w:val="32"/>
              </w:rPr>
              <w:t xml:space="preserve">TCI — Trend Convergence Index</w:t>
            </w:r>
          </w:p>
          <w:p>
            <w:r>
              <w:rPr>
                <w:rFonts w:ascii="Arial" w:cs="Arial" w:eastAsia="Arial" w:hAnsi="Arial"/>
                <w:color w:val="FFFFFF"/>
                <w:sz w:val="20"/>
                <w:szCs w:val="20"/>
              </w:rPr>
              <w:t xml:space="preserve">Are all indicators trending the same direction?</w:t>
            </w:r>
          </w:p>
        </w:tc>
        <w:tc>
          <w:tcPr>
            <w:tcW w:type="dxa" w:w="2860"/>
            <w:tcBorders>
              <w:top w:val="none" w:color="FFFFFF" w:sz="0"/>
              <w:left w:val="none" w:color="FFFFFF" w:sz="0"/>
              <w:bottom w:val="none" w:color="FFFFFF" w:sz="0"/>
              <w:right w:val="none" w:color="FFFFFF" w:sz="0"/>
            </w:tcBorders>
            <w:shd w:fill="1A5B6B"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IN DEV</w:t>
            </w:r>
          </w:p>
          <w:p>
            <w:pPr>
              <w:jc w:val="right"/>
            </w:pPr>
            <w:r>
              <w:rPr>
                <w:rFonts w:ascii="Arial" w:cs="Arial" w:eastAsia="Arial" w:hAnsi="Arial"/>
                <w:color w:val="FFFFFF"/>
                <w:sz w:val="18"/>
                <w:szCs w:val="18"/>
              </w:rPr>
              <w:t xml:space="preserve">Subpanel · Second-Order Oscillator</w:t>
            </w:r>
          </w:p>
          <w:p/>
        </w:tc>
      </w:tr>
    </w:tbl>
    <w:p/>
    <w:p>
      <w:pPr>
        <w:spacing w:before="60" w:after="80"/>
      </w:pPr>
      <w:r>
        <w:rPr>
          <w:rFonts w:ascii="Arial" w:cs="Arial" w:eastAsia="Arial" w:hAnsi="Arial"/>
          <w:sz w:val="22"/>
          <w:szCs w:val="22"/>
        </w:rPr>
        <w:t xml:space="preserve">TCI is a second-order subpanel indicator — it reads the other four indicators rather than raw game data. It scores how many of the four core indicators (HRS, PA, ES, CC) are simultaneously trending in the same direction over a rolling 6-minute window. The scale runs from −4 to +4.</w:t>
      </w:r>
    </w:p>
    <w:p/>
    <w:p>
      <w:pPr>
        <w:spacing w:before="200" w:after="80"/>
      </w:pPr>
      <w:r>
        <w:rPr>
          <w:rFonts w:ascii="Arial" w:cs="Arial" w:eastAsia="Arial" w:hAnsi="Arial"/>
          <w:b/>
          <w:bCs/>
          <w:color w:val="1A1A2E"/>
          <w:sz w:val="24"/>
          <w:szCs w:val="24"/>
        </w:rPr>
        <w:t xml:space="preserve">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−4</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All 4 indicators trending strongly against trailing team (away team in negative territory)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indicators trending against trailing team</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0</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Neutral — indicators mixed, no directional 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indicators trending toward trailing team — convergence building</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+4</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All 4 indicators trending toward trailing team — maximum convergence signal</w:t>
            </w:r>
          </w:p>
        </w:tc>
      </w:tr>
    </w:tbl>
    <w:p/>
    <w:p>
      <w:pPr>
        <w:spacing w:before="200" w:after="80"/>
      </w:pPr>
      <w:r>
        <w:rPr>
          <w:rFonts w:ascii="Arial" w:cs="Arial" w:eastAsia="Arial" w:hAnsi="Arial"/>
          <w:b/>
          <w:bCs/>
          <w:color w:val="1A1A2E"/>
          <w:sz w:val="24"/>
          <w:szCs w:val="24"/>
        </w:rPr>
        <w:t xml:space="preserve">How to Read TCI</w:t>
      </w:r>
    </w:p>
    <w:p>
      <w:pPr>
        <w:pStyle w:val="ListParagraph"/>
        <w:numPr>
          <w:ilvl w:val="0"/>
          <w:numId w:val="2"/>
        </w:numPr>
        <w:spacing w:before="40" w:after="40"/>
      </w:pPr>
      <w:r>
        <w:rPr>
          <w:rFonts w:ascii="Arial" w:cs="Arial" w:eastAsia="Arial" w:hAnsi="Arial"/>
          <w:sz w:val="22"/>
          <w:szCs w:val="22"/>
        </w:rPr>
        <w:t xml:space="preserve">Static indicator values show the current state of play. TCI shows the direction of travel. A team can have PA at +2.1 (slight structural advantage) while TCI reads +3 — meaning all indicators are moving further in their favor, not just sitting there.</w:t>
      </w:r>
    </w:p>
    <w:p>
      <w:pPr>
        <w:pStyle w:val="ListParagraph"/>
        <w:numPr>
          <w:ilvl w:val="0"/>
          <w:numId w:val="2"/>
        </w:numPr>
        <w:spacing w:before="40" w:after="40"/>
      </w:pPr>
      <w:r>
        <w:rPr>
          <w:rFonts w:ascii="Arial" w:cs="Arial" w:eastAsia="Arial" w:hAnsi="Arial"/>
          <w:sz w:val="22"/>
          <w:szCs w:val="22"/>
        </w:rPr>
        <w:t xml:space="preserve">TCI at ±3 or ±4, sustained for 6+ minutes, is the trigger for Trade Type 3 (Trend Convergence).</w:t>
      </w:r>
    </w:p>
    <w:p>
      <w:pPr>
        <w:pStyle w:val="ListParagraph"/>
        <w:numPr>
          <w:ilvl w:val="0"/>
          <w:numId w:val="2"/>
        </w:numPr>
        <w:spacing w:before="40" w:after="40"/>
      </w:pPr>
      <w:r>
        <w:rPr>
          <w:rFonts w:ascii="Arial" w:cs="Arial" w:eastAsia="Arial" w:hAnsi="Arial"/>
          <w:sz w:val="22"/>
          <w:szCs w:val="22"/>
        </w:rPr>
        <w:t xml:space="preserve">TCI crossing zero is significant: structural momentum literally changing direction.</w:t>
      </w:r>
    </w:p>
    <w:p>
      <w:pPr>
        <w:pStyle w:val="ListParagraph"/>
        <w:numPr>
          <w:ilvl w:val="0"/>
          <w:numId w:val="2"/>
        </w:numPr>
        <w:spacing w:before="40" w:after="40"/>
      </w:pPr>
      <w:r>
        <w:rPr>
          <w:rFonts w:ascii="Arial" w:cs="Arial" w:eastAsia="Arial" w:hAnsi="Arial"/>
          <w:sz w:val="22"/>
          <w:szCs w:val="22"/>
        </w:rPr>
        <w:t xml:space="preserve">PA Zero-Cross (when PA crosses zero on its own chart) is the strongest confirming signal when it coincides with TCI at ±4.</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Unlocks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Trade Type 3: Trend Convergence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Frank (ESX founder) — in active development</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Data inputs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Derivatives of HRS, PA, ES, CC trend lines over rolling 6-minute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 to +4 oscillator, centered at zero, with threshold lines at ±3</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6B1A1A" w:val="clear"/>
            <w:tcMar>
              <w:top w:type="dxa" w:w="160"/>
              <w:left w:type="dxa" w:w="200"/>
              <w:bottom w:type="dxa" w:w="160"/>
              <w:right w:type="dxa" w:w="120"/>
            </w:tcMar>
          </w:tcPr>
          <w:p>
            <w:r>
              <w:rPr>
                <w:rFonts w:ascii="Arial" w:cs="Arial" w:eastAsia="Arial" w:hAnsi="Arial"/>
                <w:b/>
                <w:bCs/>
                <w:color w:val="FFFFFF"/>
                <w:sz w:val="32"/>
                <w:szCs w:val="32"/>
              </w:rPr>
              <w:t xml:space="preserve">STI — Star Takeover Index</w:t>
            </w:r>
          </w:p>
          <w:p>
            <w:r>
              <w:rPr>
                <w:rFonts w:ascii="Arial" w:cs="Arial" w:eastAsia="Arial" w:hAnsi="Arial"/>
                <w:color w:val="FFFFFF"/>
                <w:sz w:val="20"/>
                <w:szCs w:val="20"/>
              </w:rPr>
              <w:t xml:space="preserve">Individual star player usage concentration above season baseline</w:t>
            </w:r>
          </w:p>
        </w:tc>
        <w:tc>
          <w:tcPr>
            <w:tcW w:type="dxa" w:w="2860"/>
            <w:tcBorders>
              <w:top w:val="none" w:color="FFFFFF" w:sz="0"/>
              <w:left w:val="none" w:color="FFFFFF" w:sz="0"/>
              <w:bottom w:val="none" w:color="FFFFFF" w:sz="0"/>
              <w:right w:val="none" w:color="FFFFFF" w:sz="0"/>
            </w:tcBorders>
            <w:shd w:fill="6B1A1A"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IN DEV</w:t>
            </w:r>
          </w:p>
          <w:p>
            <w:pPr>
              <w:jc w:val="right"/>
            </w:pPr>
            <w:r>
              <w:rPr>
                <w:rFonts w:ascii="Arial" w:cs="Arial" w:eastAsia="Arial" w:hAnsi="Arial"/>
                <w:color w:val="FFFFFF"/>
                <w:sz w:val="18"/>
                <w:szCs w:val="18"/>
              </w:rPr>
              <w:t xml:space="preserve">Subpanel · Player-Level Signal</w:t>
            </w:r>
          </w:p>
          <w:p/>
        </w:tc>
      </w:tr>
    </w:tbl>
    <w:p/>
    <w:p>
      <w:pPr>
        <w:spacing w:before="60" w:after="80"/>
      </w:pPr>
      <w:r>
        <w:rPr>
          <w:rFonts w:ascii="Arial" w:cs="Arial" w:eastAsia="Arial" w:hAnsi="Arial"/>
          <w:sz w:val="22"/>
          <w:szCs w:val="22"/>
        </w:rPr>
        <w:t xml:space="preserve">STI catches what team-level indicators miss. When a star player concentrates usage significantly above their season baseline in the current quarter, the team's effective quality jumps above what HRS, PA, ES, and CC show — because those indicators aggregate all five players equally. STI isolates the individual surge.</w:t>
      </w:r>
    </w:p>
    <w:p/>
    <w:p>
      <w:pPr>
        <w:spacing w:before="200" w:after="80"/>
      </w:pPr>
      <w:r>
        <w:rPr>
          <w:rFonts w:ascii="Arial" w:cs="Arial" w:eastAsia="Arial" w:hAnsi="Arial"/>
          <w:b/>
          <w:bCs/>
          <w:color w:val="1A1A2E"/>
          <w:sz w:val="24"/>
          <w:szCs w:val="24"/>
        </w:rPr>
        <w:t xml:space="preserve">Why Team Indicators Miss This</w:t>
      </w:r>
    </w:p>
    <w:p>
      <w:pPr>
        <w:spacing w:before="60" w:after="80"/>
      </w:pPr>
      <w:r>
        <w:rPr>
          <w:rFonts w:ascii="Arial" w:cs="Arial" w:eastAsia="Arial" w:hAnsi="Arial"/>
          <w:sz w:val="22"/>
          <w:szCs w:val="22"/>
        </w:rPr>
        <w:t xml:space="preserve">LeBron at 40% usage is a fundamentally different team than LeBron at 28% usage. But PA still measures possession advantage, HRS still measures the team's eFG%, and ES still measures the team's shot profile. None of them specifically flag that one player is concentrating the ball and elevating their performance above their season rate. STI does.</w:t>
      </w:r>
    </w:p>
    <w:p/>
    <w:p>
      <w:pPr>
        <w:spacing w:before="200" w:after="80"/>
      </w:pPr>
      <w:r>
        <w:rPr>
          <w:rFonts w:ascii="Arial" w:cs="Arial" w:eastAsia="Arial" w:hAnsi="Arial"/>
          <w:b/>
          <w:bCs/>
          <w:color w:val="1A1A2E"/>
          <w:sz w:val="24"/>
          <w:szCs w:val="24"/>
        </w:rPr>
        <w:t xml:space="preserve">Entry Signal</w:t>
      </w:r>
    </w:p>
    <w:p>
      <w:pPr>
        <w:pStyle w:val="ListParagraph"/>
        <w:numPr>
          <w:ilvl w:val="0"/>
          <w:numId w:val="2"/>
        </w:numPr>
        <w:spacing w:before="40" w:after="40"/>
      </w:pPr>
      <w:r>
        <w:rPr>
          <w:rFonts w:ascii="Arial" w:cs="Arial" w:eastAsia="Arial" w:hAnsi="Arial"/>
          <w:sz w:val="22"/>
          <w:szCs w:val="22"/>
        </w:rPr>
        <w:t xml:space="preserve">STI ≥ +8 on a team: star player operating 8+ points above season baseline usage/scoring rate</w:t>
      </w:r>
    </w:p>
    <w:p>
      <w:pPr>
        <w:pStyle w:val="ListParagraph"/>
        <w:numPr>
          <w:ilvl w:val="0"/>
          <w:numId w:val="2"/>
        </w:numPr>
        <w:spacing w:before="40" w:after="40"/>
      </w:pPr>
      <w:r>
        <w:rPr>
          <w:rFonts w:ascii="Arial" w:cs="Arial" w:eastAsia="Arial" w:hAnsi="Arial"/>
          <w:sz w:val="22"/>
          <w:szCs w:val="22"/>
        </w:rPr>
        <w:t xml:space="preserve">One-sided surge: the opposing team has no equivalent takeover happening</w:t>
      </w:r>
    </w:p>
    <w:p>
      <w:pPr>
        <w:pStyle w:val="ListParagraph"/>
        <w:numPr>
          <w:ilvl w:val="0"/>
          <w:numId w:val="2"/>
        </w:numPr>
        <w:spacing w:before="40" w:after="40"/>
      </w:pPr>
      <w:r>
        <w:rPr>
          <w:rFonts w:ascii="Arial" w:cs="Arial" w:eastAsia="Arial" w:hAnsi="Arial"/>
          <w:sz w:val="22"/>
          <w:szCs w:val="22"/>
        </w:rPr>
        <w:t xml:space="preserve">The team with the star takeover has the talent profile to sustain it (top-10 player)</w:t>
      </w:r>
    </w:p>
    <w:p>
      <w:pPr>
        <w:pStyle w:val="ListParagraph"/>
        <w:numPr>
          <w:ilvl w:val="0"/>
          <w:numId w:val="2"/>
        </w:numPr>
        <w:spacing w:before="40" w:after="40"/>
      </w:pPr>
      <w:r>
        <w:rPr>
          <w:rFonts w:ascii="Arial" w:cs="Arial" w:eastAsia="Arial" w:hAnsi="Arial"/>
          <w:sz w:val="22"/>
          <w:szCs w:val="22"/>
        </w:rPr>
        <w:t xml:space="preserve">Price hasn't already fully adjusted to the takeover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Unlocks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Trade Type 4: Star Takeover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Frank (ESX founder) — in active development</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Data inputs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Player-level play-by-play usage rate, current quarter scoring rate vs season avg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Oscillator showing top player’s deviation from season baseline, per team</w:t>
            </w:r>
          </w:p>
        </w:tc>
      </w:tr>
    </w:tbl>
    <w:p/>
    <w:p/>
    <w:p>
      <w:pPr>
        <w:pBdr>
          <w:bottom w:val="single" w:color="C9A96E" w:sz="4" w:space="1"/>
        </w:pBdr>
        <w:spacing w:before="200" w:after="200"/>
      </w:pPr>
    </w:p>
    <w:p>
      <w:r>
        <w:br w:type="page"/>
      </w:r>
    </w:p>
    <w:p>
      <w:pPr>
        <w:pStyle w:val="Heading1"/>
        <w:spacing w:before="360" w:after="160"/>
      </w:pPr>
      <w:r>
        <w:rPr>
          <w:rFonts w:ascii="Arial" w:cs="Arial" w:eastAsia="Arial" w:hAnsi="Arial"/>
          <w:b/>
          <w:bCs/>
          <w:color w:val="1A1A2E"/>
          <w:sz w:val="36"/>
          <w:szCs w:val="36"/>
        </w:rPr>
        <w:t xml:space="preserve">Part 3: Proposed New Subpanel Indicators</w:t>
      </w:r>
    </w:p>
    <w:p>
      <w:pPr>
        <w:spacing w:before="60" w:after="80"/>
      </w:pPr>
      <w:r>
        <w:rPr>
          <w:rFonts w:ascii="Arial" w:cs="Arial" w:eastAsia="Arial" w:hAnsi="Arial"/>
          <w:sz w:val="22"/>
          <w:szCs w:val="22"/>
        </w:rPr>
        <w:t xml:space="preserve">Eight new subpanel indicators validated through Research 18 (March 2026). Each fills a specific gap in the current stack. Priority order: VVI and FPI are highest-impact and should be built first.</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2C5F8B" w:val="clear"/>
            <w:tcMar>
              <w:top w:type="dxa" w:w="160"/>
              <w:left w:type="dxa" w:w="200"/>
              <w:bottom w:type="dxa" w:w="160"/>
              <w:right w:type="dxa" w:w="120"/>
            </w:tcMar>
          </w:tcPr>
          <w:p>
            <w:r>
              <w:rPr>
                <w:rFonts w:ascii="Arial" w:cs="Arial" w:eastAsia="Arial" w:hAnsi="Arial"/>
                <w:b/>
                <w:bCs/>
                <w:color w:val="FFFFFF"/>
                <w:sz w:val="32"/>
                <w:szCs w:val="32"/>
              </w:rPr>
              <w:t xml:space="preserve">VVI — Volatility / Variance Indicator</w:t>
            </w:r>
          </w:p>
          <w:p>
            <w:r>
              <w:rPr>
                <w:rFonts w:ascii="Arial" w:cs="Arial" w:eastAsia="Arial" w:hAnsi="Arial"/>
                <w:color w:val="FFFFFF"/>
                <w:sz w:val="20"/>
                <w:szCs w:val="20"/>
              </w:rPr>
              <w:t xml:space="preserve">Game-state choppiness — does this game favor the trailing team?</w:t>
            </w:r>
          </w:p>
        </w:tc>
        <w:tc>
          <w:tcPr>
            <w:tcW w:type="dxa" w:w="2860"/>
            <w:tcBorders>
              <w:top w:val="none" w:color="FFFFFF" w:sz="0"/>
              <w:left w:val="none" w:color="FFFFFF" w:sz="0"/>
              <w:bottom w:val="none" w:color="FFFFFF" w:sz="0"/>
              <w:right w:val="none" w:color="FFFFFF" w:sz="0"/>
            </w:tcBorders>
            <w:shd w:fill="2C5F8B"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Subpanel · Proposed</w:t>
            </w:r>
          </w:p>
          <w:p/>
        </w:tc>
      </w:tr>
    </w:tbl>
    <w:p/>
    <w:p>
      <w:pPr>
        <w:spacing w:before="60" w:after="80"/>
      </w:pPr>
      <w:r>
        <w:rPr>
          <w:rFonts w:ascii="Arial" w:cs="Arial" w:eastAsia="Arial" w:hAnsi="Arial"/>
          <w:sz w:val="22"/>
          <w:szCs w:val="22"/>
        </w:rPr>
        <w:t xml:space="preserve">VVI measures whether current play conditions create high-variance or low-variance scoring outcomes. High variance mathematically favors trailing teams — more 'lottery tickets' per possession. Low variance favors the leading team. This maps directly to the σ parameter in the Market Edge formula and fills the single biggest theoretical gap in the current indicator stack.</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VVI = w₁ × 3PA_rate + w₂ × TO_rate + w₃ × FTA_rate + w₄ × OREB_rate</w:t>
      </w:r>
    </w:p>
    <w:p>
      <w:pPr>
        <w:spacing w:before="80" w:after="80"/>
        <w:ind w:left="720"/>
      </w:pPr>
      <w:r>
        <w:rPr>
          <w:rFonts w:ascii="Courier New" w:cs="Courier New" w:eastAsia="Courier New" w:hAnsi="Courier New"/>
          <w:color w:val="333333"/>
          <w:sz w:val="20"/>
          <w:szCs w:val="20"/>
        </w:rPr>
        <w:t xml:space="preserve">Rolling 5-minute window, both teams combined</w:t>
      </w:r>
    </w:p>
    <w:p/>
    <w:p>
      <w:pPr>
        <w:spacing w:before="200" w:after="80"/>
      </w:pPr>
      <w:r>
        <w:rPr>
          <w:rFonts w:ascii="Arial" w:cs="Arial" w:eastAsia="Arial" w:hAnsi="Arial"/>
          <w:b/>
          <w:bCs/>
          <w:color w:val="1A1A2E"/>
          <w:sz w:val="24"/>
          <w:szCs w:val="24"/>
        </w:rPr>
        <w:t xml:space="preserve">Why It Matters</w:t>
      </w:r>
    </w:p>
    <w:p>
      <w:pPr>
        <w:pStyle w:val="ListParagraph"/>
        <w:numPr>
          <w:ilvl w:val="0"/>
          <w:numId w:val="2"/>
        </w:numPr>
        <w:spacing w:before="40" w:after="40"/>
      </w:pPr>
      <w:r>
        <w:rPr>
          <w:rFonts w:ascii="Arial" w:cs="Arial" w:eastAsia="Arial" w:hAnsi="Arial"/>
          <w:sz w:val="22"/>
          <w:szCs w:val="22"/>
        </w:rPr>
        <w:t xml:space="preserve">3-point frequency is the single biggest driver of scoring variance, explaining ~50% of simulated game variance (FanSided, 500-season simulation study).</w:t>
      </w:r>
    </w:p>
    <w:p>
      <w:pPr>
        <w:pStyle w:val="ListParagraph"/>
        <w:numPr>
          <w:ilvl w:val="0"/>
          <w:numId w:val="2"/>
        </w:numPr>
        <w:spacing w:before="40" w:after="40"/>
      </w:pPr>
      <w:r>
        <w:rPr>
          <w:rFonts w:ascii="Arial" w:cs="Arial" w:eastAsia="Arial" w:hAnsi="Arial"/>
          <w:sz w:val="22"/>
          <w:szCs w:val="22"/>
        </w:rPr>
        <w:t xml:space="preserve">High VVI + trailing team = buy signal amplifier. Low VVI + trailing team = reduce confidence in Core KairosEdge signal.</w:t>
      </w:r>
    </w:p>
    <w:p>
      <w:pPr>
        <w:pStyle w:val="ListParagraph"/>
        <w:numPr>
          <w:ilvl w:val="0"/>
          <w:numId w:val="2"/>
        </w:numPr>
        <w:spacing w:before="40" w:after="40"/>
      </w:pPr>
      <w:r>
        <w:rPr>
          <w:rFonts w:ascii="Arial" w:cs="Arial" w:eastAsia="Arial" w:hAnsi="Arial"/>
          <w:sz w:val="22"/>
          <w:szCs w:val="22"/>
        </w:rPr>
        <w:t xml:space="preserve">The modern NBA produces more 20-point comebacks (32 in 2023–24 vs 5–12 historically) precisely because VVI has risen — more 3s, more turnovers, more volatility.</w:t>
      </w:r>
    </w:p>
    <w:p>
      <w:pPr>
        <w:pStyle w:val="ListParagraph"/>
        <w:numPr>
          <w:ilvl w:val="0"/>
          <w:numId w:val="2"/>
        </w:numPr>
        <w:spacing w:before="40" w:after="40"/>
      </w:pPr>
      <w:r>
        <w:rPr>
          <w:rFonts w:ascii="Arial" w:cs="Arial" w:eastAsia="Arial" w:hAnsi="Arial"/>
          <w:sz w:val="22"/>
          <w:szCs w:val="22"/>
        </w:rPr>
        <w:t xml:space="preserve">VVI directly informs whether σ should be adjusted in the Market Edge fair value calculation.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HIGH — build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Live box score API — 3PA rate, TOV rate, FTA rate, OREB rate. All real-time.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FanSided variance simulation, ESPN comeback data, Gabel &amp; Redner (2012) Brownian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Supports trade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trailing-team trade types — VVI quantifies comeback runway universally</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8B3A1A" w:val="clear"/>
            <w:tcMar>
              <w:top w:type="dxa" w:w="160"/>
              <w:left w:type="dxa" w:w="200"/>
              <w:bottom w:type="dxa" w:w="160"/>
              <w:right w:type="dxa" w:w="120"/>
            </w:tcMar>
          </w:tcPr>
          <w:p>
            <w:r>
              <w:rPr>
                <w:rFonts w:ascii="Arial" w:cs="Arial" w:eastAsia="Arial" w:hAnsi="Arial"/>
                <w:b/>
                <w:bCs/>
                <w:color w:val="FFFFFF"/>
                <w:sz w:val="32"/>
                <w:szCs w:val="32"/>
              </w:rPr>
              <w:t xml:space="preserve">FPI — Foul Pressure Indicator</w:t>
            </w:r>
          </w:p>
          <w:p>
            <w:r>
              <w:rPr>
                <w:rFonts w:ascii="Arial" w:cs="Arial" w:eastAsia="Arial" w:hAnsi="Arial"/>
                <w:color w:val="FFFFFF"/>
                <w:sz w:val="20"/>
                <w:szCs w:val="20"/>
              </w:rPr>
              <w:t xml:space="preserve">Lineup degradation from foul trouble on star players</w:t>
            </w:r>
          </w:p>
        </w:tc>
        <w:tc>
          <w:tcPr>
            <w:tcW w:type="dxa" w:w="2860"/>
            <w:tcBorders>
              <w:top w:val="none" w:color="FFFFFF" w:sz="0"/>
              <w:left w:val="none" w:color="FFFFFF" w:sz="0"/>
              <w:bottom w:val="none" w:color="FFFFFF" w:sz="0"/>
              <w:right w:val="none" w:color="FFFFFF" w:sz="0"/>
            </w:tcBorders>
            <w:shd w:fill="8B3A1A"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Subpanel · Proposed</w:t>
            </w:r>
          </w:p>
          <w:p/>
        </w:tc>
      </w:tr>
    </w:tbl>
    <w:p/>
    <w:p>
      <w:pPr>
        <w:spacing w:before="60" w:after="80"/>
      </w:pPr>
      <w:r>
        <w:rPr>
          <w:rFonts w:ascii="Arial" w:cs="Arial" w:eastAsia="Arial" w:hAnsi="Arial"/>
          <w:sz w:val="22"/>
          <w:szCs w:val="22"/>
        </w:rPr>
        <w:t xml:space="preserve">FPI quantifies the cumulative impact of foul trouble on each team's effective lineup quality. It flags when a star player is in foul trouble, calculates the bench-adjusted lineup impact, and scores the probability that the team's scoring rate will decline due to star benching. Primary enabler of Trade Type 5 (Foul Trouble Overreaction).</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FPI_team = Σ [PlayerValue_i × FoulRisk_i × (1 − OnCourt_i)]</w:t>
      </w:r>
    </w:p>
    <w:p>
      <w:pPr>
        <w:spacing w:before="80" w:after="80"/>
        <w:ind w:left="720"/>
      </w:pPr>
      <w:r>
        <w:rPr>
          <w:rFonts w:ascii="Courier New" w:cs="Courier New" w:eastAsia="Courier New" w:hAnsi="Courier New"/>
          <w:color w:val="333333"/>
          <w:sz w:val="20"/>
          <w:szCs w:val="20"/>
        </w:rPr>
        <w:t xml:space="preserve">FoulRisk = (fouls / 6) × (48 − minutes_remaining) / 48</w:t>
      </w:r>
    </w:p>
    <w:p>
      <w:pPr>
        <w:spacing w:before="80" w:after="80"/>
        <w:ind w:left="720"/>
      </w:pPr>
      <w:r>
        <w:rPr>
          <w:rFonts w:ascii="Courier New" w:cs="Courier New" w:eastAsia="Courier New" w:hAnsi="Courier New"/>
          <w:color w:val="333333"/>
          <w:sz w:val="20"/>
          <w:szCs w:val="20"/>
        </w:rPr>
        <w:t xml:space="preserve">Q+1 Rule: if player fouls &gt; quarter_number → FOUL TROUBLE flag</w:t>
      </w:r>
    </w:p>
    <w:p/>
    <w:p>
      <w:pPr>
        <w:spacing w:before="200" w:after="80"/>
      </w:pPr>
      <w:r>
        <w:rPr>
          <w:rFonts w:ascii="Arial" w:cs="Arial" w:eastAsia="Arial" w:hAnsi="Arial"/>
          <w:b/>
          <w:bCs/>
          <w:color w:val="1A1A2E"/>
          <w:sz w:val="24"/>
          <w:szCs w:val="24"/>
        </w:rPr>
        <w:t xml:space="preserve">The Coaching Overreaction Problem</w:t>
      </w:r>
    </w:p>
    <w:p>
      <w:pPr>
        <w:spacing w:before="60" w:after="80"/>
      </w:pPr>
      <w:r>
        <w:rPr>
          <w:rFonts w:ascii="Arial" w:cs="Arial" w:eastAsia="Arial" w:hAnsi="Arial"/>
          <w:sz w:val="22"/>
          <w:szCs w:val="22"/>
        </w:rPr>
        <w:t xml:space="preserve">Maymin, Maymin &amp; Shen (2012, MIT Sloan) proved using option-pricing models that NBA coaches systematically over-bench players with early foul trouble — 'voluntarily imposing the penalty they are trying to avoid.' Data shows players averaging 25+ minutes per game foul out only 1.7% of the time. Even with 5 fouls in Q4, fouling out occurs just 20.6% of the time. Coaches bench stars for 4–8 minutes unnecessarily, degrading their team's lineup while the market prices the degraded lineup as permanent.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HIGH — build with Trade Type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ESPN play-by-play foul events with player ID and timestamp. Substitution events real-time. Player PER/BPM pre-computed from season data.</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Maymin et al. (2012), Chu &amp; Swartz survival models, NBAFoulTrouble.com 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Supports trade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Trade Type 5 (Foul Trouble Overreaction) — primary enabler. Also confirms Bench Depth Exploitation.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2C7B4A" w:val="clear"/>
            <w:tcMar>
              <w:top w:type="dxa" w:w="160"/>
              <w:left w:type="dxa" w:w="200"/>
              <w:bottom w:type="dxa" w:w="160"/>
              <w:right w:type="dxa" w:w="120"/>
            </w:tcMar>
          </w:tcPr>
          <w:p>
            <w:r>
              <w:rPr>
                <w:rFonts w:ascii="Arial" w:cs="Arial" w:eastAsia="Arial" w:hAnsi="Arial"/>
                <w:b/>
                <w:bCs/>
                <w:color w:val="FFFFFF"/>
                <w:sz w:val="32"/>
                <w:szCs w:val="32"/>
              </w:rPr>
              <w:t xml:space="preserve">NRΔ — Live Net Rating Delta</w:t>
            </w:r>
          </w:p>
          <w:p>
            <w:r>
              <w:rPr>
                <w:rFonts w:ascii="Arial" w:cs="Arial" w:eastAsia="Arial" w:hAnsi="Arial"/>
                <w:color w:val="FFFFFF"/>
                <w:sz w:val="20"/>
                <w:szCs w:val="20"/>
              </w:rPr>
              <w:t xml:space="preserve">Current performance vs season-average true quality</w:t>
            </w:r>
          </w:p>
        </w:tc>
        <w:tc>
          <w:tcPr>
            <w:tcW w:type="dxa" w:w="2860"/>
            <w:tcBorders>
              <w:top w:val="none" w:color="FFFFFF" w:sz="0"/>
              <w:left w:val="none" w:color="FFFFFF" w:sz="0"/>
              <w:bottom w:val="none" w:color="FFFFFF" w:sz="0"/>
              <w:right w:val="none" w:color="FFFFFF" w:sz="0"/>
            </w:tcBorders>
            <w:shd w:fill="2C7B4A"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Subpanel · Proposed</w:t>
            </w:r>
          </w:p>
          <w:p/>
        </w:tc>
      </w:tr>
    </w:tbl>
    <w:p/>
    <w:p>
      <w:pPr>
        <w:spacing w:before="60" w:after="80"/>
      </w:pPr>
      <w:r>
        <w:rPr>
          <w:rFonts w:ascii="Arial" w:cs="Arial" w:eastAsia="Arial" w:hAnsi="Arial"/>
          <w:sz w:val="22"/>
          <w:szCs w:val="22"/>
        </w:rPr>
        <w:t xml:space="preserve">NRΔ measures the gap between how a team is performing right now versus their season-average baseline. A team running a +8 net rating in a 5-minute window versus their season +2 average is performing 6 points above their true level — unsustainable. NRΔ is distinct from PA: PA measures process advantage, NRΔ measures output deviation.</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NRΔ_team = Live_NetRtg_window − Season_NetRtg</w:t>
      </w:r>
    </w:p>
    <w:p>
      <w:pPr>
        <w:spacing w:before="80" w:after="80"/>
        <w:ind w:left="720"/>
      </w:pPr>
      <w:r>
        <w:rPr>
          <w:rFonts w:ascii="Courier New" w:cs="Courier New" w:eastAsia="Courier New" w:hAnsi="Courier New"/>
          <w:color w:val="333333"/>
          <w:sz w:val="20"/>
          <w:szCs w:val="20"/>
        </w:rPr>
        <w:t xml:space="preserve">Live_NetRtg_window = (Pts_scored − Pts_allowed) / Poss_in_window × 100</w:t>
      </w:r>
    </w:p>
    <w:p>
      <w:pPr>
        <w:spacing w:before="80" w:after="80"/>
        <w:ind w:left="720"/>
      </w:pPr>
      <w:r>
        <w:rPr>
          <w:rFonts w:ascii="Courier New" w:cs="Courier New" w:eastAsia="Courier New" w:hAnsi="Courier New"/>
          <w:color w:val="333333"/>
          <w:sz w:val="20"/>
          <w:szCs w:val="20"/>
        </w:rPr>
        <w:t xml:space="preserve">Window: rolling 5 minutes (~10–12 possessions)</w:t>
      </w:r>
    </w:p>
    <w:p>
      <w:pPr>
        <w:spacing w:before="80" w:after="80"/>
        <w:ind w:left="720"/>
      </w:pPr>
      <w:r>
        <w:rPr>
          <w:rFonts w:ascii="Courier New" w:cs="Courier New" w:eastAsia="Courier New" w:hAnsi="Courier New"/>
          <w:color w:val="333333"/>
          <w:sz w:val="20"/>
          <w:szCs w:val="20"/>
        </w:rPr>
        <w:t xml:space="preserve">Possessions = FGA − OREB + TOV + 0.44 × FTA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Play-by-play points and possessions (real-time). Season net rating pre-computed from Basketball Reference or NBA.com.</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Dean Oliver’s Basketball on Paper, CraftedNBA luck-adjusted net rating methodology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Supports trade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Core KairosEdge (extreme NRΔ confirms regression thesis). Cold Favorite (NRΔ near zero despite cold shooting = structural lead).</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4A4A8B" w:val="clear"/>
            <w:tcMar>
              <w:top w:type="dxa" w:w="160"/>
              <w:left w:type="dxa" w:w="200"/>
              <w:bottom w:type="dxa" w:w="160"/>
              <w:right w:type="dxa" w:w="120"/>
            </w:tcMar>
          </w:tcPr>
          <w:p>
            <w:r>
              <w:rPr>
                <w:rFonts w:ascii="Arial" w:cs="Arial" w:eastAsia="Arial" w:hAnsi="Arial"/>
                <w:b/>
                <w:bCs/>
                <w:color w:val="FFFFFF"/>
                <w:sz w:val="32"/>
                <w:szCs w:val="32"/>
              </w:rPr>
              <w:t xml:space="preserve">TDU — Time Decay / Urgency Indicator</w:t>
            </w:r>
          </w:p>
          <w:p>
            <w:r>
              <w:rPr>
                <w:rFonts w:ascii="Arial" w:cs="Arial" w:eastAsia="Arial" w:hAnsi="Arial"/>
                <w:color w:val="FFFFFF"/>
                <w:sz w:val="20"/>
                <w:szCs w:val="20"/>
              </w:rPr>
              <w:t xml:space="preserve">How fast does the trailing team need to score?</w:t>
            </w:r>
          </w:p>
        </w:tc>
        <w:tc>
          <w:tcPr>
            <w:tcW w:type="dxa" w:w="2860"/>
            <w:tcBorders>
              <w:top w:val="none" w:color="FFFFFF" w:sz="0"/>
              <w:left w:val="none" w:color="FFFFFF" w:sz="0"/>
              <w:bottom w:val="none" w:color="FFFFFF" w:sz="0"/>
              <w:right w:val="none" w:color="FFFFFF" w:sz="0"/>
            </w:tcBorders>
            <w:shd w:fill="4A4A8B"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Subpanel · Proposed</w:t>
            </w:r>
          </w:p>
          <w:p/>
        </w:tc>
      </w:tr>
    </w:tbl>
    <w:p/>
    <w:p>
      <w:pPr>
        <w:spacing w:before="60" w:after="80"/>
      </w:pPr>
      <w:r>
        <w:rPr>
          <w:rFonts w:ascii="Arial" w:cs="Arial" w:eastAsia="Arial" w:hAnsi="Arial"/>
          <w:sz w:val="22"/>
          <w:szCs w:val="22"/>
        </w:rPr>
        <w:t xml:space="preserve">TDU calculates the required scoring rate for the trailing team to overcome their deficit, compared to historically achievable rates. It provides a 'human-readable' urgency signal and detects when games have mathematically moved from 'possible comeback' to 'effectively dead' — a category the market often prices too slowly.</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Required_PPM = Deficit / Minutes_Remaining</w:t>
      </w:r>
    </w:p>
    <w:p>
      <w:pPr>
        <w:spacing w:before="80" w:after="80"/>
        <w:ind w:left="720"/>
      </w:pPr>
      <w:r>
        <w:rPr>
          <w:rFonts w:ascii="Courier New" w:cs="Courier New" w:eastAsia="Courier New" w:hAnsi="Courier New"/>
          <w:color w:val="333333"/>
          <w:sz w:val="20"/>
          <w:szCs w:val="20"/>
        </w:rPr>
        <w:t xml:space="preserve">Urgency_Index = (Deficit − possession_adjustment) / √(minutes_remaining)</w:t>
      </w:r>
    </w:p>
    <w:p>
      <w:pPr>
        <w:spacing w:before="80" w:after="80"/>
        <w:ind w:left="720"/>
      </w:pPr>
      <w:r>
        <w:rPr>
          <w:rFonts w:ascii="Courier New" w:cs="Courier New" w:eastAsia="Courier New" w:hAnsi="Courier New"/>
          <w:color w:val="333333"/>
          <w:sz w:val="20"/>
          <w:szCs w:val="20"/>
        </w:rPr>
        <w:t xml:space="preserve">Historical max sustainable: ~1.8–2.0 PPM (5-minute burst rate)</w:t>
      </w:r>
    </w:p>
    <w:p>
      <w:pPr>
        <w:spacing w:before="80" w:after="80"/>
        <w:ind w:left="720"/>
      </w:pPr>
      <w:r>
        <w:rPr>
          <w:rFonts w:ascii="Courier New" w:cs="Courier New" w:eastAsia="Courier New" w:hAnsi="Courier New"/>
          <w:color w:val="333333"/>
          <w:sz w:val="20"/>
          <w:szCs w:val="20"/>
        </w:rPr>
        <w:t xml:space="preserve">NBA average scoring rate: ~1.1 PPM per team</w:t>
      </w:r>
    </w:p>
    <w:p/>
    <w:p>
      <w:pPr>
        <w:spacing w:before="200" w:after="80"/>
      </w:pPr>
      <w:r>
        <w:rPr>
          <w:rFonts w:ascii="Arial" w:cs="Arial" w:eastAsia="Arial" w:hAnsi="Arial"/>
          <w:b/>
          <w:bCs/>
          <w:color w:val="1A1A2E"/>
          <w:sz w:val="24"/>
          <w:szCs w:val="24"/>
        </w:rPr>
        <w:t xml:space="preserve">Historical Comeback Rates (from 14 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Down 3 after Q3</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~40% home team win rate, ~27% road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Down 6 after Q3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~25% home, ~16% road</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Down 10 after Q3</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~11% home, ~6% road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Down 15 after Q3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~3.4% home, ~1.5% road</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Down 20 after Q3</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~0.7% home, ~0.2% road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HIGH — trivial to compute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Score differential and game clock from any live scoreboard feed</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Harvard Sports Analysis Collective, Albert Kuo minute-by-minute probability heatmaps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Supports trade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Dead game detection (exit positions). Urgency inflection (aggressive short when TDU crosses from achievable to near-impossible).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6B5A1A" w:val="clear"/>
            <w:tcMar>
              <w:top w:type="dxa" w:w="160"/>
              <w:left w:type="dxa" w:w="200"/>
              <w:bottom w:type="dxa" w:w="160"/>
              <w:right w:type="dxa" w:w="120"/>
            </w:tcMar>
          </w:tcPr>
          <w:p>
            <w:r>
              <w:rPr>
                <w:rFonts w:ascii="Arial" w:cs="Arial" w:eastAsia="Arial" w:hAnsi="Arial"/>
                <w:b/>
                <w:bCs/>
                <w:color w:val="FFFFFF"/>
                <w:sz w:val="32"/>
                <w:szCs w:val="32"/>
              </w:rPr>
              <w:t xml:space="preserve">FLI — Fatigue / Load Indicator</w:t>
            </w:r>
          </w:p>
          <w:p>
            <w:r>
              <w:rPr>
                <w:rFonts w:ascii="Arial" w:cs="Arial" w:eastAsia="Arial" w:hAnsi="Arial"/>
                <w:color w:val="FFFFFF"/>
                <w:sz w:val="20"/>
                <w:szCs w:val="20"/>
              </w:rPr>
              <w:t xml:space="preserve">Cumulative fatigue from scheduling, travel, and in-game minutes</w:t>
            </w:r>
          </w:p>
        </w:tc>
        <w:tc>
          <w:tcPr>
            <w:tcW w:type="dxa" w:w="2860"/>
            <w:tcBorders>
              <w:top w:val="none" w:color="FFFFFF" w:sz="0"/>
              <w:left w:val="none" w:color="FFFFFF" w:sz="0"/>
              <w:bottom w:val="none" w:color="FFFFFF" w:sz="0"/>
              <w:right w:val="none" w:color="FFFFFF" w:sz="0"/>
            </w:tcBorders>
            <w:shd w:fill="6B5A1A"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Subpanel · Proposed</w:t>
            </w:r>
          </w:p>
          <w:p/>
        </w:tc>
      </w:tr>
    </w:tbl>
    <w:p/>
    <w:p>
      <w:pPr>
        <w:spacing w:before="60" w:after="80"/>
      </w:pPr>
      <w:r>
        <w:rPr>
          <w:rFonts w:ascii="Arial" w:cs="Arial" w:eastAsia="Arial" w:hAnsi="Arial"/>
          <w:sz w:val="22"/>
          <w:szCs w:val="22"/>
        </w:rPr>
        <w:t xml:space="preserve">FLI quantifies fatigue from scheduling and travel, primarily for back-to-back game identification. Fatigue effects are nonlinear — they compound through the game rather than applying uniformly from tip-off. FLI is the primary enabler of Trade Type 6 (Back-to-Back Fatigue Compounding).</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FLI = w₁ × B2B_flag + w₂ × travel_distance_km + w₃ × star_minutes_last_48h + w₄ × pace_this_game</w:t>
      </w:r>
    </w:p>
    <w:p/>
    <w:p>
      <w:pPr>
        <w:spacing w:before="200" w:after="80"/>
      </w:pPr>
      <w:r>
        <w:rPr>
          <w:rFonts w:ascii="Arial" w:cs="Arial" w:eastAsia="Arial" w:hAnsi="Arial"/>
          <w:b/>
          <w:bCs/>
          <w:color w:val="1A1A2E"/>
          <w:sz w:val="24"/>
          <w:szCs w:val="24"/>
        </w:rPr>
        <w:t xml:space="preserve">Key Research Findings</w:t>
      </w:r>
    </w:p>
    <w:p>
      <w:pPr>
        <w:pStyle w:val="ListParagraph"/>
        <w:numPr>
          <w:ilvl w:val="0"/>
          <w:numId w:val="2"/>
        </w:numPr>
        <w:spacing w:before="40" w:after="40"/>
      </w:pPr>
      <w:r>
        <w:rPr>
          <w:rFonts w:ascii="Arial" w:cs="Arial" w:eastAsia="Arial" w:hAnsi="Arial"/>
          <w:sz w:val="22"/>
          <w:szCs w:val="22"/>
        </w:rPr>
        <w:t xml:space="preserve">Away-Away B2B win rate: 39.2% vs Away-Home at 54.4% (Charest et al., 2021 — JCSM).</w:t>
      </w:r>
    </w:p>
    <w:p>
      <w:pPr>
        <w:pStyle w:val="ListParagraph"/>
        <w:numPr>
          <w:ilvl w:val="0"/>
          <w:numId w:val="2"/>
        </w:numPr>
        <w:spacing w:before="40" w:after="40"/>
      </w:pPr>
      <w:r>
        <w:rPr>
          <w:rFonts w:ascii="Arial" w:cs="Arial" w:eastAsia="Arial" w:hAnsi="Arial"/>
          <w:sz w:val="22"/>
          <w:szCs w:val="22"/>
        </w:rPr>
        <w:t xml:space="preserve">Teams on zero rest days score 1.1–1.6 fewer points per game (Entine &amp; Small, 2008 — JQAS).</w:t>
      </w:r>
    </w:p>
    <w:p>
      <w:pPr>
        <w:pStyle w:val="ListParagraph"/>
        <w:numPr>
          <w:ilvl w:val="0"/>
          <w:numId w:val="2"/>
        </w:numPr>
        <w:spacing w:before="40" w:after="40"/>
      </w:pPr>
      <w:r>
        <w:rPr>
          <w:rFonts w:ascii="Arial" w:cs="Arial" w:eastAsia="Arial" w:hAnsi="Arial"/>
          <w:sz w:val="22"/>
          <w:szCs w:val="22"/>
        </w:rPr>
        <w:t xml:space="preserve">Cross-country travel on B2B is the most detrimental combination. Rest penalty estimated at 1.25 points after corrections.</w:t>
      </w:r>
    </w:p>
    <w:p>
      <w:pPr>
        <w:pStyle w:val="ListParagraph"/>
        <w:numPr>
          <w:ilvl w:val="0"/>
          <w:numId w:val="2"/>
        </w:numPr>
        <w:spacing w:before="40" w:after="40"/>
      </w:pPr>
      <w:r>
        <w:rPr>
          <w:rFonts w:ascii="Arial" w:cs="Arial" w:eastAsia="Arial" w:hAnsi="Arial"/>
          <w:sz w:val="22"/>
          <w:szCs w:val="22"/>
        </w:rPr>
        <w:t xml:space="preserve">Performance decline is steeper in Q3/Q4 than Q1/Q2 — fatigue compounds, it doesn’t apply uniformly.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MEDIUM-HIGH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NBA schedule (public). ESPN game logs for rest days. Travel distance calculable from city coordinates.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Charest et al. (2021), Entine &amp; Small (2008), CMU Capstone load management study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Supports trade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Trade Type 6: Back-to-Back Fatigue Compounding (primary enabler)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3A5B3A" w:val="clear"/>
            <w:tcMar>
              <w:top w:type="dxa" w:w="160"/>
              <w:left w:type="dxa" w:w="200"/>
              <w:bottom w:type="dxa" w:w="160"/>
              <w:right w:type="dxa" w:w="120"/>
            </w:tcMar>
          </w:tcPr>
          <w:p>
            <w:r>
              <w:rPr>
                <w:rFonts w:ascii="Arial" w:cs="Arial" w:eastAsia="Arial" w:hAnsi="Arial"/>
                <w:b/>
                <w:bCs/>
                <w:color w:val="FFFFFF"/>
                <w:sz w:val="32"/>
                <w:szCs w:val="32"/>
              </w:rPr>
              <w:t xml:space="preserve">LQD — Lineup Quality Differential</w:t>
            </w:r>
          </w:p>
          <w:p>
            <w:r>
              <w:rPr>
                <w:rFonts w:ascii="Arial" w:cs="Arial" w:eastAsia="Arial" w:hAnsi="Arial"/>
                <w:color w:val="FFFFFF"/>
                <w:sz w:val="20"/>
                <w:szCs w:val="20"/>
              </w:rPr>
              <w:t xml:space="preserve">Real-time quality of current five-man lineup vs optimal</w:t>
            </w:r>
          </w:p>
        </w:tc>
        <w:tc>
          <w:tcPr>
            <w:tcW w:type="dxa" w:w="2860"/>
            <w:tcBorders>
              <w:top w:val="none" w:color="FFFFFF" w:sz="0"/>
              <w:left w:val="none" w:color="FFFFFF" w:sz="0"/>
              <w:bottom w:val="none" w:color="FFFFFF" w:sz="0"/>
              <w:right w:val="none" w:color="FFFFFF" w:sz="0"/>
            </w:tcBorders>
            <w:shd w:fill="3A5B3A"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Subpanel · Proposed</w:t>
            </w:r>
          </w:p>
          <w:p/>
        </w:tc>
      </w:tr>
    </w:tbl>
    <w:p/>
    <w:p>
      <w:pPr>
        <w:spacing w:before="60" w:after="80"/>
      </w:pPr>
      <w:r>
        <w:rPr>
          <w:rFonts w:ascii="Arial" w:cs="Arial" w:eastAsia="Arial" w:hAnsi="Arial"/>
          <w:sz w:val="22"/>
          <w:szCs w:val="22"/>
        </w:rPr>
        <w:t xml:space="preserve">LQD scores the quality of each team's current five-man lineup against their season-best lineup, identifying lineup degradation in real time. Most valuable when starters sit and bench units play, quantifying the magnitude of the quality drop.</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LQD = Lineup_Score_A − Lineup_Score_B</w:t>
      </w:r>
    </w:p>
    <w:p>
      <w:pPr>
        <w:spacing w:before="80" w:after="80"/>
        <w:ind w:left="720"/>
      </w:pPr>
      <w:r>
        <w:rPr>
          <w:rFonts w:ascii="Courier New" w:cs="Courier New" w:eastAsia="Courier New" w:hAnsi="Courier New"/>
          <w:color w:val="333333"/>
          <w:sz w:val="20"/>
          <w:szCs w:val="20"/>
        </w:rPr>
        <w:t xml:space="preserve">Lineup_Score = Σ(BPM_i × minutes_weight_i) for current 5 players</w:t>
      </w:r>
    </w:p>
    <w:p>
      <w:pPr>
        <w:spacing w:before="80" w:after="80"/>
        <w:ind w:left="720"/>
      </w:pPr>
      <w:r>
        <w:rPr>
          <w:rFonts w:ascii="Courier New" w:cs="Courier New" w:eastAsia="Courier New" w:hAnsi="Courier New"/>
          <w:color w:val="333333"/>
          <w:sz w:val="20"/>
          <w:szCs w:val="20"/>
        </w:rPr>
        <w:t xml:space="preserve">Fallback: avg(Player_BPM) − position_baseline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5E6C8" w:val="clear"/>
            <w:tcMar>
              <w:top w:type="dxa" w:w="100"/>
              <w:left w:type="dxa" w:w="180"/>
              <w:bottom w:type="dxa" w:w="100"/>
              <w:right w:type="dxa" w:w="180"/>
            </w:tcMar>
          </w:tcPr>
          <w:p>
            <w:r>
              <w:rPr>
                <w:rFonts w:ascii="Arial" w:cs="Arial" w:eastAsia="Arial" w:hAnsi="Arial"/>
                <w:i/>
                <w:iCs/>
                <w:sz w:val="21"/>
                <w:szCs w:val="21"/>
              </w:rPr>
              <w:t xml:space="preserve">Most 5-man lineups have fewer than 100 minutes together per season. Median unit plays ~50 minutes, making specific 5-man historical net ratings unreliable. The additive player-value model (sum of BPMs) is more robust than specific lineup data at small sample sizes.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Play-by-play substitution events (real-time). Player BPM/RAPTOR pre-computed from Basketball Reference.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NBA.com lineup data — starter/bench net rating swings of +15 to -20 per 100 possessions documented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Supports trade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Bench Depth Exploitation, Foul Trouble Overreaction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8B4A8B" w:val="clear"/>
            <w:tcMar>
              <w:top w:type="dxa" w:w="160"/>
              <w:left w:type="dxa" w:w="200"/>
              <w:bottom w:type="dxa" w:w="160"/>
              <w:right w:type="dxa" w:w="120"/>
            </w:tcMar>
          </w:tcPr>
          <w:p>
            <w:r>
              <w:rPr>
                <w:rFonts w:ascii="Arial" w:cs="Arial" w:eastAsia="Arial" w:hAnsi="Arial"/>
                <w:b/>
                <w:bCs/>
                <w:color w:val="FFFFFF"/>
                <w:sz w:val="32"/>
                <w:szCs w:val="32"/>
              </w:rPr>
              <w:t xml:space="preserve">SQI — Shot Quality Indicator</w:t>
            </w:r>
          </w:p>
          <w:p>
            <w:r>
              <w:rPr>
                <w:rFonts w:ascii="Arial" w:cs="Arial" w:eastAsia="Arial" w:hAnsi="Arial"/>
                <w:color w:val="FFFFFF"/>
                <w:sz w:val="20"/>
                <w:szCs w:val="20"/>
              </w:rPr>
              <w:t xml:space="preserve">Is the eFG% due to shot selection or shot-making?</w:t>
            </w:r>
          </w:p>
        </w:tc>
        <w:tc>
          <w:tcPr>
            <w:tcW w:type="dxa" w:w="2860"/>
            <w:tcBorders>
              <w:top w:val="none" w:color="FFFFFF" w:sz="0"/>
              <w:left w:val="none" w:color="FFFFFF" w:sz="0"/>
              <w:bottom w:val="none" w:color="FFFFFF" w:sz="0"/>
              <w:right w:val="none" w:color="FFFFFF" w:sz="0"/>
            </w:tcBorders>
            <w:shd w:fill="8B4A8B"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Subpanel · Proposed</w:t>
            </w:r>
          </w:p>
          <w:p/>
        </w:tc>
      </w:tr>
    </w:tbl>
    <w:p/>
    <w:p>
      <w:pPr>
        <w:spacing w:before="60" w:after="80"/>
      </w:pPr>
      <w:r>
        <w:rPr>
          <w:rFonts w:ascii="Arial" w:cs="Arial" w:eastAsia="Arial" w:hAnsi="Arial"/>
          <w:sz w:val="22"/>
          <w:szCs w:val="22"/>
        </w:rPr>
        <w:t xml:space="preserve">SQI decomposes eFG% into two components: shot quality (the quality of looks being generated) and shot-making (making shots above expected). High shot-making delta = hitting tough shots above expected rate = regression likely. High shot quality = generating easy looks = more sustainable. SQI explains WHY the HRS is elevated, making regression predictions more accurate.</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xeFG = Σ (shots_in_zone_i × league_avg_eFG_zone_i) / total_FGA</w:t>
      </w:r>
    </w:p>
    <w:p>
      <w:pPr>
        <w:spacing w:before="80" w:after="80"/>
        <w:ind w:left="720"/>
      </w:pPr>
      <w:r>
        <w:rPr>
          <w:rFonts w:ascii="Courier New" w:cs="Courier New" w:eastAsia="Courier New" w:hAnsi="Courier New"/>
          <w:color w:val="333333"/>
          <w:sz w:val="20"/>
          <w:szCs w:val="20"/>
        </w:rPr>
        <w:t xml:space="preserve">Shot_Making_Delta = Actual_eFG% − xeFG%</w:t>
      </w:r>
    </w:p>
    <w:p>
      <w:pPr>
        <w:spacing w:before="80" w:after="80"/>
        <w:ind w:left="720"/>
      </w:pPr>
      <w:r>
        <w:rPr>
          <w:rFonts w:ascii="Courier New" w:cs="Courier New" w:eastAsia="Courier New" w:hAnsi="Courier New"/>
          <w:color w:val="333333"/>
          <w:sz w:val="20"/>
          <w:szCs w:val="20"/>
        </w:rPr>
        <w:t xml:space="preserve">SQI = xeFG% − Season_avg_eFG%</w:t>
      </w:r>
    </w:p>
    <w:p/>
    <w:p>
      <w:pPr>
        <w:spacing w:before="200" w:after="80"/>
      </w:pPr>
      <w:r>
        <w:rPr>
          <w:rFonts w:ascii="Arial" w:cs="Arial" w:eastAsia="Arial" w:hAnsi="Arial"/>
          <w:b/>
          <w:bCs/>
          <w:color w:val="1A1A2E"/>
          <w:sz w:val="24"/>
          <w:szCs w:val="24"/>
        </w:rPr>
        <w:t xml:space="preserve">Zone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Restricted Area</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~63% FG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Paint (non-RA)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~41% FG rate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Mid-range</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~42% FG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Corner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~39% FG (~58.5% eFG)</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Above-break 3</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~36% FG (~54% eFG)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MEDIUM — simplified zone proxy viable; full tracking data requires Second Spectrum (NBA proprietary)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NBA.com shot chart API (zone-based, 30–60s delayed). Second Spectrum for full accuracy (not publicly available).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Chang et al. (MIT Sloan), Second Spectrum qSQ/qSI model (65% accuracy)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Supports trade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Core KairosEdge (SQI explains whether regression is imminent based on shot-making vs shot quality)</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5B5B" w:val="clear"/>
            <w:tcMar>
              <w:top w:type="dxa" w:w="160"/>
              <w:left w:type="dxa" w:w="200"/>
              <w:bottom w:type="dxa" w:w="160"/>
              <w:right w:type="dxa" w:w="120"/>
            </w:tcMar>
          </w:tcPr>
          <w:p>
            <w:r>
              <w:rPr>
                <w:rFonts w:ascii="Arial" w:cs="Arial" w:eastAsia="Arial" w:hAnsi="Arial"/>
                <w:b/>
                <w:bCs/>
                <w:color w:val="FFFFFF"/>
                <w:sz w:val="32"/>
                <w:szCs w:val="32"/>
              </w:rPr>
              <w:t xml:space="preserve">TRI — Transition Rate Indicator</w:t>
            </w:r>
          </w:p>
          <w:p>
            <w:r>
              <w:rPr>
                <w:rFonts w:ascii="Arial" w:cs="Arial" w:eastAsia="Arial" w:hAnsi="Arial"/>
                <w:color w:val="FFFFFF"/>
                <w:sz w:val="20"/>
                <w:szCs w:val="20"/>
              </w:rPr>
              <w:t xml:space="preserve">Fast-break frequency and efficiency differential</w:t>
            </w:r>
          </w:p>
        </w:tc>
        <w:tc>
          <w:tcPr>
            <w:tcW w:type="dxa" w:w="2860"/>
            <w:tcBorders>
              <w:top w:val="none" w:color="FFFFFF" w:sz="0"/>
              <w:left w:val="none" w:color="FFFFFF" w:sz="0"/>
              <w:bottom w:val="none" w:color="FFFFFF" w:sz="0"/>
              <w:right w:val="none" w:color="FFFFFF" w:sz="0"/>
            </w:tcBorders>
            <w:shd w:fill="1A5B5B"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Subpanel · Proposed</w:t>
            </w:r>
          </w:p>
          <w:p/>
        </w:tc>
      </w:tr>
    </w:tbl>
    <w:p/>
    <w:p>
      <w:pPr>
        <w:spacing w:before="60" w:after="80"/>
      </w:pPr>
      <w:r>
        <w:rPr>
          <w:rFonts w:ascii="Arial" w:cs="Arial" w:eastAsia="Arial" w:hAnsi="Arial"/>
          <w:sz w:val="22"/>
          <w:szCs w:val="22"/>
        </w:rPr>
        <w:t xml:space="preserve">TRI measures each team's rate of transition possessions versus half-court play, and the resulting efficiency differential. Trailing teams that create transition opportunities close deficits faster. TRI helps time exits — a team with high TRI can come back more quickly, suggesting holding positions longer.</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TRI = (Transition_Poss / Total_Poss) × (Transition_PPP − HalfCourt_PPP)</w:t>
      </w:r>
    </w:p>
    <w:p>
      <w:pPr>
        <w:spacing w:before="80" w:after="80"/>
        <w:ind w:left="720"/>
      </w:pPr>
      <w:r>
        <w:rPr>
          <w:rFonts w:ascii="Courier New" w:cs="Courier New" w:eastAsia="Courier New" w:hAnsi="Courier New"/>
          <w:color w:val="333333"/>
          <w:sz w:val="20"/>
          <w:szCs w:val="20"/>
        </w:rPr>
        <w:t xml:space="preserve">Proxy: (Steals + DRB_to_FG_within_8sec) / Total_Poss</w:t>
      </w:r>
    </w:p>
    <w:p/>
    <w:p>
      <w:pPr>
        <w:spacing w:before="60" w:after="80"/>
      </w:pPr>
      <w:r>
        <w:rPr>
          <w:rFonts w:ascii="Arial" w:cs="Arial" w:eastAsia="Arial" w:hAnsi="Arial"/>
          <w:sz w:val="22"/>
          <w:szCs w:val="22"/>
        </w:rPr>
        <w:t xml:space="preserve">Transition play is worth ~1.228 PPP vs half-court at ~1.084 PPP (Cleaning the Glass). That 13.3% efficiency premium is equivalent to moving from a bottom-10 to top-10 offense. A team generating high transition opportunities is compressing the effective deficit faster than the scoreboard shows.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MEDIUM — steals-based proxy is reliable; direct transition classification from play-by-play is imperfect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ESPN play-by-play (steals, fast break points tagged). NBA.com for transition efficiency by team (pre-game baseline).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Cleaning the Glass transition data, VU Hoops transition analysis, 13% PPP premium over half-court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Supports trade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Comeback acceleration detection across all trailing-team trade types</w:t>
            </w:r>
          </w:p>
        </w:tc>
      </w:tr>
    </w:tbl>
    <w:p/>
    <w:p/>
    <w:p>
      <w:pPr>
        <w:pBdr>
          <w:bottom w:val="single" w:color="C9A96E" w:sz="4" w:space="1"/>
        </w:pBdr>
        <w:spacing w:before="200" w:after="200"/>
      </w:pPr>
    </w:p>
    <w:p>
      <w:r>
        <w:br w:type="page"/>
      </w:r>
    </w:p>
    <w:p>
      <w:pPr>
        <w:pStyle w:val="Heading1"/>
        <w:spacing w:before="360" w:after="160"/>
      </w:pPr>
      <w:r>
        <w:rPr>
          <w:rFonts w:ascii="Arial" w:cs="Arial" w:eastAsia="Arial" w:hAnsi="Arial"/>
          <w:b/>
          <w:bCs/>
          <w:color w:val="1A1A2E"/>
          <w:sz w:val="36"/>
          <w:szCs w:val="36"/>
        </w:rPr>
        <w:t xml:space="preserve">Part 4: Proposed Overlay Indicators</w:t>
      </w:r>
    </w:p>
    <w:p>
      <w:pPr>
        <w:spacing w:before="60" w:after="80"/>
      </w:pPr>
      <w:r>
        <w:rPr>
          <w:rFonts w:ascii="Arial" w:cs="Arial" w:eastAsia="Arial" w:hAnsi="Arial"/>
          <w:sz w:val="22"/>
          <w:szCs w:val="22"/>
        </w:rPr>
        <w:t xml:space="preserve">Overlay indicators are drawn directly on the main ESX price chart — the live contract price candle chart. Unlike subpanel indicators which have their own charts, overlays share the same price scale as the candles themselves. Frank’s chart already has MA(5) and VWAP as live overlays. These are the proposed additions.</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C9A96E" w:val="clear"/>
            <w:tcMar>
              <w:top w:type="dxa" w:w="160"/>
              <w:left w:type="dxa" w:w="200"/>
              <w:bottom w:type="dxa" w:w="160"/>
              <w:right w:type="dxa" w:w="120"/>
            </w:tcMar>
          </w:tcPr>
          <w:p>
            <w:r>
              <w:rPr>
                <w:rFonts w:ascii="Arial" w:cs="Arial" w:eastAsia="Arial" w:hAnsi="Arial"/>
                <w:b/>
                <w:bCs/>
                <w:color w:val="FFFFFF"/>
                <w:sz w:val="32"/>
                <w:szCs w:val="32"/>
              </w:rPr>
              <w:t xml:space="preserve">Fair Value Band</w:t>
            </w:r>
          </w:p>
          <w:p>
            <w:r>
              <w:rPr>
                <w:rFonts w:ascii="Arial" w:cs="Arial" w:eastAsia="Arial" w:hAnsi="Arial"/>
                <w:color w:val="FFFFFF"/>
                <w:sz w:val="20"/>
                <w:szCs w:val="20"/>
              </w:rPr>
              <w:t xml:space="preserve">Model price vs market price — the edge made visible</w:t>
            </w:r>
          </w:p>
        </w:tc>
        <w:tc>
          <w:tcPr>
            <w:tcW w:type="dxa" w:w="2860"/>
            <w:tcBorders>
              <w:top w:val="none" w:color="FFFFFF" w:sz="0"/>
              <w:left w:val="none" w:color="FFFFFF" w:sz="0"/>
              <w:bottom w:val="none" w:color="FFFFFF" w:sz="0"/>
              <w:right w:val="none" w:color="FFFFFF" w:sz="0"/>
            </w:tcBorders>
            <w:shd w:fill="C9A96E"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Overlay · Priority 1</w:t>
            </w:r>
          </w:p>
          <w:p/>
        </w:tc>
      </w:tr>
    </w:tbl>
    <w:p/>
    <w:p>
      <w:pPr>
        <w:spacing w:before="60" w:after="80"/>
      </w:pPr>
      <w:r>
        <w:rPr>
          <w:rFonts w:ascii="Arial" w:cs="Arial" w:eastAsia="Arial" w:hAnsi="Arial"/>
          <w:sz w:val="22"/>
          <w:szCs w:val="22"/>
        </w:rPr>
        <w:t xml:space="preserve">The most important overlay in the system. The Brownian motion fair value (already computed by Market Edge subpanel) is displayed as a line directly on the price chart, with ±1σ and ±2σ confidence bands. The area between fair value and market price is shaded green when an edge exists (buy signal) and red when none exists. The band naturally funnels toward 0 or 100 as the game progresses, visually encoding time decay.</w:t>
      </w:r>
    </w:p>
    <w:p/>
    <w:p>
      <w:pPr>
        <w:spacing w:before="200" w:after="80"/>
      </w:pPr>
      <w:r>
        <w:rPr>
          <w:rFonts w:ascii="Arial" w:cs="Arial" w:eastAsia="Arial" w:hAnsi="Arial"/>
          <w:b/>
          <w:bCs/>
          <w:color w:val="1A1A2E"/>
          <w:sz w:val="24"/>
          <w:szCs w:val="24"/>
        </w:rPr>
        <w:t xml:space="preserve">Visual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Fair Value line</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Solid gold line — theoretical win probability from Stern (1994)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Market price 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Dashed white line — live ESX contract price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Green shading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FV &gt; Market price — edge exists, buy zone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Red shading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FV &lt; Market price — no edge, stay out</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±1σ band</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Inner confidence band — normal model uncertainty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±2σ band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Outer band — statistically significant edge when price exits this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Band width</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Narrows as game progresses — less time = less uncertainty = tighter band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5E6C8" w:val="clear"/>
            <w:tcMar>
              <w:top w:type="dxa" w:w="100"/>
              <w:left w:type="dxa" w:w="180"/>
              <w:bottom w:type="dxa" w:w="100"/>
              <w:right w:type="dxa" w:w="180"/>
            </w:tcMar>
          </w:tcPr>
          <w:p>
            <w:r>
              <w:rPr>
                <w:rFonts w:ascii="Arial" w:cs="Arial" w:eastAsia="Arial" w:hAnsi="Arial"/>
                <w:i/>
                <w:iCs/>
                <w:sz w:val="21"/>
                <w:szCs w:val="21"/>
              </w:rPr>
              <w:t xml:space="preserve">This overlay transforms the main chart from a passive price display into an active edge-identification tool. Every trade type’s edge is ultimately visible here — fair value rising above market price is the universal BUY signal across all trade types.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HIGH — build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Already available — Stern (1994) model output, score differential, game clock</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Trading decision</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Edge magnitude, entry timing, statistical confidence of the signal</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2C5F2C" w:val="clear"/>
            <w:tcMar>
              <w:top w:type="dxa" w:w="160"/>
              <w:left w:type="dxa" w:w="200"/>
              <w:bottom w:type="dxa" w:w="160"/>
              <w:right w:type="dxa" w:w="120"/>
            </w:tcMar>
          </w:tcPr>
          <w:p>
            <w:r>
              <w:rPr>
                <w:rFonts w:ascii="Arial" w:cs="Arial" w:eastAsia="Arial" w:hAnsi="Arial"/>
                <w:b/>
                <w:bCs/>
                <w:color w:val="FFFFFF"/>
                <w:sz w:val="32"/>
                <w:szCs w:val="32"/>
              </w:rPr>
              <w:t xml:space="preserve">Entry / Exit Zone Shading</w:t>
            </w:r>
          </w:p>
          <w:p>
            <w:r>
              <w:rPr>
                <w:rFonts w:ascii="Arial" w:cs="Arial" w:eastAsia="Arial" w:hAnsi="Arial"/>
                <w:color w:val="FFFFFF"/>
                <w:sz w:val="20"/>
                <w:szCs w:val="20"/>
              </w:rPr>
              <w:t xml:space="preserve">Horizontal bands marking trade execution zones</w:t>
            </w:r>
          </w:p>
        </w:tc>
        <w:tc>
          <w:tcPr>
            <w:tcW w:type="dxa" w:w="2860"/>
            <w:tcBorders>
              <w:top w:val="none" w:color="FFFFFF" w:sz="0"/>
              <w:left w:val="none" w:color="FFFFFF" w:sz="0"/>
              <w:bottom w:val="none" w:color="FFFFFF" w:sz="0"/>
              <w:right w:val="none" w:color="FFFFFF" w:sz="0"/>
            </w:tcBorders>
            <w:shd w:fill="2C5F2C"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Overlay · Priority 2</w:t>
            </w:r>
          </w:p>
          <w:p/>
        </w:tc>
      </w:tr>
    </w:tbl>
    <w:p/>
    <w:p>
      <w:pPr>
        <w:spacing w:before="60" w:after="80"/>
      </w:pPr>
      <w:r>
        <w:rPr>
          <w:rFonts w:ascii="Arial" w:cs="Arial" w:eastAsia="Arial" w:hAnsi="Arial"/>
          <w:sz w:val="22"/>
          <w:szCs w:val="22"/>
        </w:rPr>
        <w:t xml:space="preserve">Static horizontal shaded bands marking the 30¢–45¢ prime entry zone, secondary zones, and exit targets. Rendered behind candles so price action remains visible. Provides immediate visual context for where the contract price is relative to optimal execution ranges.</w:t>
      </w:r>
    </w:p>
    <w:p/>
    <w:p>
      <w:pPr>
        <w:spacing w:before="200" w:after="80"/>
      </w:pPr>
      <w:r>
        <w:rPr>
          <w:rFonts w:ascii="Arial" w:cs="Arial" w:eastAsia="Arial" w:hAnsi="Arial"/>
          <w:b/>
          <w:bCs/>
          <w:color w:val="1A1A2E"/>
          <w:sz w:val="24"/>
          <w:szCs w:val="24"/>
        </w:rPr>
        <w:t xml:space="preserve">Zone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Prime Entry (30¢–45¢)</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Green at 15% opacity — core buy zone. EV gate most likely met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Secondary Entry (20¢–30¢)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Light green at 8% opacity — check EV gate carefully. Deficit likely too large.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Dead Zone (45¢–55¢)</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Gray at 5% opacity — no edge. Market correctly pricing a close game.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Exit Target (55¢–70¢)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Blue at 10% opacity — fair value has been reached or exceeded. Exit here.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Danger Zone (&gt;75¢)</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Red at 8% opacity — held too long. Contract overpriced, exit immediately.</w:t>
            </w:r>
          </w:p>
        </w:tc>
      </w:tr>
    </w:tbl>
    <w:p/>
    <w:p>
      <w:pPr>
        <w:spacing w:before="60" w:after="80"/>
      </w:pPr>
      <w:r>
        <w:rPr>
          <w:rFonts w:ascii="Arial" w:cs="Arial" w:eastAsia="Arial" w:hAnsi="Arial"/>
          <w:sz w:val="22"/>
          <w:szCs w:val="22"/>
        </w:rPr>
        <w:t xml:space="preserve">Zones can be made dynamic: in Q4, the prime entry zone compresses to 20¢–35¢ as convergence to terminal value accelerates. This is optional and requires only the game clock.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HIGH — trivial to implement, zero computational overhead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None for static zones. Game clock only for dynamic zones.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Trading decision</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Entry discipline, exit targets, position management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6B1A" w:val="clear"/>
            <w:tcMar>
              <w:top w:type="dxa" w:w="160"/>
              <w:left w:type="dxa" w:w="200"/>
              <w:bottom w:type="dxa" w:w="160"/>
              <w:right w:type="dxa" w:w="120"/>
            </w:tcMar>
          </w:tcPr>
          <w:p>
            <w:r>
              <w:rPr>
                <w:rFonts w:ascii="Arial" w:cs="Arial" w:eastAsia="Arial" w:hAnsi="Arial"/>
                <w:b/>
                <w:bCs/>
                <w:color w:val="FFFFFF"/>
                <w:sz w:val="32"/>
                <w:szCs w:val="32"/>
              </w:rPr>
              <w:t xml:space="preserve">Signal Trigger Markers</w:t>
            </w:r>
          </w:p>
          <w:p>
            <w:r>
              <w:rPr>
                <w:rFonts w:ascii="Arial" w:cs="Arial" w:eastAsia="Arial" w:hAnsi="Arial"/>
                <w:color w:val="FFFFFF"/>
                <w:sz w:val="20"/>
                <w:szCs w:val="20"/>
              </w:rPr>
              <w:t xml:space="preserve">Visual flags on candles when BUY/SELL signals fire</w:t>
            </w:r>
          </w:p>
        </w:tc>
        <w:tc>
          <w:tcPr>
            <w:tcW w:type="dxa" w:w="2860"/>
            <w:tcBorders>
              <w:top w:val="none" w:color="FFFFFF" w:sz="0"/>
              <w:left w:val="none" w:color="FFFFFF" w:sz="0"/>
              <w:bottom w:val="none" w:color="FFFFFF" w:sz="0"/>
              <w:right w:val="none" w:color="FFFFFF" w:sz="0"/>
            </w:tcBorders>
            <w:shd w:fill="1A6B1A"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Overlay · Priority 3</w:t>
            </w:r>
          </w:p>
          <w:p/>
        </w:tc>
      </w:tr>
    </w:tbl>
    <w:p/>
    <w:p>
      <w:pPr>
        <w:spacing w:before="60" w:after="80"/>
      </w:pPr>
      <w:r>
        <w:rPr>
          <w:rFonts w:ascii="Arial" w:cs="Arial" w:eastAsia="Arial" w:hAnsi="Arial"/>
          <w:sz w:val="22"/>
          <w:szCs w:val="22"/>
        </w:rPr>
        <w:t xml:space="preserve">Annotated markers placed directly on the price candle at the exact moment a BUY or EXIT signal fires. Each marker includes signal name, edge size, and confidence. Essential for execution discipline and post-trade review.</w:t>
      </w:r>
    </w:p>
    <w:p/>
    <w:p>
      <w:pPr>
        <w:spacing w:before="200" w:after="80"/>
      </w:pPr>
      <w:r>
        <w:rPr>
          <w:rFonts w:ascii="Arial" w:cs="Arial" w:eastAsia="Arial" w:hAnsi="Arial"/>
          <w:b/>
          <w:bCs/>
          <w:color w:val="1A1A2E"/>
          <w:sz w:val="24"/>
          <w:szCs w:val="24"/>
        </w:rPr>
        <w:t xml:space="preserve">Marker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Strong BUY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 large green arrow — label: ‘BUY 38¢ · Edge: 12¢ · Conf: 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Moderate BUY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small green arrow — label: ‘BUY 42¢ · Edge: 7¢’</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EXIT</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 red arrow — label: ‘EXIT 62¢ · +24¢ P/L’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Fair Value Shift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gold diamond — label: ‘FV→47¢’</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Risk Alert</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 red warning — label: ‘Vol spike / Spread widening’</w:t>
            </w:r>
          </w:p>
        </w:tc>
      </w:tr>
    </w:tbl>
    <w:p/>
    <w:p>
      <w:pPr>
        <w:pStyle w:val="ListParagraph"/>
        <w:numPr>
          <w:ilvl w:val="0"/>
          <w:numId w:val="2"/>
        </w:numPr>
        <w:spacing w:before="40" w:after="40"/>
      </w:pPr>
      <w:r>
        <w:rPr>
          <w:rFonts w:ascii="Arial" w:cs="Arial" w:eastAsia="Arial" w:hAnsi="Arial"/>
          <w:sz w:val="22"/>
          <w:szCs w:val="22"/>
        </w:rPr>
        <w:t xml:space="preserve">Non-repainting signals only — wait for confirmed event, not projected.</w:t>
      </w:r>
    </w:p>
    <w:p>
      <w:pPr>
        <w:pStyle w:val="ListParagraph"/>
        <w:numPr>
          <w:ilvl w:val="0"/>
          <w:numId w:val="2"/>
        </w:numPr>
        <w:spacing w:before="40" w:after="40"/>
      </w:pPr>
      <w:r>
        <w:rPr>
          <w:rFonts w:ascii="Arial" w:cs="Arial" w:eastAsia="Arial" w:hAnsi="Arial"/>
          <w:sz w:val="22"/>
          <w:szCs w:val="22"/>
        </w:rPr>
        <w:t xml:space="preserve">Maximum 2–3 signal types visible simultaneously to avoid clutter.</w:t>
      </w:r>
    </w:p>
    <w:p>
      <w:pPr>
        <w:pStyle w:val="ListParagraph"/>
        <w:numPr>
          <w:ilvl w:val="0"/>
          <w:numId w:val="2"/>
        </w:numPr>
        <w:spacing w:before="40" w:after="40"/>
      </w:pPr>
      <w:r>
        <w:rPr>
          <w:rFonts w:ascii="Arial" w:cs="Arial" w:eastAsia="Arial" w:hAnsi="Arial"/>
          <w:sz w:val="22"/>
          <w:szCs w:val="22"/>
        </w:rPr>
        <w:t xml:space="preserve">Cooldown period: suppress rapid-fire triggers within 60 seconds of previous signal.</w:t>
      </w:r>
    </w:p>
    <w:p>
      <w:pPr>
        <w:pStyle w:val="ListParagraph"/>
        <w:numPr>
          <w:ilvl w:val="0"/>
          <w:numId w:val="2"/>
        </w:numPr>
        <w:spacing w:before="40" w:after="40"/>
      </w:pPr>
      <w:r>
        <w:rPr>
          <w:rFonts w:ascii="Arial" w:cs="Arial" w:eastAsia="Arial" w:hAnsi="Arial"/>
          <w:sz w:val="22"/>
          <w:szCs w:val="22"/>
        </w:rPr>
        <w:t xml:space="preserve">No consecutive BUYs without intervening EXIT signal.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HIGH — essential for any trading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Signal engine output (already exists in scoring engine)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Trading decision</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Entry execution, exit timing, confidence assessment, post-trade review</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2C4A7B" w:val="clear"/>
            <w:tcMar>
              <w:top w:type="dxa" w:w="160"/>
              <w:left w:type="dxa" w:w="200"/>
              <w:bottom w:type="dxa" w:w="160"/>
              <w:right w:type="dxa" w:w="120"/>
            </w:tcMar>
          </w:tcPr>
          <w:p>
            <w:r>
              <w:rPr>
                <w:rFonts w:ascii="Arial" w:cs="Arial" w:eastAsia="Arial" w:hAnsi="Arial"/>
                <w:b/>
                <w:bCs/>
                <w:color w:val="FFFFFF"/>
                <w:sz w:val="32"/>
                <w:szCs w:val="32"/>
              </w:rPr>
              <w:t xml:space="preserve">VWAP Standard Deviation Bands</w:t>
            </w:r>
          </w:p>
          <w:p>
            <w:r>
              <w:rPr>
                <w:rFonts w:ascii="Arial" w:cs="Arial" w:eastAsia="Arial" w:hAnsi="Arial"/>
                <w:color w:val="FFFFFF"/>
                <w:sz w:val="20"/>
                <w:szCs w:val="20"/>
              </w:rPr>
              <w:t xml:space="preserve">Overbought/oversold zones calibrated by volume</w:t>
            </w:r>
          </w:p>
        </w:tc>
        <w:tc>
          <w:tcPr>
            <w:tcW w:type="dxa" w:w="2860"/>
            <w:tcBorders>
              <w:top w:val="none" w:color="FFFFFF" w:sz="0"/>
              <w:left w:val="none" w:color="FFFFFF" w:sz="0"/>
              <w:bottom w:val="none" w:color="FFFFFF" w:sz="0"/>
              <w:right w:val="none" w:color="FFFFFF" w:sz="0"/>
            </w:tcBorders>
            <w:shd w:fill="2C4A7B"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Overlay · Supplementary</w:t>
            </w:r>
          </w:p>
          <w:p/>
        </w:tc>
      </w:tr>
    </w:tbl>
    <w:p/>
    <w:p>
      <w:pPr>
        <w:spacing w:before="60" w:after="80"/>
      </w:pPr>
      <w:r>
        <w:rPr>
          <w:rFonts w:ascii="Arial" w:cs="Arial" w:eastAsia="Arial" w:hAnsi="Arial"/>
          <w:sz w:val="22"/>
          <w:szCs w:val="22"/>
        </w:rPr>
        <w:t xml:space="preserve">VWAP is already live on ESX. Adding ±1σ and ±2σ bands around it creates overbought/oversold zones calibrated by actual trading volume. Institutional traders benchmark to VWAP — they buy below and sell above. Mean reversion to VWAP is one of the most reliable intraday patterns in any market.</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Variance = Σ(Volume_i × (Price_i − VWAP)²) / Σ(Volume_i)</w:t>
      </w:r>
    </w:p>
    <w:p>
      <w:pPr>
        <w:spacing w:before="80" w:after="80"/>
        <w:ind w:left="720"/>
      </w:pPr>
      <w:r>
        <w:rPr>
          <w:rFonts w:ascii="Courier New" w:cs="Courier New" w:eastAsia="Courier New" w:hAnsi="Courier New"/>
          <w:color w:val="333333"/>
          <w:sz w:val="20"/>
          <w:szCs w:val="20"/>
        </w:rPr>
        <w:t xml:space="preserve">StdDev = √Variance</w:t>
      </w:r>
    </w:p>
    <w:p>
      <w:pPr>
        <w:spacing w:before="80" w:after="80"/>
        <w:ind w:left="720"/>
      </w:pPr>
      <w:r>
        <w:rPr>
          <w:rFonts w:ascii="Courier New" w:cs="Courier New" w:eastAsia="Courier New" w:hAnsi="Courier New"/>
          <w:color w:val="333333"/>
          <w:sz w:val="20"/>
          <w:szCs w:val="20"/>
        </w:rPr>
        <w:t xml:space="preserve">Bands = VWAP ± k × StdDev, k = 1 or 2</w:t>
      </w:r>
    </w:p>
    <w:p/>
    <w:p>
      <w:pPr>
        <w:spacing w:before="60" w:after="80"/>
      </w:pPr>
      <w:r>
        <w:rPr>
          <w:rFonts w:ascii="Arial" w:cs="Arial" w:eastAsia="Arial" w:hAnsi="Arial"/>
          <w:sz w:val="22"/>
          <w:szCs w:val="22"/>
        </w:rPr>
        <w:t xml:space="preserve">Volume spikes with Z-score &gt; 3 standard deviations suggest institutional repricing (SIG, DRW, Jump Trading moving the market) rather than retail noise. These moments are high-information.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HIGH — trivial to add since VWAP is already computed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Price and volume data (already available from ESX market feed)</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Trading decision</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Institutional positioning awareness, overbought/oversold detection, entry optimization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4A4A4A" w:val="clear"/>
            <w:tcMar>
              <w:top w:type="dxa" w:w="160"/>
              <w:left w:type="dxa" w:w="200"/>
              <w:bottom w:type="dxa" w:w="160"/>
              <w:right w:type="dxa" w:w="120"/>
            </w:tcMar>
          </w:tcPr>
          <w:p>
            <w:r>
              <w:rPr>
                <w:rFonts w:ascii="Arial" w:cs="Arial" w:eastAsia="Arial" w:hAnsi="Arial"/>
                <w:b/>
                <w:bCs/>
                <w:color w:val="FFFFFF"/>
                <w:sz w:val="32"/>
                <w:szCs w:val="32"/>
              </w:rPr>
              <w:t xml:space="preserve">Psychological Support / Resistance</w:t>
            </w:r>
          </w:p>
          <w:p>
            <w:r>
              <w:rPr>
                <w:rFonts w:ascii="Arial" w:cs="Arial" w:eastAsia="Arial" w:hAnsi="Arial"/>
                <w:color w:val="FFFFFF"/>
                <w:sz w:val="20"/>
                <w:szCs w:val="20"/>
              </w:rPr>
              <w:t xml:space="preserve">Behavioral anchoring levels where prices cluster</w:t>
            </w:r>
          </w:p>
        </w:tc>
        <w:tc>
          <w:tcPr>
            <w:tcW w:type="dxa" w:w="2860"/>
            <w:tcBorders>
              <w:top w:val="none" w:color="FFFFFF" w:sz="0"/>
              <w:left w:val="none" w:color="FFFFFF" w:sz="0"/>
              <w:bottom w:val="none" w:color="FFFFFF" w:sz="0"/>
              <w:right w:val="none" w:color="FFFFFF" w:sz="0"/>
            </w:tcBorders>
            <w:shd w:fill="4A4A4A"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Overlay · Supplementary</w:t>
            </w:r>
          </w:p>
          <w:p/>
        </w:tc>
      </w:tr>
    </w:tbl>
    <w:p/>
    <w:p>
      <w:pPr>
        <w:spacing w:before="60" w:after="80"/>
      </w:pPr>
      <w:r>
        <w:rPr>
          <w:rFonts w:ascii="Arial" w:cs="Arial" w:eastAsia="Arial" w:hAnsi="Arial"/>
          <w:sz w:val="22"/>
          <w:szCs w:val="22"/>
        </w:rPr>
        <w:t xml:space="preserve">Prediction market prices exhibit significant clustering at round numbers due to behavioral anchoring. Individual investors are ~2x more likely to trade at integer prices. Markets tend to reverse course at round levels and trend rapidly after crossing them. On a 0–100 binary market, the anchor levels are especially pronounced.</w:t>
      </w:r>
    </w:p>
    <w:p/>
    <w:p>
      <w:pPr>
        <w:spacing w:before="200" w:after="80"/>
      </w:pPr>
      <w:r>
        <w:rPr>
          <w:rFonts w:ascii="Arial" w:cs="Arial" w:eastAsia="Arial" w:hAnsi="Arial"/>
          <w:b/>
          <w:bCs/>
          <w:color w:val="1A1A2E"/>
          <w:sz w:val="24"/>
          <w:szCs w:val="24"/>
        </w:rPr>
        <w:t xml:space="preserve">Key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50¢</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The coin flip. Strongest psychological anchor on any binary contract. Expect resistance crossing from either direction.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75¢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Major resistance for leading team contracts. Markets often stall here before final resolution.</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25¢</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Support floor for trailing team contracts. Often stalls before price drops to single digits.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10¢ increments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Minor levels — lighter dotted lines. Less behavioral significance but still relevant.</w:t>
            </w:r>
          </w:p>
        </w:tc>
      </w:tr>
    </w:tbl>
    <w:p/>
    <w:p>
      <w:pPr>
        <w:spacing w:before="60" w:after="80"/>
      </w:pPr>
      <w:r>
        <w:rPr>
          <w:rFonts w:ascii="Arial" w:cs="Arial" w:eastAsia="Arial" w:hAnsi="Arial"/>
          <w:sz w:val="22"/>
          <w:szCs w:val="22"/>
        </w:rPr>
        <w:t xml:space="preserve">Implementation: major dotted lines at 25¢, 50¢, 75¢. Minor lighter lines at 10¢ increments. These act as support/resistance because traders cluster limit orders at psychologically salient levels.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MEDIUM-HIGH — simple to implement, well-supported by behavioral economics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None — static horizontal lines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Trading decision</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Entry/exit optimization, stop-loss placement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5B3A1A" w:val="clear"/>
            <w:tcMar>
              <w:top w:type="dxa" w:w="160"/>
              <w:left w:type="dxa" w:w="200"/>
              <w:bottom w:type="dxa" w:w="160"/>
              <w:right w:type="dxa" w:w="120"/>
            </w:tcMar>
          </w:tcPr>
          <w:p>
            <w:r>
              <w:rPr>
                <w:rFonts w:ascii="Arial" w:cs="Arial" w:eastAsia="Arial" w:hAnsi="Arial"/>
                <w:b/>
                <w:bCs/>
                <w:color w:val="FFFFFF"/>
                <w:sz w:val="32"/>
                <w:szCs w:val="32"/>
              </w:rPr>
              <w:t xml:space="preserve">Modified Bollinger Bands (Logit-Transformed)</w:t>
            </w:r>
          </w:p>
          <w:p>
            <w:r>
              <w:rPr>
                <w:rFonts w:ascii="Arial" w:cs="Arial" w:eastAsia="Arial" w:hAnsi="Arial"/>
                <w:color w:val="FFFFFF"/>
                <w:sz w:val="20"/>
                <w:szCs w:val="20"/>
              </w:rPr>
              <w:t xml:space="preserve">Volatility bands adapted for bounded 0–100 markets</w:t>
            </w:r>
          </w:p>
        </w:tc>
        <w:tc>
          <w:tcPr>
            <w:tcW w:type="dxa" w:w="2860"/>
            <w:tcBorders>
              <w:top w:val="none" w:color="FFFFFF" w:sz="0"/>
              <w:left w:val="none" w:color="FFFFFF" w:sz="0"/>
              <w:bottom w:val="none" w:color="FFFFFF" w:sz="0"/>
              <w:right w:val="none" w:color="FFFFFF" w:sz="0"/>
            </w:tcBorders>
            <w:shd w:fill="5B3A1A"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Overlay · Supplementary</w:t>
            </w:r>
          </w:p>
          <w:p/>
        </w:tc>
      </w:tr>
    </w:tbl>
    <w:p/>
    <w:p>
      <w:pPr>
        <w:spacing w:before="60" w:after="80"/>
      </w:pPr>
      <w:r>
        <w:rPr>
          <w:rFonts w:ascii="Arial" w:cs="Arial" w:eastAsia="Arial" w:hAnsi="Arial"/>
          <w:sz w:val="22"/>
          <w:szCs w:val="22"/>
        </w:rPr>
        <w:t xml:space="preserve">Standard Bollinger Bands break on bounded markets — they can extend below 0 or above 100. A logit transformation fixes this, ensuring bands stay within bounds and handling compressed distributions near price extremes.</w:t>
      </w:r>
    </w:p>
    <w:p/>
    <w:p>
      <w:pPr>
        <w:spacing w:before="200" w:after="80"/>
      </w:pPr>
      <w:r>
        <w:rPr>
          <w:rFonts w:ascii="Arial" w:cs="Arial" w:eastAsia="Arial" w:hAnsi="Arial"/>
          <w:b/>
          <w:bCs/>
          <w:color w:val="1A1A2E"/>
          <w:sz w:val="24"/>
          <w:szCs w:val="24"/>
        </w:rPr>
        <w:t xml:space="preserve">Formula</w:t>
      </w:r>
    </w:p>
    <w:p>
      <w:pPr>
        <w:spacing w:before="80" w:after="80"/>
        <w:ind w:left="720"/>
      </w:pPr>
      <w:r>
        <w:rPr>
          <w:rFonts w:ascii="Courier New" w:cs="Courier New" w:eastAsia="Courier New" w:hAnsi="Courier New"/>
          <w:color w:val="333333"/>
          <w:sz w:val="20"/>
          <w:szCs w:val="20"/>
        </w:rPr>
        <w:t xml:space="preserve">logit_price = ln(price / (100 − price))</w:t>
      </w:r>
    </w:p>
    <w:p>
      <w:pPr>
        <w:spacing w:before="80" w:after="80"/>
        <w:ind w:left="720"/>
      </w:pPr>
      <w:r>
        <w:rPr>
          <w:rFonts w:ascii="Courier New" w:cs="Courier New" w:eastAsia="Courier New" w:hAnsi="Courier New"/>
          <w:color w:val="333333"/>
          <w:sz w:val="20"/>
          <w:szCs w:val="20"/>
        </w:rPr>
        <w:t xml:space="preserve">Middle = SMA(logit_price, n)</w:t>
      </w:r>
    </w:p>
    <w:p>
      <w:pPr>
        <w:spacing w:before="80" w:after="80"/>
        <w:ind w:left="720"/>
      </w:pPr>
      <w:r>
        <w:rPr>
          <w:rFonts w:ascii="Courier New" w:cs="Courier New" w:eastAsia="Courier New" w:hAnsi="Courier New"/>
          <w:color w:val="333333"/>
          <w:sz w:val="20"/>
          <w:szCs w:val="20"/>
        </w:rPr>
        <w:t xml:space="preserve">Upper/Lower = Middle ± k × StdDev(logit_price, n)</w:t>
      </w:r>
    </w:p>
    <w:p>
      <w:pPr>
        <w:spacing w:before="80" w:after="80"/>
        <w:ind w:left="720"/>
      </w:pPr>
      <w:r>
        <w:rPr>
          <w:rFonts w:ascii="Courier New" w:cs="Courier New" w:eastAsia="Courier New" w:hAnsi="Courier New"/>
          <w:color w:val="333333"/>
          <w:sz w:val="20"/>
          <w:szCs w:val="20"/>
        </w:rPr>
        <w:t xml:space="preserve">Display = 100 / (1 + exp(−band_value))  // inverse logit, bounded [0, 100]</w:t>
      </w:r>
    </w:p>
    <w:p/>
    <w:p>
      <w:pPr>
        <w:spacing w:before="60" w:after="80"/>
      </w:pPr>
      <w:r>
        <w:rPr>
          <w:rFonts w:ascii="Arial" w:cs="Arial" w:eastAsia="Arial" w:hAnsi="Arial"/>
          <w:sz w:val="22"/>
          <w:szCs w:val="22"/>
        </w:rPr>
        <w:t xml:space="preserve">Suggested parameters for ~150-candle sessions: SMA(10–15), k=1.5 for 1-minute candles. A squeeze (bands contracting) signals consolidation before a scoring run. Price touching the outer band signals overbought/oversold.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5E6C8" w:val="clear"/>
            <w:tcMar>
              <w:top w:type="dxa" w:w="100"/>
              <w:left w:type="dxa" w:w="180"/>
              <w:bottom w:type="dxa" w:w="100"/>
              <w:right w:type="dxa" w:w="180"/>
            </w:tcMar>
          </w:tcPr>
          <w:p>
            <w:r>
              <w:rPr>
                <w:rFonts w:ascii="Arial" w:cs="Arial" w:eastAsia="Arial" w:hAnsi="Arial"/>
                <w:i/>
                <w:iCs/>
                <w:sz w:val="21"/>
                <w:szCs w:val="21"/>
              </w:rPr>
              <w:t xml:space="preserve">Arora &amp; Malpani (2026, PredictionMarketBench) tested Bollinger Bands on Kalshi binary contracts with SMA(20), k=2 and found fee-aware algorithmic alpha can remain profitable during volatile episodes. The logit transformation is essential — do not apply raw Bollinger Bands.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Price data only</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Trading decision</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Mean-reversion entries, volatility regime detection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3A3A5B" w:val="clear"/>
            <w:tcMar>
              <w:top w:type="dxa" w:w="160"/>
              <w:left w:type="dxa" w:w="200"/>
              <w:bottom w:type="dxa" w:w="160"/>
              <w:right w:type="dxa" w:w="120"/>
            </w:tcMar>
          </w:tcPr>
          <w:p>
            <w:r>
              <w:rPr>
                <w:rFonts w:ascii="Arial" w:cs="Arial" w:eastAsia="Arial" w:hAnsi="Arial"/>
                <w:b/>
                <w:bCs/>
                <w:color w:val="FFFFFF"/>
                <w:sz w:val="32"/>
                <w:szCs w:val="32"/>
              </w:rPr>
              <w:t xml:space="preserve">Game Event Markers</w:t>
            </w:r>
          </w:p>
          <w:p>
            <w:r>
              <w:rPr>
                <w:rFonts w:ascii="Arial" w:cs="Arial" w:eastAsia="Arial" w:hAnsi="Arial"/>
                <w:color w:val="FFFFFF"/>
                <w:sz w:val="20"/>
                <w:szCs w:val="20"/>
              </w:rPr>
              <w:t xml:space="preserve">Scoring events, timeouts, and subs overlaid on the price chart</w:t>
            </w:r>
          </w:p>
        </w:tc>
        <w:tc>
          <w:tcPr>
            <w:tcW w:type="dxa" w:w="2860"/>
            <w:tcBorders>
              <w:top w:val="none" w:color="FFFFFF" w:sz="0"/>
              <w:left w:val="none" w:color="FFFFFF" w:sz="0"/>
              <w:bottom w:val="none" w:color="FFFFFF" w:sz="0"/>
              <w:right w:val="none" w:color="FFFFFF" w:sz="0"/>
            </w:tcBorders>
            <w:shd w:fill="3A3A5B"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PROPOSED</w:t>
            </w:r>
          </w:p>
          <w:p>
            <w:pPr>
              <w:jc w:val="right"/>
            </w:pPr>
            <w:r>
              <w:rPr>
                <w:rFonts w:ascii="Arial" w:cs="Arial" w:eastAsia="Arial" w:hAnsi="Arial"/>
                <w:color w:val="FFFFFF"/>
                <w:sz w:val="18"/>
                <w:szCs w:val="18"/>
              </w:rPr>
              <w:t xml:space="preserve">Overlay · Supplementary</w:t>
            </w:r>
          </w:p>
          <w:p/>
        </w:tc>
      </w:tr>
    </w:tbl>
    <w:p/>
    <w:p>
      <w:pPr>
        <w:spacing w:before="60" w:after="80"/>
      </w:pPr>
      <w:r>
        <w:rPr>
          <w:rFonts w:ascii="Arial" w:cs="Arial" w:eastAsia="Arial" w:hAnsi="Arial"/>
          <w:sz w:val="22"/>
          <w:szCs w:val="22"/>
        </w:rPr>
        <w:t xml:space="preserve">Vertical annotation lines and score event labels placed on the price chart, correlating contract price movements with game events. This capability is unique to ESX — no other prediction market platform offers play-by-play events overlaid on a trading chart. It contextualizes every price move: when a team hits a three-pointer and the contract jumps 8¢, you see both events simultaneously.</w:t>
      </w:r>
    </w:p>
    <w:p/>
    <w:p>
      <w:pPr>
        <w:spacing w:before="200" w:after="80"/>
      </w:pPr>
      <w:r>
        <w:rPr>
          <w:rFonts w:ascii="Arial" w:cs="Arial" w:eastAsia="Arial" w:hAnsi="Arial"/>
          <w:b/>
          <w:bCs/>
          <w:color w:val="1A1A2E"/>
          <w:sz w:val="24"/>
          <w:szCs w:val="24"/>
        </w:rPr>
        <w:t xml:space="preserve">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Quarter breaks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Bold vertical line with quarter 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Scoring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ATL’ / ‘+2 MIL’ annotations on significant scoring runs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Timeouts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Light dashed vertical line — to visually confirm timeout has no causal effect on price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Substitutions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Optional toggle — when star enters/exits the game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5E6C8" w:val="clear"/>
            <w:tcMar>
              <w:top w:type="dxa" w:w="100"/>
              <w:left w:type="dxa" w:w="180"/>
              <w:bottom w:type="dxa" w:w="100"/>
              <w:right w:type="dxa" w:w="180"/>
            </w:tcMar>
          </w:tcPr>
          <w:p>
            <w:r>
              <w:rPr>
                <w:rFonts w:ascii="Arial" w:cs="Arial" w:eastAsia="Arial" w:hAnsi="Arial"/>
                <w:i/>
                <w:iCs/>
                <w:sz w:val="21"/>
                <w:szCs w:val="21"/>
              </w:rPr>
              <w:t xml:space="preserve">Risk of chart clutter is real. Implement as a toggleable layer with configurable threshold — only flag scoring events of 4+ points on a single possession, or 6+ point runs.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Viability</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MEDIUM — high informational value, must manage clutter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Data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Play-by-play event data (already consumed by the existing system)</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Trading decision</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Understanding price causation, identifying institutional positioning vs scoring-event repricing</w:t>
            </w:r>
          </w:p>
        </w:tc>
      </w:tr>
    </w:tbl>
    <w:p/>
    <w:p/>
    <w:p>
      <w:pPr>
        <w:pStyle w:val="Heading2"/>
        <w:spacing w:before="280" w:after="120"/>
      </w:pPr>
      <w:r>
        <w:rPr>
          <w:rFonts w:ascii="Arial" w:cs="Arial" w:eastAsia="Arial" w:hAnsi="Arial"/>
          <w:b/>
          <w:bCs/>
          <w:color w:val="1A1A2E"/>
          <w:sz w:val="28"/>
          <w:szCs w:val="28"/>
        </w:rPr>
        <w:t xml:space="preserve">What Does NOT Translate to Bounded Prediction Markets</w:t>
      </w:r>
    </w:p>
    <w:p>
      <w:pPr>
        <w:spacing w:before="60" w:after="80"/>
      </w:pPr>
      <w:r>
        <w:rPr>
          <w:rFonts w:ascii="Arial" w:cs="Arial" w:eastAsia="Arial" w:hAnsi="Arial"/>
          <w:sz w:val="22"/>
          <w:szCs w:val="22"/>
        </w:rPr>
        <w:t xml:space="preserve">Several traditional overlays were evaluated and rejected: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Ichimoku Cloud</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REJECTED — requires 52+ periods, consuming one-third of a 150-bar session. Forward projection is meaningless when a single scoring event can move price 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Keltner Channels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REJECTED — uses ATR assuming unbounded price. Near price extremes (10 or 90), ATR-based channels break fundamentally.</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EMA Ribbons / GMMA</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LOW VALUE — 2.5-hour session is too short. MA(5) already captures useful trend info. Adding 12 more MAs creates noise.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Parabolic SAR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REJECTED — assumes trending markets. Prediction markets during normal play are largely mean-reverting around fair value.</w:t>
            </w:r>
          </w:p>
        </w:tc>
      </w:tr>
    </w:tbl>
    <w:p/>
    <w:p/>
    <w:p>
      <w:pPr>
        <w:pBdr>
          <w:bottom w:val="single" w:color="C9A96E" w:sz="4" w:space="1"/>
        </w:pBdr>
        <w:spacing w:before="200"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2026-03-05T08:23:59.148Z</dcterms:created>
  <dcterms:modified xsi:type="dcterms:W3CDTF">2026-03-05T08:23:59.150Z</dcterms:modified>
</cp:coreProperties>
</file>

<file path=docProps/custom.xml><?xml version="1.0" encoding="utf-8"?>
<Properties xmlns="http://schemas.openxmlformats.org/officeDocument/2006/custom-properties" xmlns:vt="http://schemas.openxmlformats.org/officeDocument/2006/docPropsVTypes"/>
</file>