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C9A96E"/>
          <w:sz w:val="72"/>
          <w:szCs w:val="72"/>
        </w:rPr>
        <w:t xml:space="preserve">KAIROSEDGE</w:t>
      </w:r>
    </w:p>
    <w:p>
      <w:pPr>
        <w:spacing w:before="80" w:after="80"/>
        <w:jc w:val="center"/>
      </w:pPr>
      <w:r>
        <w:rPr>
          <w:rFonts w:ascii="Arial" w:cs="Arial" w:eastAsia="Arial" w:hAnsi="Arial"/>
          <w:b/>
          <w:bCs/>
          <w:color w:val="1A1A2E"/>
          <w:sz w:val="48"/>
          <w:szCs w:val="48"/>
        </w:rPr>
        <w:t xml:space="preserve">TRADE TYPE PLAYBOOK</w:t>
      </w:r>
    </w:p>
    <w:p>
      <w:pPr>
        <w:spacing w:before="160" w:after="80"/>
        <w:jc w:val="center"/>
      </w:pPr>
      <w:r>
        <w:rPr>
          <w:rFonts w:ascii="Arial" w:cs="Arial" w:eastAsia="Arial" w:hAnsi="Arial"/>
          <w:color w:val="666666"/>
          <w:sz w:val="26"/>
          <w:szCs w:val="26"/>
        </w:rPr>
        <w:t xml:space="preserve">What each trade is, when to take it, exactly how to execute it</w:t>
      </w:r>
    </w:p>
    <w:p>
      <w:pPr>
        <w:spacing w:before="80" w:after="80"/>
        <w:jc w:val="center"/>
      </w:pPr>
      <w:r>
        <w:rPr>
          <w:rFonts w:ascii="Arial" w:cs="Arial" w:eastAsia="Arial" w:hAnsi="Arial"/>
          <w:color w:val="999999"/>
          <w:sz w:val="24"/>
          <w:szCs w:val="24"/>
        </w:rPr>
        <w:t xml:space="preserve">ESX Exclusive  ·  March 2026</w:t>
      </w: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4</w:t>
            </w:r>
          </w:p>
          <w:p>
            <w:pPr>
              <w:jc w:val="center"/>
            </w:pPr>
            <w:r>
              <w:rPr>
                <w:rFonts w:ascii="Arial" w:cs="Arial" w:eastAsia="Arial" w:hAnsi="Arial"/>
                <w:color w:val="555555"/>
                <w:sz w:val="20"/>
                <w:szCs w:val="20"/>
              </w:rPr>
              <w:t xml:space="preserve">Live
Trade Types</w:t>
            </w:r>
          </w:p>
        </w:tc>
        <w:tc>
          <w:tcPr>
            <w:tcW w:type="dxa" w:w="312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3</w:t>
            </w:r>
          </w:p>
          <w:p>
            <w:pPr>
              <w:jc w:val="center"/>
            </w:pPr>
            <w:r>
              <w:rPr>
                <w:rFonts w:ascii="Arial" w:cs="Arial" w:eastAsia="Arial" w:hAnsi="Arial"/>
                <w:color w:val="555555"/>
                <w:sz w:val="20"/>
                <w:szCs w:val="20"/>
              </w:rPr>
              <w:t xml:space="preserve">Coming
(needs TCI/STI)</w:t>
            </w:r>
          </w:p>
        </w:tc>
        <w:tc>
          <w:tcPr>
            <w:tcW w:type="dxa" w:w="3120"/>
            <w:tcBorders>
              <w:top w:val="single" w:color="CCCCCC" w:sz="1"/>
              <w:left w:val="single" w:color="CCCCCC" w:sz="1"/>
              <w:bottom w:val="single" w:color="CCCCCC" w:sz="1"/>
              <w:right w:val="single" w:color="CCCCCC" w:sz="1"/>
            </w:tcBorders>
            <w:shd w:fill="F7F4EE" w:val="clear"/>
            <w:tcMar>
              <w:top w:type="dxa" w:w="120"/>
              <w:left w:type="dxa" w:w="80"/>
              <w:bottom w:type="dxa" w:w="120"/>
              <w:right w:type="dxa" w:w="80"/>
            </w:tcMar>
          </w:tcPr>
          <w:p>
            <w:pPr>
              <w:jc w:val="center"/>
            </w:pPr>
            <w:r>
              <w:rPr>
                <w:rFonts w:ascii="Arial" w:cs="Arial" w:eastAsia="Arial" w:hAnsi="Arial"/>
                <w:b/>
                <w:bCs/>
                <w:color w:val="C9A96E"/>
                <w:sz w:val="56"/>
                <w:szCs w:val="56"/>
              </w:rPr>
              <w:t xml:space="preserve">4</w:t>
            </w:r>
          </w:p>
          <w:p>
            <w:pPr>
              <w:jc w:val="center"/>
            </w:pPr>
            <w:r>
              <w:rPr>
                <w:rFonts w:ascii="Arial" w:cs="Arial" w:eastAsia="Arial" w:hAnsi="Arial"/>
                <w:color w:val="555555"/>
                <w:sz w:val="20"/>
                <w:szCs w:val="20"/>
              </w:rPr>
              <w:t xml:space="preserve">Proposed
New Types</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7F4EE" w:val="clear"/>
            <w:tcMar>
              <w:top w:type="dxa" w:w="100"/>
              <w:left w:type="dxa" w:w="180"/>
              <w:bottom w:type="dxa" w:w="100"/>
              <w:right w:type="dxa" w:w="180"/>
            </w:tcMar>
          </w:tcPr>
          <w:p>
            <w:r>
              <w:rPr>
                <w:rFonts w:ascii="Arial" w:cs="Arial" w:eastAsia="Arial" w:hAnsi="Arial"/>
                <w:i/>
                <w:iCs/>
                <w:sz w:val="21"/>
                <w:szCs w:val="21"/>
              </w:rPr>
              <w:t xml:space="preserve">KairosEdge is not one trade. It is a system of distinct market inefficiencies, each with a different reason the market is wrong. Every trade type uses the same ESX indicator infrastructure but triggers on different conditions and requires different execution.</w:t>
            </w:r>
          </w:p>
        </w:tc>
      </w:tr>
    </w:tbl>
    <w:p>
      <w:r>
        <w:br w:type="page"/>
      </w:r>
    </w:p>
    <w:p>
      <w:pPr>
        <w:pStyle w:val="Heading1"/>
        <w:spacing w:before="360" w:after="160"/>
      </w:pPr>
      <w:r>
        <w:rPr>
          <w:rFonts w:ascii="Arial" w:cs="Arial" w:eastAsia="Arial" w:hAnsi="Arial"/>
          <w:b/>
          <w:bCs/>
          <w:color w:val="1A1A2E"/>
          <w:sz w:val="36"/>
          <w:szCs w:val="36"/>
        </w:rPr>
        <w:t xml:space="preserve">Trade Type Overview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100"/>
        <w:gridCol w:w="1880"/>
        <w:gridCol w:w="1680"/>
      </w:tblGrid>
      <w:tr>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80"/>
            </w:tcMar>
          </w:tcPr>
          <w:p>
            <w:r>
              <w:rPr>
                <w:rFonts w:ascii="Arial" w:cs="Arial" w:eastAsia="Arial" w:hAnsi="Arial"/>
                <w:b/>
                <w:bCs/>
                <w:color w:val="C9A96E"/>
                <w:sz w:val="20"/>
                <w:szCs w:val="20"/>
              </w:rPr>
              <w:t xml:space="preserve">#</w:t>
            </w:r>
          </w:p>
        </w:tc>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80"/>
            </w:tcMar>
          </w:tcPr>
          <w:p>
            <w:r>
              <w:rPr>
                <w:rFonts w:ascii="Arial" w:cs="Arial" w:eastAsia="Arial" w:hAnsi="Arial"/>
                <w:b/>
                <w:bCs/>
                <w:color w:val="C9A96E"/>
                <w:sz w:val="20"/>
                <w:szCs w:val="20"/>
              </w:rPr>
              <w:t xml:space="preserve">Name</w:t>
            </w:r>
          </w:p>
        </w:tc>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80"/>
            </w:tcMar>
          </w:tcPr>
          <w:p>
            <w:r>
              <w:rPr>
                <w:rFonts w:ascii="Arial" w:cs="Arial" w:eastAsia="Arial" w:hAnsi="Arial"/>
                <w:b/>
                <w:bCs/>
                <w:color w:val="C9A96E"/>
                <w:sz w:val="20"/>
                <w:szCs w:val="20"/>
              </w:rPr>
              <w:t xml:space="preserve">The Edge</w:t>
            </w:r>
          </w:p>
        </w:tc>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80"/>
            </w:tcMar>
          </w:tcPr>
          <w:p>
            <w:r>
              <w:rPr>
                <w:rFonts w:ascii="Arial" w:cs="Arial" w:eastAsia="Arial" w:hAnsi="Arial"/>
                <w:b/>
                <w:bCs/>
                <w:color w:val="C9A96E"/>
                <w:sz w:val="20"/>
                <w:szCs w:val="20"/>
              </w:rPr>
              <w:t xml:space="preserve">Status</w:t>
            </w:r>
          </w:p>
        </w:tc>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80"/>
            </w:tcMar>
          </w:tcPr>
          <w:p>
            <w:r>
              <w:rPr>
                <w:rFonts w:ascii="Arial" w:cs="Arial" w:eastAsia="Arial" w:hAnsi="Arial"/>
                <w:b/>
                <w:bCs/>
                <w:color w:val="C9A96E"/>
                <w:sz w:val="20"/>
                <w:szCs w:val="20"/>
              </w:rPr>
              <w:t xml:space="preserve">Key Indicator</w:t>
            </w:r>
          </w:p>
        </w:tc>
      </w:tr>
      <w:tr>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1</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bCs/>
                <w:color w:val="222222"/>
                <w:sz w:val="19"/>
                <w:szCs w:val="19"/>
              </w:rPr>
              <w:t xml:space="preserve">Core KairosEdge</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Leading team shooting above baseline. Buy trailing team before regression.</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1A6B3A"/>
                <w:sz w:val="19"/>
                <w:szCs w:val="19"/>
              </w:rPr>
              <w:t xml:space="preserve">LIVE</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HRS ≥ +10</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222222"/>
                <w:sz w:val="19"/>
                <w:szCs w:val="19"/>
              </w:rPr>
              <w:t xml:space="preserve">Cold Favorite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Favorite shooting cold while structurally dominant. Buy the growing lead.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1A6B3A"/>
                <w:sz w:val="19"/>
                <w:szCs w:val="19"/>
              </w:rPr>
              <w:t xml:space="preserve">LIVE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HRS negative + PA favors leader</w:t>
            </w:r>
          </w:p>
        </w:tc>
      </w:tr>
      <w:tr>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3</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bCs/>
                <w:color w:val="222222"/>
                <w:sz w:val="19"/>
                <w:szCs w:val="19"/>
              </w:rPr>
              <w:t xml:space="preserve">Trend Convergence</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All indicators moving same direction. Buy the momentum before scoreboard reflects it.</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8B5A1A"/>
                <w:sz w:val="19"/>
                <w:szCs w:val="19"/>
              </w:rPr>
              <w:t xml:space="preserve">NEEDS TCI</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TCI ±3/±4</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222222"/>
                <w:sz w:val="19"/>
                <w:szCs w:val="19"/>
              </w:rPr>
              <w:t xml:space="preserve">Star Takeover</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Elite player concentrating usage above baseline. Team indicators miss individual surges.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NEEDS STI</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STI ≥ ±8</w:t>
            </w:r>
          </w:p>
        </w:tc>
      </w:tr>
      <w:tr>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5</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bCs/>
                <w:color w:val="222222"/>
                <w:sz w:val="19"/>
                <w:szCs w:val="19"/>
              </w:rPr>
              <w:t xml:space="preserve">Foul Trouble Overreaction</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Star benched due to fouls. Coaches over-bench; market overprices the degraded lineup.</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1A3A6B"/>
                <w:sz w:val="19"/>
                <w:szCs w:val="19"/>
              </w:rPr>
              <w:t xml:space="preserve">PROPOSED</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FPI — star in foul trouble</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222222"/>
                <w:sz w:val="19"/>
                <w:szCs w:val="19"/>
              </w:rPr>
              <w:t xml:space="preserve">B2B Fatigue Compounding</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B2B team's fatigue compounds nonlinearly through Q3/Q4. Buy the rested team.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1A3A6B"/>
                <w:sz w:val="19"/>
                <w:szCs w:val="19"/>
              </w:rPr>
              <w:t xml:space="preserve">PROPOSED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FLI — B2B flag</w:t>
            </w:r>
          </w:p>
        </w:tc>
      </w:tr>
      <w:tr>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7</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bCs/>
                <w:color w:val="222222"/>
                <w:sz w:val="19"/>
                <w:szCs w:val="19"/>
              </w:rPr>
              <w:t xml:space="preserve">Timeout Anti-Momentum</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Market drops running team post-timeout. Timeouts have no causal effect. Buy the dip.</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1A3A6B"/>
                <w:sz w:val="19"/>
                <w:szCs w:val="19"/>
              </w:rPr>
              <w:t xml:space="preserve">PROPOSED</w:t>
            </w:r>
          </w:p>
        </w:tc>
        <w:tc>
          <w:tcPr>
            <w:tcBorders>
              <w:top w:val="single" w:color="CCCCCC" w:sz="1"/>
              <w:left w:val="single" w:color="CCCCCC" w:sz="1"/>
              <w:bottom w:val="single" w:color="CCCCCC" w:sz="1"/>
              <w:right w:val="single" w:color="CCCCCC" w:sz="1"/>
            </w:tcBorders>
            <w:shd w:fill="F7F4EE" w:val="clear"/>
            <w:tcMar>
              <w:top w:type="dxa" w:w="70"/>
              <w:left w:type="dxa" w:w="100"/>
              <w:bottom w:type="dxa" w:w="70"/>
              <w:right w:type="dxa" w:w="80"/>
            </w:tcMar>
          </w:tcPr>
          <w:p>
            <w:r>
              <w:rPr>
                <w:rFonts w:ascii="Arial" w:cs="Arial" w:eastAsia="Arial" w:hAnsi="Arial"/>
                <w:b w:val="false"/>
                <w:bCs w:val="false"/>
                <w:color w:val="222222"/>
                <w:sz w:val="19"/>
                <w:szCs w:val="19"/>
              </w:rPr>
              <w:t xml:space="preserve">VVI + scoring run data</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bCs/>
                <w:color w:val="222222"/>
                <w:sz w:val="19"/>
                <w:szCs w:val="19"/>
              </w:rPr>
              <w:t xml:space="preserve">Bench Depth Exploitation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Superior-bench team trailing during rotation period. Buy when weak bench is exposed.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1A3A6B"/>
                <w:sz w:val="19"/>
                <w:szCs w:val="19"/>
              </w:rPr>
              <w:t xml:space="preserve">PROPOSED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b w:val="false"/>
                <w:bCs w:val="false"/>
                <w:color w:val="222222"/>
                <w:sz w:val="19"/>
                <w:szCs w:val="19"/>
              </w:rPr>
              <w:t xml:space="preserve">LQD — bench quality gap</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3A"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1</w:t>
            </w:r>
          </w:p>
        </w:tc>
        <w:tc>
          <w:tcPr>
            <w:tcW w:type="dxa" w:w="8760"/>
            <w:tcBorders>
              <w:top w:val="none" w:color="FFFFFF" w:sz="0"/>
              <w:left w:val="none" w:color="FFFFFF" w:sz="0"/>
              <w:bottom w:val="none" w:color="FFFFFF" w:sz="0"/>
              <w:right w:val="none" w:color="FFFFFF" w:sz="0"/>
            </w:tcBorders>
            <w:shd w:fill="1A6B3A" w:val="clear"/>
            <w:tcMar>
              <w:top w:type="dxa" w:w="160"/>
              <w:left w:type="dxa" w:w="180"/>
              <w:bottom w:type="dxa" w:w="160"/>
              <w:right w:type="dxa" w:w="200"/>
            </w:tcMar>
          </w:tcPr>
          <w:p>
            <w:r>
              <w:rPr>
                <w:rFonts w:ascii="Arial" w:cs="Arial" w:eastAsia="Arial" w:hAnsi="Arial"/>
                <w:b/>
                <w:bCs/>
                <w:color w:val="FFFFFF"/>
                <w:sz w:val="32"/>
                <w:szCs w:val="32"/>
              </w:rPr>
              <w:t xml:space="preserve">Core KairosEdge  </w:t>
            </w:r>
            <w:r>
              <w:rPr>
                <w:rFonts w:ascii="Arial" w:cs="Arial" w:eastAsia="Arial" w:hAnsi="Arial"/>
                <w:b/>
                <w:bCs/>
                <w:color w:val="FFFFFF"/>
                <w:sz w:val="22"/>
                <w:szCs w:val="22"/>
              </w:rPr>
              <w:t xml:space="preserve">[LIVE]</w:t>
            </w:r>
          </w:p>
          <w:p>
            <w:r>
              <w:rPr>
                <w:rFonts w:ascii="Arial" w:cs="Arial" w:eastAsia="Arial" w:hAnsi="Arial"/>
                <w:color w:val="FFFFFF"/>
                <w:sz w:val="20"/>
                <w:szCs w:val="20"/>
              </w:rPr>
              <w:t xml:space="preserve">Regression Buy — the primary trade</w:t>
            </w:r>
          </w:p>
        </w:tc>
      </w:tr>
    </w:tbl>
    <w:p>
      <w:pPr>
        <w:spacing w:before="40" w:after="40"/>
      </w:pPr>
    </w:p>
    <w:p>
      <w:pPr>
        <w:spacing w:before="60" w:after="80"/>
      </w:pPr>
      <w:r>
        <w:rPr>
          <w:rFonts w:ascii="Arial" w:cs="Arial" w:eastAsia="Arial" w:hAnsi="Arial"/>
          <w:sz w:val="22"/>
          <w:szCs w:val="22"/>
        </w:rPr>
        <w:t xml:space="preserve">The foundational trade. The leading team built their advantage through unsustainable shooting variance. The market prices the lead as structural. When shooting regresses to baseline (and it always does), the trailing team's contract reprices upward. You are buying statistical inevitability, not a comeback.</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The leading team's opponent has been shooting significantly above their season eFG% baseline</w:t>
      </w:r>
    </w:p>
    <w:p>
      <w:pPr>
        <w:pStyle w:val="ListParagraph"/>
        <w:numPr>
          <w:ilvl w:val="0"/>
          <w:numId w:val="2"/>
        </w:numPr>
        <w:spacing w:before="40" w:after="40"/>
      </w:pPr>
      <w:r>
        <w:rPr>
          <w:rFonts w:ascii="Arial" w:cs="Arial" w:eastAsia="Arial" w:hAnsi="Arial"/>
          <w:b w:val="false"/>
          <w:bCs w:val="false"/>
          <w:sz w:val="22"/>
          <w:szCs w:val="22"/>
        </w:rPr>
        <w:t xml:space="preserve">The trailing team is structurally competitive — they're not being outplayed, they're being outlucked</w:t>
      </w:r>
    </w:p>
    <w:p>
      <w:pPr>
        <w:pStyle w:val="ListParagraph"/>
        <w:numPr>
          <w:ilvl w:val="0"/>
          <w:numId w:val="2"/>
        </w:numPr>
        <w:spacing w:before="40" w:after="40"/>
      </w:pPr>
      <w:r>
        <w:rPr>
          <w:rFonts w:ascii="Arial" w:cs="Arial" w:eastAsia="Arial" w:hAnsi="Arial"/>
          <w:b w:val="false"/>
          <w:bCs w:val="false"/>
          <w:sz w:val="22"/>
          <w:szCs w:val="22"/>
        </w:rPr>
        <w:t xml:space="preserve">The trailing team's own shooting is near or below their season baseline (not also running hot)</w:t>
      </w:r>
    </w:p>
    <w:p>
      <w:pPr>
        <w:pStyle w:val="ListParagraph"/>
        <w:numPr>
          <w:ilvl w:val="0"/>
          <w:numId w:val="2"/>
        </w:numPr>
        <w:spacing w:before="40" w:after="40"/>
      </w:pPr>
      <w:r>
        <w:rPr>
          <w:rFonts w:ascii="Arial" w:cs="Arial" w:eastAsia="Arial" w:hAnsi="Arial"/>
          <w:b w:val="false"/>
          <w:bCs w:val="false"/>
          <w:sz w:val="22"/>
          <w:szCs w:val="22"/>
        </w:rPr>
        <w:t xml:space="preserve">The live ESX contract price for the trailing team is in the 30–45¢ range</w:t>
      </w:r>
    </w:p>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HRS ≥ +10 on the leading team (shooting meaningfully above season eFG% baseline)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PA is neutral (within ±2.0) or favors the trailing team (trailing team structurally competitive)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Trailing team's contract is 30–45¢ on ESX</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Market Edge fair value ≥ 8pp above current ESX price (EV gate cleared after fees)</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Deficit ≤ 18 points (19+ is auto-reject — trailing teams win &lt;15% from here)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Enter within first 1–3 minutes of halftime — before institutional repricing</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PA shows structural mismatch (paint differential ≥ 12 or turnovers ≥ 7 for leading team)</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the trailing team is also shooting hot (HRS elevated for both teams — regression could go either way)</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At halftime: check HRS on ESX. Leading team HRS must be ≥ +10. If not, no trade.</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Check PA. If PA is negative and extreme (below −4.0), the trailing team is structurally outmatched. Stop.</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Open Market Edge calculation. If fair value &gt; ESX price by ≥ 8pp, the EV gate is cleared.</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Check the live ESX price for the trailing team. Must be 30–45¢.</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Calculate position size: Half-Kelly on single position (~2.25–3.0% of bankroll). Quarter-Kelly if multiple concurrent positions.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Place maker-only limit order on ESX at current ask price or 1¢ below. Never use market orders.</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Set first take-profit at ~50¢ (fair value). Set second hold target for Q3 resolution.</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Monitor every 2 minutes via ESX dashboard. Watch HRS — if leading team's shooting starts regressing, the signal is playing out.</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At 50¢: exit 50% of the position. Hold the remaining 50% through Q3 if regression continues.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Forced exit at 4:00 remaining in Q4 regardless of position. Brownian assumptions break in final minutes (strategic fouling, clock management).</w:t>
            </w:r>
          </w:p>
        </w:tc>
      </w:tr>
    </w:tbl>
    <w:p>
      <w:pPr>
        <w:spacing w:before="40" w:after="40"/>
      </w:pPr>
    </w:p>
    <w:p>
      <w:pPr>
        <w:spacing w:before="200" w:after="80"/>
      </w:pPr>
      <w:r>
        <w:rPr>
          <w:rFonts w:ascii="Arial" w:cs="Arial" w:eastAsia="Arial" w:hAnsi="Arial"/>
          <w:b/>
          <w:bCs/>
          <w:color w:val="1A1A2E"/>
          <w:sz w:val="24"/>
          <w:szCs w:val="24"/>
        </w:rPr>
        <w:t xml:space="preserve">Why the Market Is Wrong</w:t>
      </w:r>
    </w:p>
    <w:p>
      <w:pPr>
        <w:spacing w:before="60" w:after="80"/>
      </w:pPr>
      <w:r>
        <w:rPr>
          <w:rFonts w:ascii="Arial" w:cs="Arial" w:eastAsia="Arial" w:hAnsi="Arial"/>
          <w:sz w:val="22"/>
          <w:szCs w:val="22"/>
        </w:rPr>
        <w:t xml:space="preserve">The market treats a halftime lead as structural. But a team's first-half 3PT% requires ~750 attempts to stabilize. Teams shoot ~15 per half. The binomial standard deviation on 15 three-point attempts is ±12.4 percentage points. A 34% team can plausibly shoot 47% on 15 attempts through pure noise. The scoreboard shows a real lead. The market prices it as real. The math says it's temporary.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HRS (Regression Index) — composite weight 0.35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 (structural validation), Market Edge (EV gate)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Stancil 14,400-game study, Miller &amp; Sanjurjo (2018), binomial statistics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Typical entry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30–45¢</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Typical exit price</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48–55¢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Enter Q1–3 min of halftime. Exit mid-to-late Q3 or at 4:00 Q4.</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3A6B"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2</w:t>
            </w:r>
          </w:p>
        </w:tc>
        <w:tc>
          <w:tcPr>
            <w:tcW w:type="dxa" w:w="8760"/>
            <w:tcBorders>
              <w:top w:val="none" w:color="FFFFFF" w:sz="0"/>
              <w:left w:val="none" w:color="FFFFFF" w:sz="0"/>
              <w:bottom w:val="none" w:color="FFFFFF" w:sz="0"/>
              <w:right w:val="none" w:color="FFFFFF" w:sz="0"/>
            </w:tcBorders>
            <w:shd w:fill="1A3A6B" w:val="clear"/>
            <w:tcMar>
              <w:top w:type="dxa" w:w="160"/>
              <w:left w:type="dxa" w:w="180"/>
              <w:bottom w:type="dxa" w:w="160"/>
              <w:right w:type="dxa" w:w="200"/>
            </w:tcMar>
          </w:tcPr>
          <w:p>
            <w:r>
              <w:rPr>
                <w:rFonts w:ascii="Arial" w:cs="Arial" w:eastAsia="Arial" w:hAnsi="Arial"/>
                <w:b/>
                <w:bCs/>
                <w:color w:val="FFFFFF"/>
                <w:sz w:val="32"/>
                <w:szCs w:val="32"/>
              </w:rPr>
              <w:t xml:space="preserve">Cold Favorite  </w:t>
            </w:r>
            <w:r>
              <w:rPr>
                <w:rFonts w:ascii="Arial" w:cs="Arial" w:eastAsia="Arial" w:hAnsi="Arial"/>
                <w:b/>
                <w:bCs/>
                <w:color w:val="FFFFFF"/>
                <w:sz w:val="22"/>
                <w:szCs w:val="22"/>
              </w:rPr>
              <w:t xml:space="preserve">[LIVE]</w:t>
            </w:r>
          </w:p>
          <w:p>
            <w:r>
              <w:rPr>
                <w:rFonts w:ascii="Arial" w:cs="Arial" w:eastAsia="Arial" w:hAnsi="Arial"/>
                <w:color w:val="FFFFFF"/>
                <w:sz w:val="20"/>
                <w:szCs w:val="20"/>
              </w:rPr>
              <w:t xml:space="preserve">Reverse Regression Buy — buy the growing lead</w:t>
            </w:r>
          </w:p>
        </w:tc>
      </w:tr>
    </w:tbl>
    <w:p>
      <w:pPr>
        <w:spacing w:before="40" w:after="40"/>
      </w:pPr>
    </w:p>
    <w:p>
      <w:pPr>
        <w:spacing w:before="60" w:after="80"/>
      </w:pPr>
      <w:r>
        <w:rPr>
          <w:rFonts w:ascii="Arial" w:cs="Arial" w:eastAsia="Arial" w:hAnsi="Arial"/>
          <w:sz w:val="22"/>
          <w:szCs w:val="22"/>
        </w:rPr>
        <w:t xml:space="preserve">The inverse of Trade Type 1. Here the leading team is the pregame favorite AND shooting below their baseline. They're winning despite leaving points on the table. Their structural dominance exceeds what the scoreboard shows. When their shooting normalizes upward, the lead grows. The market prices it as a closer game than it is.</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The leading team was the pregame favorite (≥ −4 spread) and is currently leading</w:t>
      </w:r>
    </w:p>
    <w:p>
      <w:pPr>
        <w:pStyle w:val="ListParagraph"/>
        <w:numPr>
          <w:ilvl w:val="0"/>
          <w:numId w:val="2"/>
        </w:numPr>
        <w:spacing w:before="40" w:after="40"/>
      </w:pPr>
      <w:r>
        <w:rPr>
          <w:rFonts w:ascii="Arial" w:cs="Arial" w:eastAsia="Arial" w:hAnsi="Arial"/>
          <w:b w:val="false"/>
          <w:bCs w:val="false"/>
          <w:sz w:val="22"/>
          <w:szCs w:val="22"/>
        </w:rPr>
        <w:t xml:space="preserve">The leading team's HRS is negative — they're shooting cold, below their season baseline</w:t>
      </w:r>
    </w:p>
    <w:p>
      <w:pPr>
        <w:pStyle w:val="ListParagraph"/>
        <w:numPr>
          <w:ilvl w:val="0"/>
          <w:numId w:val="2"/>
        </w:numPr>
        <w:spacing w:before="40" w:after="40"/>
      </w:pPr>
      <w:r>
        <w:rPr>
          <w:rFonts w:ascii="Arial" w:cs="Arial" w:eastAsia="Arial" w:hAnsi="Arial"/>
          <w:b w:val="false"/>
          <w:bCs w:val="false"/>
          <w:sz w:val="22"/>
          <w:szCs w:val="22"/>
        </w:rPr>
        <w:t xml:space="preserve">PA confirms structural dominance for the leading team (PA value is negative = leading team controls the game)</w:t>
      </w:r>
    </w:p>
    <w:p>
      <w:pPr>
        <w:pStyle w:val="ListParagraph"/>
        <w:numPr>
          <w:ilvl w:val="0"/>
          <w:numId w:val="2"/>
        </w:numPr>
        <w:spacing w:before="40" w:after="40"/>
      </w:pPr>
      <w:r>
        <w:rPr>
          <w:rFonts w:ascii="Arial" w:cs="Arial" w:eastAsia="Arial" w:hAnsi="Arial"/>
          <w:b w:val="false"/>
          <w:bCs w:val="false"/>
          <w:sz w:val="22"/>
          <w:szCs w:val="22"/>
        </w:rPr>
        <w:t xml:space="preserve">The leading team's ESX contract is underpriced relative to true win probability</w:t>
      </w:r>
    </w:p>
    <w:p>
      <w:pPr>
        <w:spacing w:before="40" w:after="40"/>
      </w:pPr>
    </w:p>
    <w:p>
      <w:pPr>
        <w:spacing w:before="200" w:after="80"/>
      </w:pPr>
      <w:r>
        <w:rPr>
          <w:rFonts w:ascii="Arial" w:cs="Arial" w:eastAsia="Arial" w:hAnsi="Arial"/>
          <w:b/>
          <w:bCs/>
          <w:color w:val="1A1A2E"/>
          <w:sz w:val="24"/>
          <w:szCs w:val="24"/>
        </w:rPr>
        <w:t xml:space="preserve">The Key Distinction From Trade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7F4EE" w:val="clear"/>
            <w:tcMar>
              <w:top w:type="dxa" w:w="100"/>
              <w:left w:type="dxa" w:w="180"/>
              <w:bottom w:type="dxa" w:w="100"/>
              <w:right w:type="dxa" w:w="180"/>
            </w:tcMar>
          </w:tcPr>
          <w:p>
            <w:r>
              <w:rPr>
                <w:rFonts w:ascii="Arial" w:cs="Arial" w:eastAsia="Arial" w:hAnsi="Arial"/>
                <w:i/>
                <w:iCs/>
                <w:sz w:val="21"/>
                <w:szCs w:val="21"/>
              </w:rPr>
              <w:t xml:space="preserve">In Trade 1 you buy the trailing team because the lead is fake. In Trade 2 you buy the leading team because the lead is real but should be bigger. Same infrastructure, opposite direction, different logic.</w:t>
            </w:r>
          </w:p>
        </w:tc>
      </w:tr>
    </w:tbl>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Leading team was pregame favorite at ≥ −4 spread</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Leading team HRS is negative (shooting below season eFG% baseline)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PA confirms leading team structural dominance (PA ≤ −3.0 from trailing team perspective)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Leading team's ESX contract is underpriced vs Market Edge fair value by ≥ 8pp</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Lead is 4–12 points — large enough to be meaningful, small enough that the market hasn't fully priced it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trade if the trailing team is also shooting cold — double cold shooting creates unpredictable regression direction</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trade if the structural PA numbers don't support the favorite (if they’re leading by luck, not skill)</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Check pregame spread before tip-off. Identify which team is the ≥ 4-point favorite. Flag this game for Trade 2 monitoring.</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At halftime or mid-Q3: check HRS for the leading/favored team. Must be negative (cold shooting).</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Check PA. Must show structural dominance for the favored team (leading team winning the possession battle despite cold shooting).</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Calculate Market Edge fair value for the leading team's contract. Must exceed ESX price by ≥ 8pp.</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Verify the leading team's ESX contract price is reasonable for entry (typically 55–70¢).</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Place maker-only limit order on the leading team’s YES contract at current ask or 1¢ below.</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Position size: same Half-Kelly calculation as Trade 1. This is a higher-probability trade with lower upside — sizing reflects that.</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Exit is quicker than Trade 1: once shooting regression shows up on the scoreboard and the lead widens, sell into the move.</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Target: 15–25¢ of movement (entry at 60¢, exit at 75–85¢ as lead widens and the market reprices).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Forced exit at 4:00 remaining Q4 regardless — same rule as all trade types.</w:t>
            </w:r>
          </w:p>
        </w:tc>
      </w:tr>
    </w:tbl>
    <w:p>
      <w:pPr>
        <w:spacing w:before="40" w:after="40"/>
      </w:pPr>
    </w:p>
    <w:p>
      <w:pPr>
        <w:spacing w:before="200" w:after="80"/>
      </w:pPr>
      <w:r>
        <w:rPr>
          <w:rFonts w:ascii="Arial" w:cs="Arial" w:eastAsia="Arial" w:hAnsi="Arial"/>
          <w:b/>
          <w:bCs/>
          <w:color w:val="1A1A2E"/>
          <w:sz w:val="24"/>
          <w:szCs w:val="24"/>
        </w:rPr>
        <w:t xml:space="preserve">Why the Market Is Wrong</w:t>
      </w:r>
    </w:p>
    <w:p>
      <w:pPr>
        <w:spacing w:before="60" w:after="80"/>
      </w:pPr>
      <w:r>
        <w:rPr>
          <w:rFonts w:ascii="Arial" w:cs="Arial" w:eastAsia="Arial" w:hAnsi="Arial"/>
          <w:sz w:val="22"/>
          <w:szCs w:val="22"/>
        </w:rPr>
        <w:t xml:space="preserve">The market sees the scoreboard: favorite leads by 6 while shooting cold. Narrative says 'they're not clicking, it's a close game.' The math says the favorite is creating structural advantages (turnovers, rebounds, FT rate) that will express themselves fully once shooting normalizes. The lead should be 10–12, not 6. The market is pricing a coin flip when it should be pricing a 65% probability.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HRS (negative = cold shooting) + PA (structural dominance)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Market Edge (EV gate on leading team's contract)</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Oliver Four Factors — structural dominance predicts winning even during cold stretches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Typical entry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55–70¢ on the leading team's YES contract</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Typical target</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75–85¢ as lead grows and market reprices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Halftime or mid-Q3. Exit quicker than Trade 1 — sell into the regression move, don't wait for resolution.</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D8B"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3</w:t>
            </w:r>
          </w:p>
        </w:tc>
        <w:tc>
          <w:tcPr>
            <w:tcW w:type="dxa" w:w="8760"/>
            <w:tcBorders>
              <w:top w:val="none" w:color="FFFFFF" w:sz="0"/>
              <w:left w:val="none" w:color="FFFFFF" w:sz="0"/>
              <w:bottom w:val="none" w:color="FFFFFF" w:sz="0"/>
              <w:right w:val="none" w:color="FFFFFF" w:sz="0"/>
            </w:tcBorders>
            <w:shd w:fill="5B2D8B" w:val="clear"/>
            <w:tcMar>
              <w:top w:type="dxa" w:w="160"/>
              <w:left w:type="dxa" w:w="180"/>
              <w:bottom w:type="dxa" w:w="160"/>
              <w:right w:type="dxa" w:w="200"/>
            </w:tcMar>
          </w:tcPr>
          <w:p>
            <w:r>
              <w:rPr>
                <w:rFonts w:ascii="Arial" w:cs="Arial" w:eastAsia="Arial" w:hAnsi="Arial"/>
                <w:b/>
                <w:bCs/>
                <w:color w:val="FFFFFF"/>
                <w:sz w:val="32"/>
                <w:szCs w:val="32"/>
              </w:rPr>
              <w:t xml:space="preserve">Trend Convergence  </w:t>
            </w:r>
            <w:r>
              <w:rPr>
                <w:rFonts w:ascii="Arial" w:cs="Arial" w:eastAsia="Arial" w:hAnsi="Arial"/>
                <w:b/>
                <w:bCs/>
                <w:color w:val="FFFFFF"/>
                <w:sz w:val="22"/>
                <w:szCs w:val="22"/>
              </w:rPr>
              <w:t xml:space="preserve">[NEEDS TCI]</w:t>
            </w:r>
          </w:p>
          <w:p>
            <w:r>
              <w:rPr>
                <w:rFonts w:ascii="Arial" w:cs="Arial" w:eastAsia="Arial" w:hAnsi="Arial"/>
                <w:color w:val="FFFFFF"/>
                <w:sz w:val="20"/>
                <w:szCs w:val="20"/>
              </w:rPr>
              <w:t xml:space="preserve">Momentum Shift Buy — trust direction over snapshot</w:t>
            </w:r>
          </w:p>
        </w:tc>
      </w:tr>
    </w:tbl>
    <w:p>
      <w:pPr>
        <w:spacing w:before="40" w:after="40"/>
      </w:pPr>
    </w:p>
    <w:p>
      <w:pPr>
        <w:spacing w:before="60" w:after="80"/>
      </w:pPr>
      <w:r>
        <w:rPr>
          <w:rFonts w:ascii="Arial" w:cs="Arial" w:eastAsia="Arial" w:hAnsi="Arial"/>
          <w:sz w:val="22"/>
          <w:szCs w:val="22"/>
        </w:rPr>
        <w:t xml:space="preserve">The static indicators show one thing. The direction they're moving says another. All four core indicators simultaneously trending toward the same team over a rolling 6-minute window is a stronger signal than any single indicator's current value. Trade 3 buys the convergence before the scoreboard reflects it. TCI is the enabling indicator.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7F4EE" w:val="clear"/>
            <w:tcMar>
              <w:top w:type="dxa" w:w="100"/>
              <w:left w:type="dxa" w:w="180"/>
              <w:bottom w:type="dxa" w:w="100"/>
              <w:right w:type="dxa" w:w="180"/>
            </w:tcMar>
          </w:tcPr>
          <w:p>
            <w:r>
              <w:rPr>
                <w:rFonts w:ascii="Arial" w:cs="Arial" w:eastAsia="Arial" w:hAnsi="Arial"/>
                <w:i/>
                <w:iCs/>
                <w:sz w:val="21"/>
                <w:szCs w:val="21"/>
              </w:rPr>
              <w:t xml:space="preserve">This trade is team-agnostic. It could be the trailing team, it could be the leading team. The signal is the convergence of direction, not the position on the scoreboard.</w:t>
            </w:r>
          </w:p>
        </w:tc>
      </w:tr>
    </w:tbl>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TCI reads ±3 or ±4 (3 or all 4 indicators trending the same direction) over 6+ consecutive minutes</w:t>
      </w:r>
    </w:p>
    <w:p>
      <w:pPr>
        <w:pStyle w:val="ListParagraph"/>
        <w:numPr>
          <w:ilvl w:val="0"/>
          <w:numId w:val="2"/>
        </w:numPr>
        <w:spacing w:before="40" w:after="40"/>
      </w:pPr>
      <w:r>
        <w:rPr>
          <w:rFonts w:ascii="Arial" w:cs="Arial" w:eastAsia="Arial" w:hAnsi="Arial"/>
          <w:b w:val="false"/>
          <w:bCs w:val="false"/>
          <w:sz w:val="22"/>
          <w:szCs w:val="22"/>
        </w:rPr>
        <w:t xml:space="preserve">The trend has been building, not spiking — sustained directional movement, not a single-possession anomaly</w:t>
      </w:r>
    </w:p>
    <w:p>
      <w:pPr>
        <w:pStyle w:val="ListParagraph"/>
        <w:numPr>
          <w:ilvl w:val="0"/>
          <w:numId w:val="2"/>
        </w:numPr>
        <w:spacing w:before="40" w:after="40"/>
      </w:pPr>
      <w:r>
        <w:rPr>
          <w:rFonts w:ascii="Arial" w:cs="Arial" w:eastAsia="Arial" w:hAnsi="Arial"/>
          <w:b w:val="false"/>
          <w:bCs w:val="false"/>
          <w:sz w:val="22"/>
          <w:szCs w:val="22"/>
        </w:rPr>
        <w:t xml:space="preserve">The team TCI favors has a price dip available — the market hasn't caught up yet to what the indicators are showing</w:t>
      </w:r>
    </w:p>
    <w:p>
      <w:pPr>
        <w:pStyle w:val="ListParagraph"/>
        <w:numPr>
          <w:ilvl w:val="0"/>
          <w:numId w:val="2"/>
        </w:numPr>
        <w:spacing w:before="40" w:after="40"/>
      </w:pPr>
      <w:r>
        <w:rPr>
          <w:rFonts w:ascii="Arial" w:cs="Arial" w:eastAsia="Arial" w:hAnsi="Arial"/>
          <w:b w:val="false"/>
          <w:bCs w:val="false"/>
          <w:sz w:val="22"/>
          <w:szCs w:val="22"/>
        </w:rPr>
        <w:t xml:space="preserve">Second half only — first half trends are too noisy to act on</w:t>
      </w:r>
    </w:p>
    <w:p>
      <w:pPr>
        <w:spacing w:before="40" w:after="40"/>
      </w:pPr>
    </w:p>
    <w:p>
      <w:pPr>
        <w:spacing w:before="200" w:after="80"/>
      </w:pPr>
      <w:r>
        <w:rPr>
          <w:rFonts w:ascii="Arial" w:cs="Arial" w:eastAsia="Arial" w:hAnsi="Arial"/>
          <w:b/>
          <w:bCs/>
          <w:color w:val="1A1A2E"/>
          <w:sz w:val="24"/>
          <w:szCs w:val="24"/>
        </w:rPr>
        <w:t xml:space="preserve">Why Sustained Trends Matter</w:t>
      </w:r>
    </w:p>
    <w:p>
      <w:pPr>
        <w:spacing w:before="60" w:after="80"/>
      </w:pPr>
      <w:r>
        <w:rPr>
          <w:rFonts w:ascii="Arial" w:cs="Arial" w:eastAsia="Arial" w:hAnsi="Arial"/>
          <w:sz w:val="22"/>
          <w:szCs w:val="22"/>
        </w:rPr>
        <w:t xml:space="preserve">A single indicator moving favorably is noise. PA at +3.2 for 2 minutes could reverse the next possession. But HRS warming up, PA improving, ES rising, and CC building simultaneously for 6 minutes is a coordinated structural shift. The market prices the current score. TCI shows the underlying dynamics are realigning before the scoreboard reflects it.</w:t>
      </w:r>
    </w:p>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TCI at ±3 or ±4 — three or four indicators trending same direction</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Trend sustained for at least 6 minutes (not a spike, not a single-possession artifact)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Second half only — Q3 or Q4 (not first half, not overtime without reassessment)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Price dip exists on the team TCI favors — market hasn't repriced yet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EV gate ≥ 8pp still applies — TCI doesn't override the fair value filter</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TCI just crossed to ±3 in the last 60 seconds — wait for confirmation that it holds</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in Q4 with less than 6 minutes remaining without time pressure adjustment</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Monitor TCI subpanel on ESX from the start of Q3. Note when it first crosses ±2.</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Start the 6-minute clock when TCI crosses ±3. If it holds at ±3 or rises to ±4 for 6 minutes, the signal is confirmed.</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Identify which team TCI favors. Check their ESX contract price for a dip opportunity.</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Calculate fair value via Market Edge. Confirm ≥ 8pp EV gate.</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Look for PA Zero-Cross: if PA crosses zero simultaneously with TCI at ±4, this is the highest-conviction confirmation signal.</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Place maker-only limit order on the favored team's YES contract.</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Position size: Half-Kelly. If TCI is at ±4 with PA Zero-Cross, this is a high-conviction signal — can push toward upper Half-Kelly range.</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Set a tighter exit target than Trade 1: target 15–25¢ of contract price movement. Trend trades are about catching the repricing wave, not holding to resolution.</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Sell when the market catches up to what TCI showed — when the contract price has moved 15–25¢ in your direction.</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Forced exit at 4:00 remaining Q4.</w:t>
            </w:r>
          </w:p>
        </w:tc>
      </w:tr>
    </w:tbl>
    <w:p>
      <w:pPr>
        <w:spacing w:before="40" w:after="40"/>
      </w:pPr>
    </w:p>
    <w:p>
      <w:pPr>
        <w:spacing w:before="200" w:after="80"/>
      </w:pPr>
      <w:r>
        <w:rPr>
          <w:rFonts w:ascii="Arial" w:cs="Arial" w:eastAsia="Arial" w:hAnsi="Arial"/>
          <w:b/>
          <w:bCs/>
          <w:color w:val="1A1A2E"/>
          <w:sz w:val="24"/>
          <w:szCs w:val="24"/>
        </w:rPr>
        <w:t xml:space="preserve">Example (LAL/NOP, Q4)</w:t>
      </w:r>
    </w:p>
    <w:p>
      <w:pPr>
        <w:spacing w:before="60" w:after="80"/>
      </w:pPr>
      <w:r>
        <w:rPr>
          <w:rFonts w:ascii="Arial" w:cs="Arial" w:eastAsia="Arial" w:hAnsi="Arial"/>
          <w:sz w:val="22"/>
          <w:szCs w:val="22"/>
        </w:rPr>
        <w:t xml:space="preserve">End of Q3, static indicators all said NOP: PA 6.2, HRS -4.1 (NOP cold). But every indicator was trending toward LAL — HRS warming for Lakers, PA eroding for NOP, ES climbing for LAL, CC flat. TCI would have read -3 or -4 (favoring LAL as the away team). Static snapshot said NOP. Direction said LAL. Lakers won Q4 by 11. The trend was the signal.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TCI (Trend Convergence Index) — must be ±3 or ±4 for ≥6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 Zero-Cross (strongest confirmation), Market Edge (EV gate)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Trade direction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Team-agnostic — could be trailing OR leading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Derivative of HRS/PA/ES/CC research — convergence of indicators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Typical movement target</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15–25¢ of contract price movement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NEEDS TCI — Frank building on ESX</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1A1A"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4</w:t>
            </w:r>
          </w:p>
        </w:tc>
        <w:tc>
          <w:tcPr>
            <w:tcW w:type="dxa" w:w="8760"/>
            <w:tcBorders>
              <w:top w:val="none" w:color="FFFFFF" w:sz="0"/>
              <w:left w:val="none" w:color="FFFFFF" w:sz="0"/>
              <w:bottom w:val="none" w:color="FFFFFF" w:sz="0"/>
              <w:right w:val="none" w:color="FFFFFF" w:sz="0"/>
            </w:tcBorders>
            <w:shd w:fill="6B1A1A" w:val="clear"/>
            <w:tcMar>
              <w:top w:type="dxa" w:w="160"/>
              <w:left w:type="dxa" w:w="180"/>
              <w:bottom w:type="dxa" w:w="160"/>
              <w:right w:type="dxa" w:w="200"/>
            </w:tcMar>
          </w:tcPr>
          <w:p>
            <w:r>
              <w:rPr>
                <w:rFonts w:ascii="Arial" w:cs="Arial" w:eastAsia="Arial" w:hAnsi="Arial"/>
                <w:b/>
                <w:bCs/>
                <w:color w:val="FFFFFF"/>
                <w:sz w:val="32"/>
                <w:szCs w:val="32"/>
              </w:rPr>
              <w:t xml:space="preserve">Star Takeover  </w:t>
            </w:r>
            <w:r>
              <w:rPr>
                <w:rFonts w:ascii="Arial" w:cs="Arial" w:eastAsia="Arial" w:hAnsi="Arial"/>
                <w:b/>
                <w:bCs/>
                <w:color w:val="FFFFFF"/>
                <w:sz w:val="22"/>
                <w:szCs w:val="22"/>
              </w:rPr>
              <w:t xml:space="preserve">[NEEDS STI]</w:t>
            </w:r>
          </w:p>
          <w:p>
            <w:r>
              <w:rPr>
                <w:rFonts w:ascii="Arial" w:cs="Arial" w:eastAsia="Arial" w:hAnsi="Arial"/>
                <w:color w:val="FFFFFF"/>
                <w:sz w:val="20"/>
                <w:szCs w:val="20"/>
              </w:rPr>
              <w:t xml:space="preserve">Elite Player Surge Buy — the team indicators miss this</w:t>
            </w:r>
          </w:p>
        </w:tc>
      </w:tr>
    </w:tbl>
    <w:p>
      <w:pPr>
        <w:spacing w:before="40" w:after="40"/>
      </w:pPr>
    </w:p>
    <w:p>
      <w:pPr>
        <w:spacing w:before="60" w:after="80"/>
      </w:pPr>
      <w:r>
        <w:rPr>
          <w:rFonts w:ascii="Arial" w:cs="Arial" w:eastAsia="Arial" w:hAnsi="Arial"/>
          <w:sz w:val="22"/>
          <w:szCs w:val="22"/>
        </w:rPr>
        <w:t xml:space="preserve">Team-level indicators (HRS, PA, ES, CC) aggregate all five players equally. When a star player concentrates usage and elevates their output significantly above season baseline, the team's effective quality jumps above what the aggregated indicators show. STI isolates this signal. Trade 4 buys when the market prices the team at average quality while the star is operating above it.</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A top-10 NBA player's current-quarter usage or scoring rate is ≥ 8 points above their season baseline (STI ≥ +8)</w:t>
      </w:r>
    </w:p>
    <w:p>
      <w:pPr>
        <w:pStyle w:val="ListParagraph"/>
        <w:numPr>
          <w:ilvl w:val="0"/>
          <w:numId w:val="2"/>
        </w:numPr>
        <w:spacing w:before="40" w:after="40"/>
      </w:pPr>
      <w:r>
        <w:rPr>
          <w:rFonts w:ascii="Arial" w:cs="Arial" w:eastAsia="Arial" w:hAnsi="Arial"/>
          <w:b w:val="false"/>
          <w:bCs w:val="false"/>
          <w:sz w:val="22"/>
          <w:szCs w:val="22"/>
        </w:rPr>
        <w:t xml:space="preserve">The opposing team has no equivalent star takeover happening (one-sided surge)</w:t>
      </w:r>
    </w:p>
    <w:p>
      <w:pPr>
        <w:pStyle w:val="ListParagraph"/>
        <w:numPr>
          <w:ilvl w:val="0"/>
          <w:numId w:val="2"/>
        </w:numPr>
        <w:spacing w:before="40" w:after="40"/>
      </w:pPr>
      <w:r>
        <w:rPr>
          <w:rFonts w:ascii="Arial" w:cs="Arial" w:eastAsia="Arial" w:hAnsi="Arial"/>
          <w:b w:val="false"/>
          <w:bCs w:val="false"/>
          <w:sz w:val="22"/>
          <w:szCs w:val="22"/>
        </w:rPr>
        <w:t xml:space="preserve">The team with the star has the talent profile to sustain a takeover (top-10 player in a competitive game)</w:t>
      </w:r>
    </w:p>
    <w:p>
      <w:pPr>
        <w:pStyle w:val="ListParagraph"/>
        <w:numPr>
          <w:ilvl w:val="0"/>
          <w:numId w:val="2"/>
        </w:numPr>
        <w:spacing w:before="40" w:after="40"/>
      </w:pPr>
      <w:r>
        <w:rPr>
          <w:rFonts w:ascii="Arial" w:cs="Arial" w:eastAsia="Arial" w:hAnsi="Arial"/>
          <w:b w:val="false"/>
          <w:bCs w:val="false"/>
          <w:sz w:val="22"/>
          <w:szCs w:val="22"/>
        </w:rPr>
        <w:t xml:space="preserve">The market price hasn't fully adjusted to the individual surge yet</w:t>
      </w:r>
    </w:p>
    <w:p>
      <w:pPr>
        <w:spacing w:before="40" w:after="40"/>
      </w:pPr>
    </w:p>
    <w:p>
      <w:pPr>
        <w:spacing w:before="200" w:after="80"/>
      </w:pPr>
      <w:r>
        <w:rPr>
          <w:rFonts w:ascii="Arial" w:cs="Arial" w:eastAsia="Arial" w:hAnsi="Arial"/>
          <w:b/>
          <w:bCs/>
          <w:color w:val="1A1A2E"/>
          <w:sz w:val="24"/>
          <w:szCs w:val="24"/>
        </w:rPr>
        <w:t xml:space="preserve">LeBron at 28% vs LeBron at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7F4EE" w:val="clear"/>
            <w:tcMar>
              <w:top w:type="dxa" w:w="100"/>
              <w:left w:type="dxa" w:w="180"/>
              <w:bottom w:type="dxa" w:w="100"/>
              <w:right w:type="dxa" w:w="180"/>
            </w:tcMar>
          </w:tcPr>
          <w:p>
            <w:r>
              <w:rPr>
                <w:rFonts w:ascii="Arial" w:cs="Arial" w:eastAsia="Arial" w:hAnsi="Arial"/>
                <w:i/>
                <w:iCs/>
                <w:sz w:val="21"/>
                <w:szCs w:val="21"/>
              </w:rPr>
              <w:t xml:space="preserve">LeBron at 40% usage is a fundamentally different team than LeBron at 28% usage. PA still measures team possession advantage. HRS still measures team eFG%. ES still measures team shot profile. None of them specifically flag that one player has taken over the game. STI does.</w:t>
            </w:r>
          </w:p>
        </w:tc>
      </w:tr>
    </w:tbl>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STI ≥ +8 on the star player — operating 8+ points above season baseline usage/scoring rate in this quarter</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Surge is one-sided — opposing team's top player is not also in takeover mode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Star is a top-10 NBA player (the takeover needs to be from someone with proven ability to sustain it)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Price hasn't already fully adjusted to reflect the star's individual performance above team rate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EV gate ≥ 8pp on Market Edge still required</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the star has 4+ fouls — risk of fouling out reverses the trade immediately</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team-level indicators are sharply negative despite the star's surge — the team may be absorbing the star's shots without structural improvement</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Monitor STI on ESX from tip-off. STI tracks the top player's per-quarter usage concentration vs season baseline.</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When STI crosses +8, flag the game. Confirm it's a one-sided surge — check the opposing team's top player's STI.</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Verify the star has fewer than 4 fouls. Check they have not hit their historical bench threshold.</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Check Market Edge fair value vs ESX price. EV gate ≥ 8pp required.</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Place maker-only limit order on the star's team YES contract.</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Position size: Half-Kelly. Stars who take over in close Q4 games tend to sustain it. This is a hold-through signal, not a quick flip.</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Hold through the takeover. Unlike Trade 3 which targets 15–25¢ movement, Trade 4 can be held longer if the star sustains elevated usage.</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Exit if: STI drops back to baseline (usage normalization or fatigue), star picks up their 5th foul, or team indicator signals reverse sharply.</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Forced exit at 4:00 remaining Q4 regardless.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STI (Star Takeover Index) — must be ≥ +8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Market Edge (EV gate), foul count watch</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Trade direction</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Team with the star takeover — could be trailing or leading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Exit 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Usage normalization, foul trouble, or 4:00 Q4 time stop</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Status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NEEDS STI — Frank building on ESX</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5B6B"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5</w:t>
            </w:r>
          </w:p>
        </w:tc>
        <w:tc>
          <w:tcPr>
            <w:tcW w:type="dxa" w:w="8760"/>
            <w:tcBorders>
              <w:top w:val="none" w:color="FFFFFF" w:sz="0"/>
              <w:left w:val="none" w:color="FFFFFF" w:sz="0"/>
              <w:bottom w:val="none" w:color="FFFFFF" w:sz="0"/>
              <w:right w:val="none" w:color="FFFFFF" w:sz="0"/>
            </w:tcBorders>
            <w:shd w:fill="1A5B6B" w:val="clear"/>
            <w:tcMar>
              <w:top w:type="dxa" w:w="160"/>
              <w:left w:type="dxa" w:w="180"/>
              <w:bottom w:type="dxa" w:w="160"/>
              <w:right w:type="dxa" w:w="200"/>
            </w:tcMar>
          </w:tcPr>
          <w:p>
            <w:r>
              <w:rPr>
                <w:rFonts w:ascii="Arial" w:cs="Arial" w:eastAsia="Arial" w:hAnsi="Arial"/>
                <w:b/>
                <w:bCs/>
                <w:color w:val="FFFFFF"/>
                <w:sz w:val="32"/>
                <w:szCs w:val="32"/>
              </w:rPr>
              <w:t xml:space="preserve">Foul Trouble Overreaction  </w:t>
            </w:r>
            <w:r>
              <w:rPr>
                <w:rFonts w:ascii="Arial" w:cs="Arial" w:eastAsia="Arial" w:hAnsi="Arial"/>
                <w:b/>
                <w:bCs/>
                <w:color w:val="FFFFFF"/>
                <w:sz w:val="22"/>
                <w:szCs w:val="22"/>
              </w:rPr>
              <w:t xml:space="preserve">[PROPOSED]</w:t>
            </w:r>
          </w:p>
          <w:p>
            <w:r>
              <w:rPr>
                <w:rFonts w:ascii="Arial" w:cs="Arial" w:eastAsia="Arial" w:hAnsi="Arial"/>
                <w:color w:val="FFFFFF"/>
                <w:sz w:val="20"/>
                <w:szCs w:val="20"/>
              </w:rPr>
              <w:t xml:space="preserve">Buy YES on trailing team when opponent's star is over-benched</w:t>
            </w:r>
          </w:p>
        </w:tc>
      </w:tr>
    </w:tbl>
    <w:p>
      <w:pPr>
        <w:spacing w:before="40" w:after="40"/>
      </w:pPr>
    </w:p>
    <w:p>
      <w:pPr>
        <w:spacing w:before="60" w:after="80"/>
      </w:pPr>
      <w:r>
        <w:rPr>
          <w:rFonts w:ascii="Arial" w:cs="Arial" w:eastAsia="Arial" w:hAnsi="Arial"/>
          <w:sz w:val="22"/>
          <w:szCs w:val="22"/>
        </w:rPr>
        <w:t xml:space="preserve">When the opposing team's star picks up early foul trouble and gets benched, the market overprices the degraded lineup as if the star won't return. The data is clear: players averaging 25+ minutes foul out only 1.7% of the time. NBA coaches over-bench by 4–8 unnecessary minutes. The star comes back. The market doesn't price that return quickly enough.</w:t>
      </w:r>
    </w:p>
    <w:p>
      <w:pPr>
        <w:spacing w:before="40" w:after="40"/>
      </w:pPr>
    </w:p>
    <w:p>
      <w:pPr>
        <w:spacing w:before="200" w:after="80"/>
      </w:pPr>
      <w:r>
        <w:rPr>
          <w:rFonts w:ascii="Arial" w:cs="Arial" w:eastAsia="Arial" w:hAnsi="Arial"/>
          <w:b/>
          <w:bCs/>
          <w:color w:val="1A1A2E"/>
          <w:sz w:val="24"/>
          <w:szCs w:val="24"/>
        </w:rPr>
        <w:t xml:space="preserve">The Academic Foundation</w:t>
      </w:r>
    </w:p>
    <w:p>
      <w:pPr>
        <w:spacing w:before="60" w:after="80"/>
      </w:pPr>
      <w:r>
        <w:rPr>
          <w:rFonts w:ascii="Arial" w:cs="Arial" w:eastAsia="Arial" w:hAnsi="Arial"/>
          <w:sz w:val="22"/>
          <w:szCs w:val="22"/>
        </w:rPr>
        <w:t xml:space="preserve">Maymin, Maymin &amp; Shen (2012, MIT Sloan) proved using option-pricing models that coaches 'voluntarily impose the penalty they are trying to avoid' by over-benching foul-troubled players. Survival model data shows that even with 5 fouls in Q4, a player fouls out only 20.6% of the time. Players left in foul trouble actually score 4% more and draw 20% more fouls than baseline — partly due to referee compensating behavior.</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The leading team's star player (top-3 usage rate on team) picks up 2+ fouls in Q1 or 3+ fouls by mid-Q2</w:t>
      </w:r>
    </w:p>
    <w:p>
      <w:pPr>
        <w:pStyle w:val="ListParagraph"/>
        <w:numPr>
          <w:ilvl w:val="0"/>
          <w:numId w:val="2"/>
        </w:numPr>
        <w:spacing w:before="40" w:after="40"/>
      </w:pPr>
      <w:r>
        <w:rPr>
          <w:rFonts w:ascii="Arial" w:cs="Arial" w:eastAsia="Arial" w:hAnsi="Arial"/>
          <w:b w:val="false"/>
          <w:bCs w:val="false"/>
          <w:sz w:val="22"/>
          <w:szCs w:val="22"/>
        </w:rPr>
        <w:t xml:space="preserve">The star is confirmed benched via substitution data in the play-by-play</w:t>
      </w:r>
    </w:p>
    <w:p>
      <w:pPr>
        <w:pStyle w:val="ListParagraph"/>
        <w:numPr>
          <w:ilvl w:val="0"/>
          <w:numId w:val="2"/>
        </w:numPr>
        <w:spacing w:before="40" w:after="40"/>
      </w:pPr>
      <w:r>
        <w:rPr>
          <w:rFonts w:ascii="Arial" w:cs="Arial" w:eastAsia="Arial" w:hAnsi="Arial"/>
          <w:b w:val="false"/>
          <w:bCs w:val="false"/>
          <w:sz w:val="22"/>
          <w:szCs w:val="22"/>
        </w:rPr>
        <w:t xml:space="preserve">The team with the benched star is currently leading or within 5 points</w:t>
      </w:r>
    </w:p>
    <w:p>
      <w:pPr>
        <w:pStyle w:val="ListParagraph"/>
        <w:numPr>
          <w:ilvl w:val="0"/>
          <w:numId w:val="2"/>
        </w:numPr>
        <w:spacing w:before="40" w:after="40"/>
      </w:pPr>
      <w:r>
        <w:rPr>
          <w:rFonts w:ascii="Arial" w:cs="Arial" w:eastAsia="Arial" w:hAnsi="Arial"/>
          <w:b w:val="false"/>
          <w:bCs w:val="false"/>
          <w:sz w:val="22"/>
          <w:szCs w:val="22"/>
        </w:rPr>
        <w:t xml:space="preserve">Buy YES on the trailing team (the team without the star in foul trouble)</w:t>
      </w:r>
    </w:p>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Opponent's star has 2+ fouls in Q1 or 3+ fouls by mid-Q2 (Q+1 Rule: fouls &gt; quarter_number)</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Star is confirmed benched (ESPN play-by-play substitution event shows star exit, backup enters)</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Team with benched star is leading (you're buying the trailing team)</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Trailing team's ESX contract is 30–45¢</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Market Edge EV gate ≥ 8pp</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Trailing team's PA is neutral or positive (they can compete when the star is off the floor)</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the star sits for fewer than 4 minutes — that's a normal rest timeout, not foul-trouble benching</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the trailing team's own star is also in foul trouble (FPI cuts both ways)</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Monitor FPI subpanel on ESX. FPI will spike when a star player enters foul trouble above the Q+1 threshold.</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Confirm via play-by-play that the star left the game due to fouls (not injury or coach's choice for tactical reasons).</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Note the foul count and time: 2 fouls in Q1 = high conviction. 3 fouls in mid-Q2 = high conviction. 2 fouls in Q2 = medium conviction.</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Check the trailing team's PA — confirm they can actually compete with the star off the floor.</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Calculate Market Edge fair value with the star benched. This should show a larger edge than baseline because the market underprices the lineup degradation duration.</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Place maker-only limit order on trailing team YES contract at 30–45¢.</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Position size: Half-Kelly. This is time-limited — the trade opportunity closes when the star returns.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Monitor for the star's return: when they re-enter the game, the market will reprice immediately. Evaluate exit at that moment.</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If the trailing team takes the lead while the star is benched, this is a strong exit signal — take profit.</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Forced exit at 4:00 remaining Q4.</w:t>
            </w:r>
          </w:p>
        </w:tc>
      </w:tr>
    </w:tbl>
    <w:p>
      <w:pPr>
        <w:spacing w:before="40" w:after="40"/>
      </w:pPr>
    </w:p>
    <w:p>
      <w:pPr>
        <w:spacing w:before="200" w:after="80"/>
      </w:pPr>
      <w:r>
        <w:rPr>
          <w:rFonts w:ascii="Arial" w:cs="Arial" w:eastAsia="Arial" w:hAnsi="Arial"/>
          <w:b/>
          <w:bCs/>
          <w:color w:val="1A1A2E"/>
          <w:sz w:val="24"/>
          <w:szCs w:val="24"/>
        </w:rPr>
        <w:t xml:space="preserve">Why the Market Is Wrong</w:t>
      </w:r>
    </w:p>
    <w:p>
      <w:pPr>
        <w:spacing w:before="60" w:after="80"/>
      </w:pPr>
      <w:r>
        <w:rPr>
          <w:rFonts w:ascii="Arial" w:cs="Arial" w:eastAsia="Arial" w:hAnsi="Arial"/>
          <w:sz w:val="22"/>
          <w:szCs w:val="22"/>
        </w:rPr>
        <w:t xml:space="preserve">Live markets anchor on the current lineup. When the star is on the bench, the market prices the bench unit's quality as the permanent state. It doesn't model the expected re-entry time, the 98.3% probability the star doesn't foul out, or the 4–8 minute over-bench that coaches routinely impose. The market sees 'team down one star' and prices it accordingly. The math says it's temporary.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FPI (Foul Pressure Indicator) — star foul count vs Q+1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 (trailing team must be competitive), Market Edge (EV gate)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Maymin et al. (2012 MIT Sloan), survival model data — 1.7% foul-out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From star benching until star returns (typically 4–8 minutes). Exit evaluation when star re-enters.</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Status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PROPOSED — requires FPI indicator to be built first</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8B5A1A"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6</w:t>
            </w:r>
          </w:p>
        </w:tc>
        <w:tc>
          <w:tcPr>
            <w:tcW w:type="dxa" w:w="8760"/>
            <w:tcBorders>
              <w:top w:val="none" w:color="FFFFFF" w:sz="0"/>
              <w:left w:val="none" w:color="FFFFFF" w:sz="0"/>
              <w:bottom w:val="none" w:color="FFFFFF" w:sz="0"/>
              <w:right w:val="none" w:color="FFFFFF" w:sz="0"/>
            </w:tcBorders>
            <w:shd w:fill="8B5A1A" w:val="clear"/>
            <w:tcMar>
              <w:top w:type="dxa" w:w="160"/>
              <w:left w:type="dxa" w:w="180"/>
              <w:bottom w:type="dxa" w:w="160"/>
              <w:right w:type="dxa" w:w="200"/>
            </w:tcMar>
          </w:tcPr>
          <w:p>
            <w:r>
              <w:rPr>
                <w:rFonts w:ascii="Arial" w:cs="Arial" w:eastAsia="Arial" w:hAnsi="Arial"/>
                <w:b/>
                <w:bCs/>
                <w:color w:val="FFFFFF"/>
                <w:sz w:val="32"/>
                <w:szCs w:val="32"/>
              </w:rPr>
              <w:t xml:space="preserve">Back-to-Back Fatigue Compounding  </w:t>
            </w:r>
            <w:r>
              <w:rPr>
                <w:rFonts w:ascii="Arial" w:cs="Arial" w:eastAsia="Arial" w:hAnsi="Arial"/>
                <w:b/>
                <w:bCs/>
                <w:color w:val="FFFFFF"/>
                <w:sz w:val="22"/>
                <w:szCs w:val="22"/>
              </w:rPr>
              <w:t xml:space="preserve">[PROPOSED]</w:t>
            </w:r>
          </w:p>
          <w:p>
            <w:r>
              <w:rPr>
                <w:rFonts w:ascii="Arial" w:cs="Arial" w:eastAsia="Arial" w:hAnsi="Arial"/>
                <w:color w:val="FFFFFF"/>
                <w:sz w:val="20"/>
                <w:szCs w:val="20"/>
              </w:rPr>
              <w:t xml:space="preserve">Buy YES on rested team trailing a B2B opponent</w:t>
            </w:r>
          </w:p>
        </w:tc>
      </w:tr>
    </w:tbl>
    <w:p>
      <w:pPr>
        <w:spacing w:before="40" w:after="40"/>
      </w:pPr>
    </w:p>
    <w:p>
      <w:pPr>
        <w:spacing w:before="60" w:after="80"/>
      </w:pPr>
      <w:r>
        <w:rPr>
          <w:rFonts w:ascii="Arial" w:cs="Arial" w:eastAsia="Arial" w:hAnsi="Arial"/>
          <w:sz w:val="22"/>
          <w:szCs w:val="22"/>
        </w:rPr>
        <w:t xml:space="preserve">Fatigue on the second night of a back-to-back doesn't apply uniformly from tip-off. It compounds nonlinearly through the game, accelerating in Q3 and Q4. A fatigued team trailing by 5 at halftime looks like a normal game. By Q4, their defensive energy, shooting mechanics, and decision-making degrade. The market partially adjusts pre-game but doesn't model the in-game compounding. Buy the rested team when it's trailing but fatigue is beginning to show.</w:t>
      </w:r>
    </w:p>
    <w:p>
      <w:pPr>
        <w:spacing w:before="40" w:after="40"/>
      </w:pPr>
    </w:p>
    <w:p>
      <w:pPr>
        <w:spacing w:before="200" w:after="80"/>
      </w:pPr>
      <w:r>
        <w:rPr>
          <w:rFonts w:ascii="Arial" w:cs="Arial" w:eastAsia="Arial" w:hAnsi="Arial"/>
          <w:b/>
          <w:bCs/>
          <w:color w:val="1A1A2E"/>
          <w:sz w:val="24"/>
          <w:szCs w:val="24"/>
        </w:rPr>
        <w:t xml:space="preserve">Key Research Numbers</w:t>
      </w:r>
    </w:p>
    <w:p>
      <w:pPr>
        <w:pStyle w:val="ListParagraph"/>
        <w:numPr>
          <w:ilvl w:val="0"/>
          <w:numId w:val="2"/>
        </w:numPr>
        <w:spacing w:before="40" w:after="40"/>
      </w:pPr>
      <w:r>
        <w:rPr>
          <w:rFonts w:ascii="Arial" w:cs="Arial" w:eastAsia="Arial" w:hAnsi="Arial"/>
          <w:b w:val="false"/>
          <w:bCs w:val="false"/>
          <w:sz w:val="22"/>
          <w:szCs w:val="22"/>
        </w:rPr>
        <w:t xml:space="preserve">Away-Away B2B win rate: 39.2% vs Away-Home at 54.4% (Charest et al. 2021 — JCSM)</w:t>
      </w:r>
    </w:p>
    <w:p>
      <w:pPr>
        <w:pStyle w:val="ListParagraph"/>
        <w:numPr>
          <w:ilvl w:val="0"/>
          <w:numId w:val="2"/>
        </w:numPr>
        <w:spacing w:before="40" w:after="40"/>
      </w:pPr>
      <w:r>
        <w:rPr>
          <w:rFonts w:ascii="Arial" w:cs="Arial" w:eastAsia="Arial" w:hAnsi="Arial"/>
          <w:b w:val="false"/>
          <w:bCs w:val="false"/>
          <w:sz w:val="22"/>
          <w:szCs w:val="22"/>
        </w:rPr>
        <w:t xml:space="preserve">Teams on zero rest days score 1.1–1.6 fewer points per game (Entine &amp; Small, 2008)</w:t>
      </w:r>
    </w:p>
    <w:p>
      <w:pPr>
        <w:pStyle w:val="ListParagraph"/>
        <w:numPr>
          <w:ilvl w:val="0"/>
          <w:numId w:val="2"/>
        </w:numPr>
        <w:spacing w:before="40" w:after="40"/>
      </w:pPr>
      <w:r>
        <w:rPr>
          <w:rFonts w:ascii="Arial" w:cs="Arial" w:eastAsia="Arial" w:hAnsi="Arial"/>
          <w:b w:val="false"/>
          <w:bCs w:val="false"/>
          <w:sz w:val="22"/>
          <w:szCs w:val="22"/>
        </w:rPr>
        <w:t xml:space="preserve">Performance decline is steeper in Q3/Q4 than Q1/Q2 — fatigue compounds</w:t>
      </w:r>
    </w:p>
    <w:p>
      <w:pPr>
        <w:pStyle w:val="ListParagraph"/>
        <w:numPr>
          <w:ilvl w:val="0"/>
          <w:numId w:val="2"/>
        </w:numPr>
        <w:spacing w:before="40" w:after="40"/>
      </w:pPr>
      <w:r>
        <w:rPr>
          <w:rFonts w:ascii="Arial" w:cs="Arial" w:eastAsia="Arial" w:hAnsi="Arial"/>
          <w:b w:val="false"/>
          <w:bCs w:val="false"/>
          <w:sz w:val="22"/>
          <w:szCs w:val="22"/>
        </w:rPr>
        <w:t xml:space="preserve">Cross-country travel on B2B significantly amplifies the effect</w:t>
      </w:r>
    </w:p>
    <w:p>
      <w:pPr>
        <w:pStyle w:val="ListParagraph"/>
        <w:numPr>
          <w:ilvl w:val="0"/>
          <w:numId w:val="2"/>
        </w:numPr>
        <w:spacing w:before="40" w:after="40"/>
      </w:pPr>
      <w:r>
        <w:rPr>
          <w:rFonts w:ascii="Arial" w:cs="Arial" w:eastAsia="Arial" w:hAnsi="Arial"/>
          <w:b w:val="false"/>
          <w:bCs w:val="false"/>
          <w:sz w:val="22"/>
          <w:szCs w:val="22"/>
        </w:rPr>
        <w:t xml:space="preserve">Pre-game market adjustment: 2–4 points. This is incomplete — doesn't capture in-game compounding.</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Opponent is playing the second night of a B2B, especially with cross-country travel the previous night</w:t>
      </w:r>
    </w:p>
    <w:p>
      <w:pPr>
        <w:pStyle w:val="ListParagraph"/>
        <w:numPr>
          <w:ilvl w:val="0"/>
          <w:numId w:val="2"/>
        </w:numPr>
        <w:spacing w:before="40" w:after="40"/>
      </w:pPr>
      <w:r>
        <w:rPr>
          <w:rFonts w:ascii="Arial" w:cs="Arial" w:eastAsia="Arial" w:hAnsi="Arial"/>
          <w:b w:val="false"/>
          <w:bCs w:val="false"/>
          <w:sz w:val="22"/>
          <w:szCs w:val="22"/>
        </w:rPr>
        <w:t xml:space="preserve">Your team has 2+ days of rest</w:t>
      </w:r>
    </w:p>
    <w:p>
      <w:pPr>
        <w:pStyle w:val="ListParagraph"/>
        <w:numPr>
          <w:ilvl w:val="0"/>
          <w:numId w:val="2"/>
        </w:numPr>
        <w:spacing w:before="40" w:after="40"/>
      </w:pPr>
      <w:r>
        <w:rPr>
          <w:rFonts w:ascii="Arial" w:cs="Arial" w:eastAsia="Arial" w:hAnsi="Arial"/>
          <w:b w:val="false"/>
          <w:bCs w:val="false"/>
          <w:sz w:val="22"/>
          <w:szCs w:val="22"/>
        </w:rPr>
        <w:t xml:space="preserve">The rested team is trailing by 5–12 points</w:t>
      </w:r>
    </w:p>
    <w:p>
      <w:pPr>
        <w:pStyle w:val="ListParagraph"/>
        <w:numPr>
          <w:ilvl w:val="0"/>
          <w:numId w:val="2"/>
        </w:numPr>
        <w:spacing w:before="40" w:after="40"/>
      </w:pPr>
      <w:r>
        <w:rPr>
          <w:rFonts w:ascii="Arial" w:cs="Arial" w:eastAsia="Arial" w:hAnsi="Arial"/>
          <w:b w:val="false"/>
          <w:bCs w:val="false"/>
          <w:sz w:val="22"/>
          <w:szCs w:val="22"/>
        </w:rPr>
        <w:t xml:space="preserve">It's Q2 or later — early enough that fatigue has started to show but still enough time for it to compound</w:t>
      </w:r>
    </w:p>
    <w:p>
      <w:pPr>
        <w:spacing w:before="40" w:after="40"/>
      </w:pPr>
    </w:p>
    <w:p>
      <w:pPr>
        <w:spacing w:before="200" w:after="80"/>
      </w:pPr>
      <w:r>
        <w:rPr>
          <w:rFonts w:ascii="Arial" w:cs="Arial" w:eastAsia="Arial" w:hAnsi="Arial"/>
          <w:b/>
          <w:bCs/>
          <w:color w:val="1A1A2E"/>
          <w:sz w:val="24"/>
          <w:szCs w:val="24"/>
        </w:rPr>
        <w:t xml:space="preserve">In-Game Fatigue Signals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B2B flag confirmed pre-game via FLI indicator</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Rested team trailing by 5–12 points in Q2 or Q3</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B2B team's defensive energy metrics declining (pace dropping, transition rate dropping, turnovers increasing)</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B2B team's shooting performance declining relative to Q1 baseline (HRS dropping)</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Market Edge EV gate ≥ 8pp on rested team's contract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rested team is trailing by 15+ (too much to overcome even with fatigue advantage)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in Q1 — fatigue hasn't manifested yet; wait for Q2/Q3 signals</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Pre-game: check the schedule. Identify which team is on B2B, rest days for both teams, and whether there was cross-country travel. Flag the game for Trade 6 monitoring.</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Set FLI on ESX to show the B2B flag and travel context from tip-off.</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Do not trade in Q1. Monitor the game flow. Note if B2B team shows early fatigue signals.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In Q2 or Q3: if rested team is trailing 5–12 and FLI shows B2B team fatigue compounding (declining metrics), evaluate entry.</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Check HRS — has the B2B team's shooting rate dropped from Q1 to Q2/Q3? This is a fatigue signal.</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Calculate Market Edge fair value for the rested team's contract. EV gate ≥ 8pp required.</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Place maker-only limit order on rested team YES contract at 30–45¢.</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Best Q3/Q4 are when fatigue compounds most. Monitor B2B team's pace and defensive effort.</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Exit when rested team closes to within 3 points (market will reprice sharply) or at the 50¢ target.</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Forced exit at 4:00 remaining Q4.</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FLI (Fatigue/Load Indicator) — B2B flag + travel context + in-game pace decline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HRS (B2B team's shooting declining), NRΔ (B2B team underperforming baseline)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Charest et al. (2021), Entine &amp; Small (2008), CMU load management study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Best entry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Q2 through mid-Q3 when fatigue has started compounding</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Status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PROPOSED — requires FLI indicator to be built first</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4A4A4A"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7</w:t>
            </w:r>
          </w:p>
        </w:tc>
        <w:tc>
          <w:tcPr>
            <w:tcW w:type="dxa" w:w="8760"/>
            <w:tcBorders>
              <w:top w:val="none" w:color="FFFFFF" w:sz="0"/>
              <w:left w:val="none" w:color="FFFFFF" w:sz="0"/>
              <w:bottom w:val="none" w:color="FFFFFF" w:sz="0"/>
              <w:right w:val="none" w:color="FFFFFF" w:sz="0"/>
            </w:tcBorders>
            <w:shd w:fill="4A4A4A" w:val="clear"/>
            <w:tcMar>
              <w:top w:type="dxa" w:w="160"/>
              <w:left w:type="dxa" w:w="180"/>
              <w:bottom w:type="dxa" w:w="160"/>
              <w:right w:type="dxa" w:w="200"/>
            </w:tcMar>
          </w:tcPr>
          <w:p>
            <w:r>
              <w:rPr>
                <w:rFonts w:ascii="Arial" w:cs="Arial" w:eastAsia="Arial" w:hAnsi="Arial"/>
                <w:b/>
                <w:bCs/>
                <w:color w:val="FFFFFF"/>
                <w:sz w:val="32"/>
                <w:szCs w:val="32"/>
              </w:rPr>
              <w:t xml:space="preserve">Timeout Anti-Momentum  </w:t>
            </w:r>
            <w:r>
              <w:rPr>
                <w:rFonts w:ascii="Arial" w:cs="Arial" w:eastAsia="Arial" w:hAnsi="Arial"/>
                <w:b/>
                <w:bCs/>
                <w:color w:val="FFFFFF"/>
                <w:sz w:val="22"/>
                <w:szCs w:val="22"/>
              </w:rPr>
              <w:t xml:space="preserve">[PROPOSED]</w:t>
            </w:r>
          </w:p>
          <w:p>
            <w:r>
              <w:rPr>
                <w:rFonts w:ascii="Arial" w:cs="Arial" w:eastAsia="Arial" w:hAnsi="Arial"/>
                <w:color w:val="FFFFFF"/>
                <w:sz w:val="20"/>
                <w:szCs w:val="20"/>
              </w:rPr>
              <w:t xml:space="preserve">Buy the running team when the market drops them post-timeout</w:t>
            </w:r>
          </w:p>
        </w:tc>
      </w:tr>
    </w:tbl>
    <w:p>
      <w:pPr>
        <w:spacing w:before="40" w:after="40"/>
      </w:pPr>
    </w:p>
    <w:p>
      <w:pPr>
        <w:spacing w:before="60" w:after="80"/>
      </w:pPr>
      <w:r>
        <w:rPr>
          <w:rFonts w:ascii="Arial" w:cs="Arial" w:eastAsia="Arial" w:hAnsi="Arial"/>
          <w:sz w:val="22"/>
          <w:szCs w:val="22"/>
        </w:rPr>
        <w:t xml:space="preserve">There is a pervasive cultural belief that timeouts 'stop runs' and 'break momentum.' TV commentary reinforces it constantly. The market reprices accordingly — when the running team's opponent calls a timeout, the running team's contract drops a few cents. Multiple rigorous academic studies show this belief is wrong. Timeouts have no causal effect on scoring runs. The run ends on its own through regression to the mean. The timeout post-dip is a pricing error.</w:t>
      </w:r>
    </w:p>
    <w:p>
      <w:pPr>
        <w:spacing w:before="40" w:after="40"/>
      </w:pPr>
    </w:p>
    <w:p>
      <w:pPr>
        <w:spacing w:before="200" w:after="80"/>
      </w:pPr>
      <w:r>
        <w:rPr>
          <w:rFonts w:ascii="Arial" w:cs="Arial" w:eastAsia="Arial" w:hAnsi="Arial"/>
          <w:b/>
          <w:bCs/>
          <w:color w:val="1A1A2E"/>
          <w:sz w:val="24"/>
          <w:szCs w:val="24"/>
        </w:rPr>
        <w:t xml:space="preserve">The Research</w:t>
      </w:r>
    </w:p>
    <w:p>
      <w:pPr>
        <w:pStyle w:val="ListParagraph"/>
        <w:numPr>
          <w:ilvl w:val="0"/>
          <w:numId w:val="2"/>
        </w:numPr>
        <w:spacing w:before="40" w:after="40"/>
      </w:pPr>
      <w:r>
        <w:rPr>
          <w:rFonts w:ascii="Arial" w:cs="Arial" w:eastAsia="Arial" w:hAnsi="Arial"/>
          <w:b w:val="false"/>
          <w:bCs w:val="false"/>
          <w:sz w:val="22"/>
          <w:szCs w:val="22"/>
        </w:rPr>
        <w:t xml:space="preserve">Assis et al. (2021) applied causal inference with matching techniques to NBA play-by-play and concluded timeouts have no causal effect on team performance.</w:t>
      </w:r>
    </w:p>
    <w:p>
      <w:pPr>
        <w:pStyle w:val="ListParagraph"/>
        <w:numPr>
          <w:ilvl w:val="0"/>
          <w:numId w:val="2"/>
        </w:numPr>
        <w:spacing w:before="40" w:after="40"/>
      </w:pPr>
      <w:r>
        <w:rPr>
          <w:rFonts w:ascii="Arial" w:cs="Arial" w:eastAsia="Arial" w:hAnsi="Arial"/>
          <w:b w:val="false"/>
          <w:bCs w:val="false"/>
          <w:sz w:val="22"/>
          <w:szCs w:val="22"/>
        </w:rPr>
        <w:t xml:space="preserve">Saavedra et al. (2012, Nature Scientific Reports) analyzed all NBA teams 2009–2012: 'timeout factor plays a minor role in scoring dynamics.'</w:t>
      </w:r>
    </w:p>
    <w:p>
      <w:pPr>
        <w:pStyle w:val="ListParagraph"/>
        <w:numPr>
          <w:ilvl w:val="0"/>
          <w:numId w:val="2"/>
        </w:numPr>
        <w:spacing w:before="40" w:after="40"/>
      </w:pPr>
      <w:r>
        <w:rPr>
          <w:rFonts w:ascii="Arial" w:cs="Arial" w:eastAsia="Arial" w:hAnsi="Arial"/>
          <w:b w:val="false"/>
          <w:bCs w:val="false"/>
          <w:sz w:val="22"/>
          <w:szCs w:val="22"/>
        </w:rPr>
        <w:t xml:space="preserve">Monte Carlo simulation: any apparent post-timeout improvement is fully explained by regression to the mean and lasts at most 3 possessions.</w:t>
      </w:r>
    </w:p>
    <w:p>
      <w:pPr>
        <w:pStyle w:val="ListParagraph"/>
        <w:numPr>
          <w:ilvl w:val="0"/>
          <w:numId w:val="2"/>
        </w:numPr>
        <w:spacing w:before="40" w:after="40"/>
      </w:pPr>
      <w:r>
        <w:rPr>
          <w:rFonts w:ascii="Arial" w:cs="Arial" w:eastAsia="Arial" w:hAnsi="Arial"/>
          <w:b w:val="false"/>
          <w:bCs w:val="false"/>
          <w:sz w:val="22"/>
          <w:szCs w:val="22"/>
        </w:rPr>
        <w:t xml:space="preserve">Permutt (2011): calling a timeout may actually worsen the non-running team's short-term performance compared to no timeout.</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A team is on an 8+ point scoring run in under 3 minutes</w:t>
      </w:r>
    </w:p>
    <w:p>
      <w:pPr>
        <w:pStyle w:val="ListParagraph"/>
        <w:numPr>
          <w:ilvl w:val="0"/>
          <w:numId w:val="2"/>
        </w:numPr>
        <w:spacing w:before="40" w:after="40"/>
      </w:pPr>
      <w:r>
        <w:rPr>
          <w:rFonts w:ascii="Arial" w:cs="Arial" w:eastAsia="Arial" w:hAnsi="Arial"/>
          <w:b w:val="false"/>
          <w:bCs w:val="false"/>
          <w:sz w:val="22"/>
          <w:szCs w:val="22"/>
        </w:rPr>
        <w:t xml:space="preserve">The opposing coach calls a timeout</w:t>
      </w:r>
    </w:p>
    <w:p>
      <w:pPr>
        <w:pStyle w:val="ListParagraph"/>
        <w:numPr>
          <w:ilvl w:val="0"/>
          <w:numId w:val="2"/>
        </w:numPr>
        <w:spacing w:before="40" w:after="40"/>
      </w:pPr>
      <w:r>
        <w:rPr>
          <w:rFonts w:ascii="Arial" w:cs="Arial" w:eastAsia="Arial" w:hAnsi="Arial"/>
          <w:b w:val="false"/>
          <w:bCs w:val="false"/>
          <w:sz w:val="22"/>
          <w:szCs w:val="22"/>
        </w:rPr>
        <w:t xml:space="preserve">The running team's ESX contract drops 3+ cents immediately post-timeout</w:t>
      </w:r>
    </w:p>
    <w:p>
      <w:pPr>
        <w:pStyle w:val="ListParagraph"/>
        <w:numPr>
          <w:ilvl w:val="0"/>
          <w:numId w:val="2"/>
        </w:numPr>
        <w:spacing w:before="40" w:after="40"/>
      </w:pPr>
      <w:r>
        <w:rPr>
          <w:rFonts w:ascii="Arial" w:cs="Arial" w:eastAsia="Arial" w:hAnsi="Arial"/>
          <w:b w:val="false"/>
          <w:bCs w:val="false"/>
          <w:sz w:val="22"/>
          <w:szCs w:val="22"/>
        </w:rPr>
        <w:t xml:space="preserve">The dip pushes the contract back into or near the 30–45¢ entry zone</w:t>
      </w:r>
    </w:p>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Team on scoring run: 8+ points in under 3 minutes of game time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Opposing coach calls timeout (confirmed in play-by-play event feed)</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Running team's ESX contract drops 3+ cents post-timeout announcement</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Running team's contract is now in 30–45¢ range or within 5¢ of entry zone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Market Edge EV gate ≥ 8pp on running team</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VVI is low (low variance game — runs are less likely to continue)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on runs that are structurally driven by the opponent being fatigued or injured — that's not a regression-to-mean situation</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Monitor live scoring run data on ESX dashboard. Flag when any team scores 8+ points in under 3 minutes.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The moment the opposing coach calls a timeout, watch the ESX price feed for the running team.</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If the contract drops 3+ cents within 60 seconds of the timeout announcement, evaluate entry.</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Confirm Market Edge fair value still supports the running team with ≥ 8pp edge.</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Move quickly — this is a narrow window. The timeout lasts 60–75 seconds. Price may recover within 2–3 minutes.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Place maker-only limit order at the post-timeout dip price.</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Position size: Half-Kelly. This is a supplementary trade, not a primary signal. Smaller sizing is appropriate if conviction is moderate.</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The run typically resumes within 3–4 possessions after the timeout as regression to mean continues.</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Exit when the contract recovers to pre-timeout level or reaches 50¢ fair value.</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Forced exit at 4:00 remaining Q4.</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96E" w:sz="12"/>
              <w:bottom w:val="none" w:color="FFFFFF" w:sz="0"/>
              <w:right w:val="none" w:color="FFFFFF" w:sz="0"/>
            </w:tcBorders>
            <w:shd w:fill="F7F4EE" w:val="clear"/>
            <w:tcMar>
              <w:top w:type="dxa" w:w="100"/>
              <w:left w:type="dxa" w:w="180"/>
              <w:bottom w:type="dxa" w:w="100"/>
              <w:right w:type="dxa" w:w="180"/>
            </w:tcMar>
          </w:tcPr>
          <w:p>
            <w:r>
              <w:rPr>
                <w:rFonts w:ascii="Arial" w:cs="Arial" w:eastAsia="Arial" w:hAnsi="Arial"/>
                <w:i/>
                <w:iCs/>
                <w:sz w:val="21"/>
                <w:szCs w:val="21"/>
              </w:rPr>
              <w:t xml:space="preserve">This trade is often better used as a signal amplifier for existing Trade 1 or Trade 2 positions than as a standalone trade. If you're already in a Trade 1 position and the opponent calls a timeout during a run, this confirms the regression is playing out. If you're not in a position yet, the timeout dip is an entry opportunity.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Live scoring run detection + timeout event from play-by-play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VVI (high variance game supports the trade), Market Edge (EV gate)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Assis et al. (2021), Saavedra et al. (2012 Nature), Permutt (2011)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Narrow — 60–3 minute window from timeout announcement to contract recovery</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Status</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PROPOSED — requires live scoring run detection and timeout event flagging</w:t>
            </w:r>
          </w:p>
        </w:tc>
      </w:tr>
    </w:tbl>
    <w:p>
      <w:pPr>
        <w:spacing w:before="40" w:after="40"/>
      </w:pPr>
    </w:p>
    <w:p>
      <w:pPr>
        <w:spacing w:before="40" w:after="40"/>
      </w:pPr>
    </w:p>
    <w:p>
      <w:pPr>
        <w:pBdr>
          <w:bottom w:val="single" w:color="C9A96E" w:sz="4" w:space="1"/>
        </w:pBdr>
        <w:spacing w:before="200"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C3A5B" w:val="clear"/>
            <w:tcMar>
              <w:top w:type="dxa" w:w="160"/>
              <w:left w:type="dxa" w:w="160"/>
              <w:bottom w:type="dxa" w:w="160"/>
              <w:right w:type="dxa" w:w="120"/>
            </w:tcMar>
            <w:vAlign w:val="center"/>
          </w:tcPr>
          <w:p>
            <w:pPr>
              <w:jc w:val="center"/>
            </w:pPr>
            <w:r>
              <w:rPr>
                <w:rFonts w:ascii="Arial" w:cs="Arial" w:eastAsia="Arial" w:hAnsi="Arial"/>
                <w:b/>
                <w:bCs/>
                <w:color w:val="FFFFFF"/>
                <w:sz w:val="48"/>
                <w:szCs w:val="48"/>
              </w:rPr>
              <w:t xml:space="preserve">8</w:t>
            </w:r>
          </w:p>
        </w:tc>
        <w:tc>
          <w:tcPr>
            <w:tcW w:type="dxa" w:w="8760"/>
            <w:tcBorders>
              <w:top w:val="none" w:color="FFFFFF" w:sz="0"/>
              <w:left w:val="none" w:color="FFFFFF" w:sz="0"/>
              <w:bottom w:val="none" w:color="FFFFFF" w:sz="0"/>
              <w:right w:val="none" w:color="FFFFFF" w:sz="0"/>
            </w:tcBorders>
            <w:shd w:fill="2C3A5B" w:val="clear"/>
            <w:tcMar>
              <w:top w:type="dxa" w:w="160"/>
              <w:left w:type="dxa" w:w="180"/>
              <w:bottom w:type="dxa" w:w="160"/>
              <w:right w:type="dxa" w:w="200"/>
            </w:tcMar>
          </w:tcPr>
          <w:p>
            <w:r>
              <w:rPr>
                <w:rFonts w:ascii="Arial" w:cs="Arial" w:eastAsia="Arial" w:hAnsi="Arial"/>
                <w:b/>
                <w:bCs/>
                <w:color w:val="FFFFFF"/>
                <w:sz w:val="32"/>
                <w:szCs w:val="32"/>
              </w:rPr>
              <w:t xml:space="preserve">Bench Depth Exploitation  </w:t>
            </w:r>
            <w:r>
              <w:rPr>
                <w:rFonts w:ascii="Arial" w:cs="Arial" w:eastAsia="Arial" w:hAnsi="Arial"/>
                <w:b/>
                <w:bCs/>
                <w:color w:val="FFFFFF"/>
                <w:sz w:val="22"/>
                <w:szCs w:val="22"/>
              </w:rPr>
              <w:t xml:space="preserve">[PROPOSED]</w:t>
            </w:r>
          </w:p>
          <w:p>
            <w:r>
              <w:rPr>
                <w:rFonts w:ascii="Arial" w:cs="Arial" w:eastAsia="Arial" w:hAnsi="Arial"/>
                <w:color w:val="FFFFFF"/>
                <w:sz w:val="20"/>
                <w:szCs w:val="20"/>
              </w:rPr>
              <w:t xml:space="preserve">Buy superior-bench team trailing during rotation period</w:t>
            </w:r>
          </w:p>
        </w:tc>
      </w:tr>
    </w:tbl>
    <w:p>
      <w:pPr>
        <w:spacing w:before="40" w:after="40"/>
      </w:pPr>
    </w:p>
    <w:p>
      <w:pPr>
        <w:spacing w:before="60" w:after="80"/>
      </w:pPr>
      <w:r>
        <w:rPr>
          <w:rFonts w:ascii="Arial" w:cs="Arial" w:eastAsia="Arial" w:hAnsi="Arial"/>
          <w:sz w:val="22"/>
          <w:szCs w:val="22"/>
        </w:rPr>
        <w:t xml:space="preserve">Live prediction markets price team quality as a monolith. They don't model who is currently on the floor. When starters sit and bench units play, the quality differential between teams can shift dramatically. A team with a top-5 bench net rating is a fundamentally different team than a team with a bottom-5 bench. During bench rotation periods (mid-Q2, mid-Q3), the matchup changes. The market doesn't reprice quickly.</w:t>
      </w:r>
    </w:p>
    <w:p>
      <w:pPr>
        <w:spacing w:before="40" w:after="40"/>
      </w:pPr>
    </w:p>
    <w:p>
      <w:pPr>
        <w:spacing w:before="200" w:after="80"/>
      </w:pPr>
      <w:r>
        <w:rPr>
          <w:rFonts w:ascii="Arial" w:cs="Arial" w:eastAsia="Arial" w:hAnsi="Arial"/>
          <w:b/>
          <w:bCs/>
          <w:color w:val="1A1A2E"/>
          <w:sz w:val="24"/>
          <w:szCs w:val="24"/>
        </w:rPr>
        <w:t xml:space="preserve">The Quality Gap</w:t>
      </w:r>
    </w:p>
    <w:p>
      <w:pPr>
        <w:spacing w:before="60" w:after="80"/>
      </w:pPr>
      <w:r>
        <w:rPr>
          <w:rFonts w:ascii="Arial" w:cs="Arial" w:eastAsia="Arial" w:hAnsi="Arial"/>
          <w:sz w:val="22"/>
          <w:szCs w:val="22"/>
        </w:rPr>
        <w:t xml:space="preserve">Elite teams' starters post net ratings of +8 to +15 per 100 possessions. Bench units range from -5 to +3. The swing between a team's best and worst lineup can be 15–20 points per 100 possessions. When a team with a poor bench faces a team with a strong bench during the bench rotation, the short-term quality differential shifts sharply. The market notices the score. It doesn't notice the lineup.</w:t>
      </w:r>
    </w:p>
    <w:p>
      <w:pPr>
        <w:spacing w:before="40" w:after="40"/>
      </w:pPr>
    </w:p>
    <w:p>
      <w:pPr>
        <w:spacing w:before="200" w:after="80"/>
      </w:pPr>
      <w:r>
        <w:rPr>
          <w:rFonts w:ascii="Arial" w:cs="Arial" w:eastAsia="Arial" w:hAnsi="Arial"/>
          <w:b/>
          <w:bCs/>
          <w:color w:val="1A1A2E"/>
          <w:sz w:val="24"/>
          <w:szCs w:val="24"/>
        </w:rPr>
        <w:t xml:space="preserve">The Setup</w:t>
      </w:r>
    </w:p>
    <w:p>
      <w:pPr>
        <w:pStyle w:val="ListParagraph"/>
        <w:numPr>
          <w:ilvl w:val="0"/>
          <w:numId w:val="2"/>
        </w:numPr>
        <w:spacing w:before="40" w:after="40"/>
      </w:pPr>
      <w:r>
        <w:rPr>
          <w:rFonts w:ascii="Arial" w:cs="Arial" w:eastAsia="Arial" w:hAnsi="Arial"/>
          <w:b w:val="false"/>
          <w:bCs w:val="false"/>
          <w:sz w:val="22"/>
          <w:szCs w:val="22"/>
        </w:rPr>
        <w:t xml:space="preserve">Pre-game: identified that Team A has a significantly stronger bench than Team B (top-10 bench net rating vs bottom-10)</w:t>
      </w:r>
    </w:p>
    <w:p>
      <w:pPr>
        <w:pStyle w:val="ListParagraph"/>
        <w:numPr>
          <w:ilvl w:val="0"/>
          <w:numId w:val="2"/>
        </w:numPr>
        <w:spacing w:before="40" w:after="40"/>
      </w:pPr>
      <w:r>
        <w:rPr>
          <w:rFonts w:ascii="Arial" w:cs="Arial" w:eastAsia="Arial" w:hAnsi="Arial"/>
          <w:b w:val="false"/>
          <w:bCs w:val="false"/>
          <w:sz w:val="22"/>
          <w:szCs w:val="22"/>
        </w:rPr>
        <w:t xml:space="preserve">During mid-Q2 or mid-Q3 rotation period: both teams' starters sit and benches enter</w:t>
      </w:r>
    </w:p>
    <w:p>
      <w:pPr>
        <w:pStyle w:val="ListParagraph"/>
        <w:numPr>
          <w:ilvl w:val="0"/>
          <w:numId w:val="2"/>
        </w:numPr>
        <w:spacing w:before="40" w:after="40"/>
      </w:pPr>
      <w:r>
        <w:rPr>
          <w:rFonts w:ascii="Arial" w:cs="Arial" w:eastAsia="Arial" w:hAnsi="Arial"/>
          <w:b w:val="false"/>
          <w:bCs w:val="false"/>
          <w:sz w:val="22"/>
          <w:szCs w:val="22"/>
        </w:rPr>
        <w:t xml:space="preserve">Team A (strong bench) is trailing by 5–12 points despite the quality advantage</w:t>
      </w:r>
    </w:p>
    <w:p>
      <w:pPr>
        <w:pStyle w:val="ListParagraph"/>
        <w:numPr>
          <w:ilvl w:val="0"/>
          <w:numId w:val="2"/>
        </w:numPr>
        <w:spacing w:before="40" w:after="40"/>
      </w:pPr>
      <w:r>
        <w:rPr>
          <w:rFonts w:ascii="Arial" w:cs="Arial" w:eastAsia="Arial" w:hAnsi="Arial"/>
          <w:b w:val="false"/>
          <w:bCs w:val="false"/>
          <w:sz w:val="22"/>
          <w:szCs w:val="22"/>
        </w:rPr>
        <w:t xml:space="preserve">The bench rotation is likely to last 4–8 minutes — long enough for the quality gap to express itself</w:t>
      </w:r>
    </w:p>
    <w:p>
      <w:pPr>
        <w:spacing w:before="40" w:after="40"/>
      </w:pPr>
    </w:p>
    <w:p>
      <w:pPr>
        <w:spacing w:before="200" w:after="80"/>
      </w:pPr>
      <w:r>
        <w:rPr>
          <w:rFonts w:ascii="Arial" w:cs="Arial" w:eastAsia="Arial" w:hAnsi="Arial"/>
          <w:b/>
          <w:bCs/>
          <w:color w:val="1A1A2E"/>
          <w:sz w:val="24"/>
          <w:szCs w:val="24"/>
        </w:rPr>
        <w:t xml:space="preserve">Pre-Game Identification</w:t>
      </w:r>
    </w:p>
    <w:p>
      <w:pPr>
        <w:spacing w:before="60" w:after="80"/>
      </w:pPr>
      <w:r>
        <w:rPr>
          <w:rFonts w:ascii="Arial" w:cs="Arial" w:eastAsia="Arial" w:hAnsi="Arial"/>
          <w:sz w:val="22"/>
          <w:szCs w:val="22"/>
        </w:rPr>
        <w:t xml:space="preserve">This trade requires pre-game homework. Before each game, identify whether there's a significant bench quality gap. Use team on/off net rating data. If Team A's bench is +4.2 and Team B's bench is -3.1, that's a 7.3-point differential during bench periods. When Team A trails with their bench playing against Team B's bench, the contract is mispriced.</w:t>
      </w:r>
    </w:p>
    <w:p>
      <w:pPr>
        <w:spacing w:before="40" w:after="40"/>
      </w:pPr>
    </w:p>
    <w:p>
      <w:pPr>
        <w:spacing w:before="200" w:after="80"/>
      </w:pPr>
      <w:r>
        <w:rPr>
          <w:rFonts w:ascii="Arial" w:cs="Arial" w:eastAsia="Arial" w:hAnsi="Arial"/>
          <w:b/>
          <w:bCs/>
          <w:color w:val="1A1A2E"/>
          <w:sz w:val="24"/>
          <w:szCs w:val="24"/>
        </w:rPr>
        <w:t xml:space="preserve">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Pre-game: confirmed significant bench quality gap (4+ point net rating differential between benches)</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Both starters have sat down — confirmed via play-by-play substitution events (LQD shows lineup degradation for Team B)</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Strong-bench team (Team A) is trailing 5–12 points during bench rotation period</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Team A's contract is 30–45¢ on ESX</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Market Edge EV gate ≥ 8pp</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the starters are expected to return within 2 minutes (watch clock — mid-Q2 is 4–6 min remaining, mid-Q3 is the same)</w:t>
            </w:r>
          </w:p>
        </w:tc>
      </w:tr>
      <w:tr>
        <w:tc>
          <w:tcPr>
            <w:tcW w:type="dxa" w:w="500"/>
            <w:tcBorders>
              <w:top w:val="none" w:color="FFFFFF" w:sz="0"/>
              <w:left w:val="none" w:color="FFFFFF" w:sz="0"/>
              <w:bottom w:val="none" w:color="FFFFFF" w:sz="0"/>
              <w:right w:val="none" w:color="FFFFFF" w:sz="0"/>
            </w:tcBorders>
            <w:tcMar>
              <w:top w:type="dxa" w:w="60"/>
              <w:left w:type="dxa" w:w="80"/>
              <w:bottom w:type="dxa" w:w="60"/>
              <w:right w:type="dxa" w:w="60"/>
            </w:tcMar>
          </w:tcPr>
          <w:p>
            <w:pPr>
              <w:jc w:val="center"/>
            </w:pPr>
            <w:r>
              <w:rPr>
                <w:rFonts w:ascii="Arial" w:cs="Arial" w:eastAsia="Arial" w:hAnsi="Arial"/>
                <w:sz w:val="22"/>
                <w:szCs w:val="22"/>
              </w:rPr>
              <w:t xml:space="preserve">❌</w:t>
            </w:r>
          </w:p>
        </w:tc>
        <w:tc>
          <w:tcPr>
            <w:tcW w:type="dxa" w:w="8860"/>
            <w:tcBorders>
              <w:top w:val="none" w:color="FFFFFF" w:sz="0"/>
              <w:left w:val="none" w:color="FFFFFF" w:sz="0"/>
              <w:bottom w:val="none" w:color="FFFFFF" w:sz="0"/>
              <w:right w:val="none" w:color="FFFFFF" w:sz="0"/>
            </w:tcBorders>
            <w:tcMar>
              <w:top w:type="dxa" w:w="60"/>
              <w:left w:type="dxa" w:w="60"/>
              <w:bottom w:type="dxa" w:w="60"/>
              <w:right w:type="dxa" w:w="80"/>
            </w:tcMar>
          </w:tcPr>
          <w:p>
            <w:r>
              <w:rPr>
                <w:rFonts w:ascii="Arial" w:cs="Arial" w:eastAsia="Arial" w:hAnsi="Arial"/>
                <w:sz w:val="21"/>
                <w:szCs w:val="21"/>
              </w:rPr>
              <w:t xml:space="preserve">Do NOT enter if Team A's bench has been performing poorly in this game specifically (check LQD)</w:t>
            </w:r>
          </w:p>
        </w:tc>
      </w:tr>
    </w:tbl>
    <w:p>
      <w:pPr>
        <w:spacing w:before="40" w:after="40"/>
      </w:pPr>
    </w:p>
    <w:p>
      <w:pPr>
        <w:spacing w:before="200" w:after="80"/>
      </w:pPr>
      <w:r>
        <w:rPr>
          <w:rFonts w:ascii="Arial" w:cs="Arial" w:eastAsia="Arial" w:hAnsi="Arial"/>
          <w:b/>
          <w:bCs/>
          <w:color w:val="1A1A2E"/>
          <w:sz w:val="24"/>
          <w:szCs w:val="24"/>
        </w:rPr>
        <w:t xml:space="preserve">Exactly How to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Pre-game: look up bench net ratings for both teams. NBA.com lineup data, Cleaning the Glass, or Basketball Reference on/off splits. Flag the game if bench differential is 4+ points.</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From tip-off: monitor LQD subpanel on ESX, which tracks current lineup quality in real time.</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3</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In mid-Q2 (4–6 minutes remaining) or mid-Q3 (4–6 minutes remaining): watch for the main star players to sit. LQD will show a quality shift.</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Confirm that BOTH teams' starters have sat (you want a bench-vs-bench situation, not bench vs starters).</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5</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If Team A (stronger bench) is trailing 5–12 at the moment benches enter, evaluate entry.</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Calculate Market Edge fair value for Team A's contract. EV gate ≥ 8pp required.</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7</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Place maker-only limit order on Team A's YES contract at 30–45¢.</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Position size: Half-Kelly. The bench rotation window is finite (4–8 minutes typically). Don't oversize.</w:t>
            </w:r>
          </w:p>
        </w:tc>
      </w:tr>
      <w:tr>
        <w:tc>
          <w:tcPr>
            <w:tcW w:type="dxa" w:w="600"/>
            <w:tcBorders>
              <w:top w:val="single" w:color="CCCCCC" w:sz="1"/>
              <w:left w:val="single" w:color="CCCCCC" w:sz="1"/>
              <w:bottom w:val="single" w:color="CCCCCC" w:sz="1"/>
              <w:right w:val="single" w:color="CCCCCC" w:sz="1"/>
            </w:tcBorders>
            <w:shd w:fill="2C2C2C"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9</w:t>
            </w:r>
          </w:p>
        </w:tc>
        <w:tc>
          <w:tcPr>
            <w:tcW w:type="dxa" w:w="87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20"/>
            </w:tcMar>
          </w:tcPr>
          <w:p>
            <w:r>
              <w:rPr>
                <w:rFonts w:ascii="Arial" w:cs="Arial" w:eastAsia="Arial" w:hAnsi="Arial"/>
                <w:sz w:val="21"/>
                <w:szCs w:val="21"/>
              </w:rPr>
              <w:t xml:space="preserve">Monitor for starters returning. When star players re-enter for both teams, the matchup reverts to baseline. Evaluate exit.</w:t>
            </w:r>
          </w:p>
        </w:tc>
      </w:tr>
      <w:tr>
        <w:tc>
          <w:tcPr>
            <w:tcW w:type="dxa" w:w="600"/>
            <w:tcBorders>
              <w:top w:val="single" w:color="CCCCCC" w:sz="1"/>
              <w:left w:val="single" w:color="CCCCCC" w:sz="1"/>
              <w:bottom w:val="single" w:color="CCCCCC" w:sz="1"/>
              <w:right w:val="single" w:color="CCCCCC" w:sz="1"/>
            </w:tcBorders>
            <w:shd w:fill="3A3A3A" w:val="clear"/>
            <w:tcMar>
              <w:top w:type="dxa" w:w="100"/>
              <w:left w:type="dxa" w:w="120"/>
              <w:bottom w:type="dxa" w:w="100"/>
              <w:right w:type="dxa" w:w="80"/>
            </w:tcMar>
            <w:vAlign w:val="center"/>
          </w:tcPr>
          <w:p>
            <w:pPr>
              <w:jc w:val="center"/>
            </w:pPr>
            <w:r>
              <w:rPr>
                <w:rFonts w:ascii="Arial" w:cs="Arial" w:eastAsia="Arial" w:hAnsi="Arial"/>
                <w:b/>
                <w:bCs/>
                <w:color w:val="C9A96E"/>
                <w:sz w:val="24"/>
                <w:szCs w:val="24"/>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sz w:val="21"/>
                <w:szCs w:val="21"/>
              </w:rPr>
              <w:t xml:space="preserve">Target: 15–25¢ of movement during the bench period. Exit when the window closes (starters return) or target hit. Forced exit at 4:00 Q4.</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Primary indicator</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LQD (Lineup Quality Differential) — real-time lineup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Supporting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Market Edge (EV gate), PA (structural validation)</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Academic backing</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NBA.com lineup net rating data — starter/bench swing of 15–20 points per 100 possessions documented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Pre-game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Must identify bench quality gap before tip-off. This is not a reactive trade.</w:t>
            </w:r>
          </w:p>
        </w:tc>
      </w:tr>
      <w:tr>
        <w:tc>
          <w:tcPr>
            <w:tcW w:type="dxa" w:w="300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b/>
                <w:bCs/>
                <w:color w:val="555555"/>
                <w:sz w:val="21"/>
                <w:szCs w:val="21"/>
              </w:rPr>
              <w:t xml:space="preserve">Window</w:t>
            </w:r>
          </w:p>
        </w:tc>
        <w:tc>
          <w:tcPr>
            <w:tcW w:type="dxa" w:w="6360"/>
            <w:tcBorders>
              <w:top w:val="single" w:color="CCCCCC" w:sz="1"/>
              <w:left w:val="single" w:color="CCCCCC" w:sz="1"/>
              <w:bottom w:val="single" w:color="CCCCCC" w:sz="1"/>
              <w:right w:val="single" w:color="CCCCCC" w:sz="1"/>
            </w:tcBorders>
            <w:shd w:fill="F7F4EE" w:val="clear"/>
            <w:tcMar>
              <w:top w:type="dxa" w:w="80"/>
              <w:left w:type="dxa" w:w="120"/>
              <w:bottom w:type="dxa" w:w="80"/>
              <w:right w:type="dxa" w:w="120"/>
            </w:tcMar>
          </w:tcPr>
          <w:p>
            <w:r>
              <w:rPr>
                <w:rFonts w:ascii="Arial" w:cs="Arial" w:eastAsia="Arial" w:hAnsi="Arial"/>
                <w:sz w:val="21"/>
                <w:szCs w:val="21"/>
              </w:rPr>
              <w:t xml:space="preserve">4–8 minutes during mid-Q2 or mid-Q3 bench rotation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21"/>
                <w:szCs w:val="21"/>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PROPOSED — requires LQD indicator to be built first</w:t>
            </w:r>
          </w:p>
        </w:tc>
      </w:tr>
    </w:tbl>
    <w:p>
      <w:pPr>
        <w:spacing w:before="40" w:after="40"/>
      </w:pPr>
    </w:p>
    <w:p>
      <w:pPr>
        <w:spacing w:before="40" w:after="40"/>
      </w:pPr>
    </w:p>
    <w:p>
      <w:pPr>
        <w:pBdr>
          <w:bottom w:val="single" w:color="C9A96E" w:sz="4" w:space="1"/>
        </w:pBdr>
        <w:spacing w:before="200" w:after="200"/>
      </w:pPr>
    </w:p>
    <w:p>
      <w:r>
        <w:br w:type="page"/>
      </w:r>
    </w:p>
    <w:p>
      <w:pPr>
        <w:pStyle w:val="Heading1"/>
        <w:spacing w:before="360" w:after="160"/>
      </w:pPr>
      <w:r>
        <w:rPr>
          <w:rFonts w:ascii="Arial" w:cs="Arial" w:eastAsia="Arial" w:hAnsi="Arial"/>
          <w:b/>
          <w:bCs/>
          <w:color w:val="1A1A2E"/>
          <w:sz w:val="36"/>
          <w:szCs w:val="36"/>
        </w:rPr>
        <w:t xml:space="preserve">Trade Type Stacking</w:t>
      </w:r>
    </w:p>
    <w:p>
      <w:pPr>
        <w:spacing w:before="60" w:after="80"/>
      </w:pPr>
      <w:r>
        <w:rPr>
          <w:rFonts w:ascii="Arial" w:cs="Arial" w:eastAsia="Arial" w:hAnsi="Arial"/>
          <w:sz w:val="22"/>
          <w:szCs w:val="22"/>
        </w:rPr>
        <w:t xml:space="preserve">Multiple trade types can align on the same team simultaneously. When they do, conviction increases and position sizing should reflect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C9A96E"/>
                <w:sz w:val="20"/>
                <w:szCs w:val="20"/>
              </w:rPr>
              <w:t xml:space="preserve">Combination</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C9A96E"/>
                <w:sz w:val="20"/>
                <w:szCs w:val="20"/>
              </w:rPr>
              <w:t xml:space="preserve">Example</w:t>
            </w:r>
          </w:p>
        </w:tc>
        <w:tc>
          <w:tcPr>
            <w:tcBorders>
              <w:top w:val="single" w:color="CCCCCC" w:sz="1"/>
              <w:left w:val="single" w:color="CCCCCC" w:sz="1"/>
              <w:bottom w:val="single" w:color="CCCCCC" w:sz="1"/>
              <w:right w:val="single" w:color="CCCCCC" w:sz="1"/>
            </w:tcBorders>
            <w:shd w:fill="1A1A2E" w:val="clear"/>
            <w:tcMar>
              <w:top w:type="dxa" w:w="80"/>
              <w:left w:type="dxa" w:w="120"/>
              <w:bottom w:type="dxa" w:w="80"/>
              <w:right w:type="dxa" w:w="80"/>
            </w:tcMar>
          </w:tcPr>
          <w:p>
            <w:r>
              <w:rPr>
                <w:rFonts w:ascii="Arial" w:cs="Arial" w:eastAsia="Arial" w:hAnsi="Arial"/>
                <w:b/>
                <w:bCs/>
                <w:color w:val="C9A96E"/>
                <w:sz w:val="20"/>
                <w:szCs w:val="20"/>
              </w:rPr>
              <w:t xml:space="preserve">Conviction</w:t>
            </w:r>
          </w:p>
        </w:tc>
      </w:tr>
      <w:tr>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Single trade type</w:t>
            </w:r>
          </w:p>
        </w:tc>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Core KairosEdge signal only</w:t>
            </w:r>
          </w:p>
        </w:tc>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Standard — Half-Kelly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Two trade types same team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Trade 1 + Trade 6 (trailing rested team with regression edge)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Strong — upper Half-Kelly range</w:t>
            </w:r>
          </w:p>
        </w:tc>
      </w:tr>
      <w:tr>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Three trade types same team</w:t>
            </w:r>
          </w:p>
        </w:tc>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Trade 1 + Trade 5 + Trade 7 (trailing team, opponent star benched, timeout dip)</w:t>
            </w:r>
          </w:p>
        </w:tc>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Rare — maximum conviction. Size 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Trade types conflicting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Trade 1 says buy trailing team, Trade 2 says leading team's lead grows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sz w:val="21"/>
                <w:szCs w:val="21"/>
              </w:rPr>
              <w:t xml:space="preserve">No trade — wait for clarity</w:t>
            </w:r>
          </w:p>
        </w:tc>
      </w:tr>
      <w:tr>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Enhanced signals only</w:t>
            </w:r>
          </w:p>
        </w:tc>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Double Regression Amplifier (both teams at opposite extremes, HRS diff ≥ 15)</w:t>
            </w:r>
          </w:p>
        </w:tc>
        <w:tc>
          <w:tcPr>
            <w:tcBorders>
              <w:top w:val="single" w:color="CCCCCC" w:sz="1"/>
              <w:left w:val="single" w:color="CCCCCC" w:sz="1"/>
              <w:bottom w:val="single" w:color="CCCCCC" w:sz="1"/>
              <w:right w:val="single" w:color="CCCCCC" w:sz="1"/>
            </w:tcBorders>
            <w:shd w:fill="F7F4EE" w:val="clear"/>
            <w:tcMar>
              <w:top w:type="dxa" w:w="80"/>
              <w:left w:type="dxa" w:w="120"/>
              <w:bottom w:type="dxa" w:w="80"/>
              <w:right w:type="dxa" w:w="80"/>
            </w:tcMar>
          </w:tcPr>
          <w:p>
            <w:r>
              <w:rPr>
                <w:rFonts w:ascii="Arial" w:cs="Arial" w:eastAsia="Arial" w:hAnsi="Arial"/>
                <w:sz w:val="21"/>
                <w:szCs w:val="21"/>
              </w:rPr>
              <w:t xml:space="preserve">Amplifier for Trade 1 only — not standalone</w:t>
            </w:r>
          </w:p>
        </w:tc>
      </w:tr>
    </w:tbl>
    <w:p>
      <w:pPr>
        <w:spacing w:before="40" w:after="40"/>
      </w:pPr>
    </w:p>
    <w:p>
      <w:pPr>
        <w:spacing w:before="40" w:after="40"/>
      </w:pPr>
    </w:p>
    <w:p>
      <w:pPr>
        <w:pStyle w:val="Heading2"/>
        <w:spacing w:before="280" w:after="120"/>
      </w:pPr>
      <w:r>
        <w:rPr>
          <w:rFonts w:ascii="Arial" w:cs="Arial" w:eastAsia="Arial" w:hAnsi="Arial"/>
          <w:b/>
          <w:bCs/>
          <w:color w:val="1A1A2E"/>
          <w:sz w:val="28"/>
          <w:szCs w:val="28"/>
        </w:rPr>
        <w:t xml:space="preserve">Enhanced Signals (Not Standalone Trade Types)</w:t>
      </w:r>
    </w:p>
    <w:p>
      <w:pPr>
        <w:spacing w:before="60" w:after="80"/>
      </w:pPr>
      <w:r>
        <w:rPr>
          <w:rFonts w:ascii="Arial" w:cs="Arial" w:eastAsia="Arial" w:hAnsi="Arial"/>
          <w:sz w:val="22"/>
          <w:szCs w:val="22"/>
        </w:rPr>
        <w:t xml:space="preserve">These signals are confirmation layers that increase conviction on the four core trade types. They never generate a trade on their own.</w:t>
      </w:r>
    </w:p>
    <w:p>
      <w:pPr>
        <w:spacing w:before="40" w:after="40"/>
      </w:pPr>
    </w:p>
    <w:p>
      <w:pPr>
        <w:spacing w:before="200" w:after="80"/>
      </w:pPr>
      <w:r>
        <w:rPr>
          <w:rFonts w:ascii="Arial" w:cs="Arial" w:eastAsia="Arial" w:hAnsi="Arial"/>
          <w:b/>
          <w:bCs/>
          <w:color w:val="1A1A2E"/>
          <w:sz w:val="24"/>
          <w:szCs w:val="24"/>
        </w:rPr>
        <w:t xml:space="preserve">Double Regression Amplifier</w:t>
      </w:r>
    </w:p>
    <w:p>
      <w:pPr>
        <w:spacing w:before="60" w:after="80"/>
      </w:pPr>
      <w:r>
        <w:rPr>
          <w:rFonts w:ascii="Arial" w:cs="Arial" w:eastAsia="Arial" w:hAnsi="Arial"/>
          <w:sz w:val="22"/>
          <w:szCs w:val="22"/>
        </w:rPr>
        <w:t xml:space="preserve">When BOTH teams are far from their shooting baselines in opposite directions — one very hot, one very cold — the regression swing is amplified. Combined HRS differential ≥ 15 (e.g. leading team at +12, trailing team at -3). Increase position size on Trade 1 when this condition is met. The correction is larger and more certain than individual team regression.</w:t>
      </w:r>
    </w:p>
    <w:p>
      <w:pPr>
        <w:spacing w:before="40" w:after="40"/>
      </w:pPr>
    </w:p>
    <w:p>
      <w:pPr>
        <w:spacing w:before="200" w:after="80"/>
      </w:pPr>
      <w:r>
        <w:rPr>
          <w:rFonts w:ascii="Arial" w:cs="Arial" w:eastAsia="Arial" w:hAnsi="Arial"/>
          <w:b/>
          <w:bCs/>
          <w:color w:val="1A1A2E"/>
          <w:sz w:val="24"/>
          <w:szCs w:val="24"/>
        </w:rPr>
        <w:t xml:space="preserve">PA Zero-Cross</w:t>
      </w:r>
    </w:p>
    <w:p>
      <w:pPr>
        <w:spacing w:before="60" w:after="80"/>
      </w:pPr>
      <w:r>
        <w:rPr>
          <w:rFonts w:ascii="Arial" w:cs="Arial" w:eastAsia="Arial" w:hAnsi="Arial"/>
          <w:sz w:val="22"/>
          <w:szCs w:val="22"/>
        </w:rPr>
        <w:t xml:space="preserve">When PA crosses zero during the game — structural control literally changes hands mid-game. The team winning the possession battle is now losing it. This confirms Trade 3 (Trend Convergence). Precedes a scoreboard move by 2–3 minutes on average. Not a standalone trigger, but when PA flips AND TCI is at ±4, it's the highest-conviction combination in the system.</w:t>
      </w:r>
    </w:p>
    <w:p>
      <w:pPr>
        <w:spacing w:before="40" w:after="40"/>
      </w:pPr>
    </w:p>
    <w:p>
      <w:pPr>
        <w:spacing w:before="40" w:after="40"/>
      </w:pPr>
    </w:p>
    <w:p>
      <w:pPr>
        <w:pStyle w:val="Heading2"/>
        <w:spacing w:before="280" w:after="120"/>
      </w:pPr>
      <w:r>
        <w:rPr>
          <w:rFonts w:ascii="Arial" w:cs="Arial" w:eastAsia="Arial" w:hAnsi="Arial"/>
          <w:b/>
          <w:bCs/>
          <w:color w:val="1A1A2E"/>
          <w:sz w:val="28"/>
          <w:szCs w:val="28"/>
        </w:rPr>
        <w:t xml:space="preserve">Non-Negotiable Rules Across All Trade Types</w:t>
      </w:r>
    </w:p>
    <w:p>
      <w:pPr>
        <w:pStyle w:val="ListParagraph"/>
        <w:numPr>
          <w:ilvl w:val="0"/>
          <w:numId w:val="2"/>
        </w:numPr>
        <w:spacing w:before="40" w:after="40"/>
      </w:pPr>
      <w:r>
        <w:rPr>
          <w:rFonts w:ascii="Arial" w:cs="Arial" w:eastAsia="Arial" w:hAnsi="Arial"/>
          <w:b/>
          <w:bCs/>
          <w:sz w:val="22"/>
          <w:szCs w:val="22"/>
        </w:rPr>
        <w:t xml:space="preserve">Maker-only orders on ESX. Never use market orders. Taker fees eat 15–35% of edge.</w:t>
      </w:r>
    </w:p>
    <w:p>
      <w:pPr>
        <w:pStyle w:val="ListParagraph"/>
        <w:numPr>
          <w:ilvl w:val="0"/>
          <w:numId w:val="2"/>
        </w:numPr>
        <w:spacing w:before="40" w:after="40"/>
      </w:pPr>
      <w:r>
        <w:rPr>
          <w:rFonts w:ascii="Arial" w:cs="Arial" w:eastAsia="Arial" w:hAnsi="Arial"/>
          <w:b/>
          <w:bCs/>
          <w:sz w:val="22"/>
          <w:szCs w:val="22"/>
        </w:rPr>
        <w:t xml:space="preserve">Enter within first 1–3 minutes of halftime for halftime-triggered trades. Institutional repricing starts within 3 minutes.</w:t>
      </w:r>
    </w:p>
    <w:p>
      <w:pPr>
        <w:pStyle w:val="ListParagraph"/>
        <w:numPr>
          <w:ilvl w:val="0"/>
          <w:numId w:val="2"/>
        </w:numPr>
        <w:spacing w:before="40" w:after="40"/>
      </w:pPr>
      <w:r>
        <w:rPr>
          <w:rFonts w:ascii="Arial" w:cs="Arial" w:eastAsia="Arial" w:hAnsi="Arial"/>
          <w:b/>
          <w:bCs/>
          <w:sz w:val="22"/>
          <w:szCs w:val="22"/>
        </w:rPr>
        <w:t xml:space="preserve">Forced exit at 4:00 remaining Q4 on every trade. Brownian assumptions break. Strategic fouling and clock management create non-random variance.</w:t>
      </w:r>
    </w:p>
    <w:p>
      <w:pPr>
        <w:pStyle w:val="ListParagraph"/>
        <w:numPr>
          <w:ilvl w:val="0"/>
          <w:numId w:val="2"/>
        </w:numPr>
        <w:spacing w:before="40" w:after="40"/>
      </w:pPr>
      <w:r>
        <w:rPr>
          <w:rFonts w:ascii="Arial" w:cs="Arial" w:eastAsia="Arial" w:hAnsi="Arial"/>
          <w:b/>
          <w:bCs/>
          <w:sz w:val="22"/>
          <w:szCs w:val="22"/>
        </w:rPr>
        <w:t xml:space="preserve">EV gate ≥ 8pp across all trade types. This is required to overcome favourite-longshot bias documented across 300K+ Kalshi contracts.</w:t>
      </w:r>
    </w:p>
    <w:p>
      <w:pPr>
        <w:pStyle w:val="ListParagraph"/>
        <w:numPr>
          <w:ilvl w:val="0"/>
          <w:numId w:val="2"/>
        </w:numPr>
        <w:spacing w:before="40" w:after="40"/>
      </w:pPr>
      <w:r>
        <w:rPr>
          <w:rFonts w:ascii="Arial" w:cs="Arial" w:eastAsia="Arial" w:hAnsi="Arial"/>
          <w:b/>
          <w:bCs/>
          <w:sz w:val="22"/>
          <w:szCs w:val="22"/>
        </w:rPr>
        <w:t xml:space="preserve">Track CLV (Closing Line Value) on every trade. This is the only edge validator that works independent of win rate at small sample sizes.</w:t>
      </w:r>
    </w:p>
    <w:p>
      <w:pPr>
        <w:pStyle w:val="ListParagraph"/>
        <w:numPr>
          <w:ilvl w:val="0"/>
          <w:numId w:val="2"/>
        </w:numPr>
        <w:spacing w:before="40" w:after="40"/>
      </w:pPr>
      <w:r>
        <w:rPr>
          <w:rFonts w:ascii="Arial" w:cs="Arial" w:eastAsia="Arial" w:hAnsi="Arial"/>
          <w:b/>
          <w:bCs/>
          <w:sz w:val="22"/>
          <w:szCs w:val="22"/>
        </w:rPr>
        <w:t xml:space="preserve">Fix √t error (P0-NEW-1) before any live trading. All current fair values are ~41% wrong. This affects every trade type that uses Market Edge.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2026-03-05T08:28:56.242Z</dcterms:created>
  <dcterms:modified xsi:type="dcterms:W3CDTF">2026-03-05T08:28:56.243Z</dcterms:modified>
</cp:coreProperties>
</file>

<file path=docProps/custom.xml><?xml version="1.0" encoding="utf-8"?>
<Properties xmlns="http://schemas.openxmlformats.org/officeDocument/2006/custom-properties" xmlns:vt="http://schemas.openxmlformats.org/officeDocument/2006/docPropsVTypes"/>
</file>