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B9A" w:rsidRDefault="00B93B9A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B93B9A" w:rsidRDefault="00B93B9A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B93B9A" w:rsidRPr="00B93B9A" w:rsidRDefault="00B93B9A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10, Adaboost</w:t>
      </w:r>
    </w:p>
    <w:p w:rsidR="00B93B9A" w:rsidRDefault="00B93B9A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B330AB" w:rsidRP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330A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Q1 graph...</w:t>
      </w:r>
    </w:p>
    <w:p w:rsidR="00B330AB" w:rsidRDefault="00FD4072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842000" cy="4381500"/>
            <wp:effectExtent l="0" t="0" r="0" b="0"/>
            <wp:docPr id="13503245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2452" name="Picture 1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P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330A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learning rate 0.5...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n* = 10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bayesian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n* = 2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Logistic regression n* = 1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P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330A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learning rate 0.5...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accuracy = 0.76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bayesian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accuracy = 0.78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Logistic regression accuracy = 0.42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P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330A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The naive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bayesian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classifier is the strongest base estimator for my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data</w:t>
      </w:r>
      <w:proofErr w:type="gramEnd"/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330AB" w:rsidRP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B330AB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:rsidR="00B330AB" w:rsidRDefault="00B330AB" w:rsidP="00B3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For year 2 of the Chipotle stock,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Adaboost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($328.32) was more effective than buy-and-hold ($135.18)</w:t>
      </w:r>
    </w:p>
    <w:p w:rsidR="007F22E1" w:rsidRDefault="00B330AB" w:rsidP="00B330AB">
      <w:r>
        <w:rPr>
          <w:rFonts w:ascii="Menlo" w:hAnsi="Menlo" w:cs="Menlo"/>
          <w:color w:val="000000"/>
          <w:kern w:val="0"/>
          <w:sz w:val="22"/>
          <w:szCs w:val="22"/>
        </w:rPr>
        <w:t xml:space="preserve">For year 2 of the S&amp;P-500 stock,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Adaboost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($159.61) was more effective than buy-and-hold ($90.61)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85"/>
    <w:rsid w:val="00265E12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B330AB"/>
    <w:rsid w:val="00B93B9A"/>
    <w:rsid w:val="00C07D2D"/>
    <w:rsid w:val="00CE3085"/>
    <w:rsid w:val="00D07ABF"/>
    <w:rsid w:val="00D60898"/>
    <w:rsid w:val="00F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110A"/>
  <w15:chartTrackingRefBased/>
  <w15:docId w15:val="{4EF390B2-71FA-6040-A32E-F877E6CF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4</cp:revision>
  <dcterms:created xsi:type="dcterms:W3CDTF">2023-11-16T20:19:00Z</dcterms:created>
  <dcterms:modified xsi:type="dcterms:W3CDTF">2023-11-16T20:20:00Z</dcterms:modified>
</cp:coreProperties>
</file>