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559C" w14:textId="32DC2B82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14:paraId="519BC6C3" w14:textId="2D2E280A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14:paraId="714E7ECC" w14:textId="51955DB1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Homework 10, Decision Tree</w:t>
      </w:r>
    </w:p>
    <w:p w14:paraId="3F5037BF" w14:textId="77777777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F1AC59A" w14:textId="2CCFE9FC" w:rsidR="003C3C97" w:rsidRP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3C3C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1:</w:t>
      </w:r>
    </w:p>
    <w:p w14:paraId="311B7438" w14:textId="77777777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Decision tree year 2 score: 0.76</w:t>
      </w:r>
    </w:p>
    <w:p w14:paraId="054668EE" w14:textId="77777777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9342B1B" w14:textId="77777777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16690EF" w14:textId="77777777" w:rsidR="003C3C97" w:rsidRP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3C3C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14:paraId="36D310D8" w14:textId="77777777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Decision tree year 2 confusion matrix:</w:t>
      </w:r>
    </w:p>
    <w:p w14:paraId="5A39F726" w14:textId="77777777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Predicted  Green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Red</w:t>
      </w:r>
    </w:p>
    <w:p w14:paraId="7CCB4DFC" w14:textId="77777777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    </w:t>
      </w:r>
    </w:p>
    <w:p w14:paraId="1E7BACF1" w14:textId="77777777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Green         19   10</w:t>
      </w:r>
    </w:p>
    <w:p w14:paraId="09A65EB7" w14:textId="77777777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Red            2   19</w:t>
      </w:r>
    </w:p>
    <w:p w14:paraId="4E8C38B1" w14:textId="77777777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467D090" w14:textId="77777777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DB92497" w14:textId="77777777" w:rsidR="003C3C97" w:rsidRP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3C3C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14:paraId="52BD8D7F" w14:textId="77777777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Decision tree year 2 true positive rate: 65.52%</w:t>
      </w:r>
    </w:p>
    <w:p w14:paraId="4CEA1668" w14:textId="77777777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Decision tree year 2 true negative rate: 90.48%</w:t>
      </w:r>
    </w:p>
    <w:p w14:paraId="4B6A6261" w14:textId="77777777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B4D11D5" w14:textId="77777777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6B1F61D" w14:textId="77777777" w:rsidR="003C3C97" w:rsidRP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3C3C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4:</w:t>
      </w:r>
    </w:p>
    <w:p w14:paraId="543B994A" w14:textId="77777777" w:rsidR="003C3C97" w:rsidRDefault="003C3C97" w:rsidP="003C3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year 2 of the Chipotle stock, buy-and-hold ($135.18) was worse than the decision tree classifier strategy ($319.79)</w:t>
      </w:r>
    </w:p>
    <w:p w14:paraId="2A9F4406" w14:textId="0D749529" w:rsidR="007F22E1" w:rsidRDefault="003C3C97" w:rsidP="003C3C97">
      <w:r>
        <w:rPr>
          <w:rFonts w:ascii="Menlo" w:hAnsi="Menlo" w:cs="Menlo"/>
          <w:color w:val="000000"/>
          <w:kern w:val="0"/>
          <w:sz w:val="22"/>
          <w:szCs w:val="22"/>
        </w:rPr>
        <w:t>For year 2 of the S&amp;P-500 stock, buy-and-hold ($90.61) was worse than the decision tree classifier strategy ($166.91)</w:t>
      </w:r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1F"/>
    <w:rsid w:val="00265E12"/>
    <w:rsid w:val="003C3C97"/>
    <w:rsid w:val="0043241F"/>
    <w:rsid w:val="004415CF"/>
    <w:rsid w:val="0049261F"/>
    <w:rsid w:val="004B4013"/>
    <w:rsid w:val="004F0F9C"/>
    <w:rsid w:val="00544B97"/>
    <w:rsid w:val="006952E0"/>
    <w:rsid w:val="007F22E1"/>
    <w:rsid w:val="00A74B88"/>
    <w:rsid w:val="00A86896"/>
    <w:rsid w:val="00AD0B52"/>
    <w:rsid w:val="00C07D2D"/>
    <w:rsid w:val="00D07ABF"/>
    <w:rsid w:val="00D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A731B"/>
  <w15:chartTrackingRefBased/>
  <w15:docId w15:val="{BA3E8FF9-0901-1047-B3EA-EEF039F4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2</cp:revision>
  <dcterms:created xsi:type="dcterms:W3CDTF">2023-11-14T21:48:00Z</dcterms:created>
  <dcterms:modified xsi:type="dcterms:W3CDTF">2023-11-14T21:49:00Z</dcterms:modified>
</cp:coreProperties>
</file>