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gridSpan w:val="1"/>
            <w:tcBorders>
              <w:top w:val="none" w:color="FFFFFF" w:sz="0"/>
              <w:left w:val="none" w:color="FFFFFF" w:sz="0"/>
              <w:bottom w:val="none" w:color="FFFFFF" w:sz="0"/>
              <w:right w:val="none" w:color="FFFFFF" w:sz="0"/>
            </w:tcBorders>
            <w:shd w:fill="1B365D" w:val="clear"/>
            <w:tcMar>
              <w:top w:type="dxa" w:w="80"/>
              <w:left w:type="dxa" w:w="140"/>
              <w:bottom w:type="dxa" w:w="80"/>
              <w:right w:type="dxa" w:w="140"/>
            </w:tcMar>
            <w:vAlign w:val="center"/>
          </w:tcPr>
          <w:p>
            <w:pPr>
              <w:spacing w:after="80"/>
            </w:pPr>
            <w:r>
              <w:rPr>
                <w:rFonts w:ascii="Arial" w:cs="Arial" w:eastAsia="Arial" w:hAnsi="Arial"/>
                <w:color w:val="1A1A1A"/>
                <w:sz w:val="22"/>
                <w:szCs w:val="22"/>
              </w:rPr>
              <w:t xml:space="preserve"/>
            </w:r>
          </w:p>
          <w:p>
            <w:pPr>
              <w:spacing w:after="80"/>
            </w:pPr>
            <w:r>
              <w:rPr>
                <w:rFonts w:ascii="Arial" w:cs="Arial" w:eastAsia="Arial" w:hAnsi="Arial"/>
                <w:color w:val="1A1A1A"/>
                <w:sz w:val="22"/>
                <w:szCs w:val="22"/>
              </w:rPr>
              <w:t xml:space="preserve"/>
            </w:r>
          </w:p>
          <w:p>
            <w:pPr>
              <w:spacing w:after="160"/>
              <w:jc w:val="left"/>
            </w:pPr>
            <w:r>
              <w:rPr>
                <w:rFonts w:ascii="Arial" w:cs="Arial" w:eastAsia="Arial" w:hAnsi="Arial"/>
                <w:b w:val="false"/>
                <w:bCs w:val="false"/>
                <w:color w:val="D5E8F0"/>
                <w:sz w:val="20"/>
                <w:szCs w:val="20"/>
              </w:rPr>
              <w:t xml:space="preserve">Digital Audio Denmark</w:t>
            </w:r>
          </w:p>
          <w:p>
            <w:pPr>
              <w:spacing w:after="40"/>
              <w:jc w:val="left"/>
            </w:pPr>
            <w:r>
              <w:rPr>
                <w:rFonts w:ascii="Arial" w:cs="Arial" w:eastAsia="Arial" w:hAnsi="Arial"/>
                <w:b/>
                <w:bCs/>
                <w:color w:val="FFFFFF"/>
                <w:sz w:val="52"/>
                <w:szCs w:val="52"/>
              </w:rPr>
              <w:t xml:space="preserve">DAD Documentation &amp;</w:t>
            </w:r>
          </w:p>
          <w:p>
            <w:pPr>
              <w:spacing w:after="200"/>
              <w:jc w:val="left"/>
            </w:pPr>
            <w:r>
              <w:rPr>
                <w:rFonts w:ascii="Arial" w:cs="Arial" w:eastAsia="Arial" w:hAnsi="Arial"/>
                <w:b/>
                <w:bCs/>
                <w:color w:val="FFFFFF"/>
                <w:sz w:val="52"/>
                <w:szCs w:val="52"/>
              </w:rPr>
              <w:t xml:space="preserve">Content Platform</w:t>
            </w:r>
          </w:p>
          <w:p>
            <w:pPr>
              <w:spacing w:after="120"/>
              <w:jc w:val="left"/>
            </w:pPr>
            <w:r>
              <w:rPr>
                <w:rFonts w:ascii="Arial" w:cs="Arial" w:eastAsia="Arial" w:hAnsi="Arial"/>
                <w:color w:val="D5E8F0"/>
                <w:sz w:val="24"/>
                <w:szCs w:val="24"/>
              </w:rPr>
              <w:t xml:space="preserve">Project Plan  ·  Timeline  ·  Budget  ·  Risk Register</w:t>
            </w:r>
          </w:p>
          <w:p>
            <w:pPr>
              <w:jc w:val="left"/>
            </w:pPr>
            <w:r>
              <w:rPr>
                <w:rFonts w:ascii="Arial" w:cs="Arial" w:eastAsia="Arial" w:hAnsi="Arial"/>
                <w:color w:val="D5E8F0"/>
                <w:sz w:val="19"/>
                <w:szCs w:val="19"/>
              </w:rPr>
              <w:t xml:space="preserve">June 2026  ·  Version 1.0  ·  Confidential</w:t>
            </w:r>
          </w:p>
          <w:p>
            <w:pPr>
              <w:spacing w:after="80"/>
            </w:pPr>
            <w:r>
              <w:rPr>
                <w:rFonts w:ascii="Arial" w:cs="Arial" w:eastAsia="Arial" w:hAnsi="Arial"/>
                <w:color w:val="1A1A1A"/>
                <w:sz w:val="22"/>
                <w:szCs w:val="22"/>
              </w:rPr>
              <w:t xml:space="preserve"/>
            </w:r>
          </w:p>
          <w:p>
            <w:pPr>
              <w:spacing w:after="80"/>
            </w:pPr>
            <w:r>
              <w:rPr>
                <w:rFonts w:ascii="Arial" w:cs="Arial" w:eastAsia="Arial" w:hAnsi="Arial"/>
                <w:color w:val="1A1A1A"/>
                <w:sz w:val="22"/>
                <w:szCs w:val="22"/>
              </w:rPr>
              <w:t xml:space="preserve"/>
            </w:r>
          </w:p>
        </w:tc>
      </w:tr>
    </w:tbl>
    <w:p>
      <w:pPr>
        <w:spacing w:after="80"/>
      </w:pPr>
      <w:r>
        <w:rPr>
          <w:rFonts w:ascii="Arial" w:cs="Arial" w:eastAsia="Arial" w:hAnsi="Arial"/>
          <w:color w:val="1A1A1A"/>
          <w:sz w:val="22"/>
          <w:szCs w:val="22"/>
        </w:rPr>
        <w:t xml:space="preserve"/>
      </w:r>
    </w:p>
    <w:p>
      <w:pPr>
        <w:pStyle w:val="Heading1"/>
        <w:spacing w:after="160" w:before="360"/>
      </w:pPr>
      <w:r>
        <w:rPr>
          <w:rFonts w:ascii="Arial" w:cs="Arial" w:eastAsia="Arial" w:hAnsi="Arial"/>
          <w:b/>
          <w:bCs/>
          <w:color w:val="1B365D"/>
          <w:sz w:val="30"/>
          <w:szCs w:val="30"/>
        </w:rPr>
        <w:t xml:space="preserve">Executive Summary</w:t>
      </w:r>
    </w:p>
    <w:p>
      <w:pPr>
        <w:spacing w:after="120"/>
      </w:pPr>
      <w:r>
        <w:rPr>
          <w:rFonts w:ascii="Arial" w:cs="Arial" w:eastAsia="Arial" w:hAnsi="Arial"/>
          <w:color w:val="1A1A1A"/>
          <w:sz w:val="21"/>
          <w:szCs w:val="21"/>
        </w:rPr>
        <w:t xml:space="preserve">This document outlines the plan to build a comprehensive, standards-compliant documentation and content platform for Digital Audio Denmark’s product portfolio. Beginning with the DADman control software, the initiative has three interconnected objectives:</w:t>
      </w:r>
    </w:p>
    <w:p>
      <w:pPr>
        <w:spacing w:after="80"/>
      </w:pPr>
      <w:r>
        <w:rPr>
          <w:rFonts w:ascii="Arial" w:cs="Arial" w:eastAsia="Arial" w:hAnsi="Arial"/>
          <w:color w:val="1A1A1A"/>
          <w:sz w:val="22"/>
          <w:szCs w:val="22"/>
        </w:rPr>
        <w:t xml:space="preserve"/>
      </w:r>
    </w:p>
    <w:p>
      <w:pPr>
        <w:pStyle w:val="ListParagraph"/>
        <w:numPr>
          <w:ilvl w:val="0"/>
          <w:numId w:val="2"/>
        </w:numPr>
      </w:pPr>
      <w:r>
        <w:rPr>
          <w:rFonts w:ascii="Arial" w:cs="Arial" w:eastAsia="Arial" w:hAnsi="Arial"/>
          <w:color w:val="1A1A1A"/>
          <w:sz w:val="21"/>
          <w:szCs w:val="21"/>
        </w:rPr>
        <w:t xml:space="preserve">Build a professional-grade DADman User Manual to IEC/IEEE 82079-1:2019 and IEC 62368-1 standards, benchmarked against leading industry manufacturers (SSL, LAWO, Yamaha, DigiCo).</w:t>
      </w:r>
    </w:p>
    <w:p>
      <w:pPr>
        <w:pStyle w:val="ListParagraph"/>
        <w:numPr>
          <w:ilvl w:val="0"/>
          <w:numId w:val="2"/>
        </w:numPr>
      </w:pPr>
      <w:r>
        <w:rPr>
          <w:rFonts w:ascii="Arial" w:cs="Arial" w:eastAsia="Arial" w:hAnsi="Arial"/>
          <w:color w:val="1A1A1A"/>
          <w:sz w:val="21"/>
          <w:szCs w:val="21"/>
        </w:rPr>
        <w:t xml:space="preserve">Establish a living documentation infrastructure on GitHub + Docusaurus — version-matched to each firmware release, multi-product capable, and continuously maintained with AI assistance through Claude/Cowork.</w:t>
      </w:r>
    </w:p>
    <w:p>
      <w:pPr>
        <w:pStyle w:val="ListParagraph"/>
        <w:numPr>
          <w:ilvl w:val="0"/>
          <w:numId w:val="2"/>
        </w:numPr>
      </w:pPr>
      <w:r>
        <w:rPr>
          <w:rFonts w:ascii="Arial" w:cs="Arial" w:eastAsia="Arial" w:hAnsi="Arial"/>
          <w:color w:val="1A1A1A"/>
          <w:sz w:val="21"/>
          <w:szCs w:val="21"/>
        </w:rPr>
        <w:t xml:space="preserve">Create an automated content pipeline that generates tutorials, release notes, knowledge base articles, and marketing copy directly from the structured manual as a single source of truth.</w:t>
      </w:r>
    </w:p>
    <w:p>
      <w:pPr>
        <w:spacing w:after="80"/>
      </w:pPr>
      <w:r>
        <w:rPr>
          <w:rFonts w:ascii="Arial" w:cs="Arial" w:eastAsia="Arial" w:hAnsi="Arial"/>
          <w:color w:val="1A1A1A"/>
          <w:sz w:val="22"/>
          <w:szCs w:val="22"/>
        </w:rPr>
        <w:t xml:space="preserve"/>
      </w:r>
    </w:p>
    <w:p>
      <w:pPr>
        <w:spacing w:after="120"/>
      </w:pPr>
      <w:r>
        <w:rPr>
          <w:rFonts w:ascii="Arial" w:cs="Arial" w:eastAsia="Arial" w:hAnsi="Arial"/>
          <w:color w:val="1A1A1A"/>
          <w:sz w:val="21"/>
          <w:szCs w:val="21"/>
        </w:rPr>
        <w:t xml:space="preserve">The project runs across five phases over approximately six months. The core technology stack is open-source and free; ongoing infrastructure costs are minimal. The primary investment is team time, with Claude/Cowork providing AI-assisted drafting throughout every phase.</w:t>
      </w:r>
    </w:p>
    <w:p>
      <w:pPr>
        <w:spacing w:after="80"/>
      </w:pPr>
      <w:r>
        <w:rPr>
          <w:rFonts w:ascii="Arial" w:cs="Arial" w:eastAsia="Arial" w:hAnsi="Arial"/>
          <w:color w:val="1A1A1A"/>
          <w:sz w:val="22"/>
          <w:szCs w:val="22"/>
        </w:rPr>
        <w:t xml:space="preserve"/>
      </w:r>
    </w:p>
    <w:p>
      <w:pPr>
        <w:pStyle w:val="Heading1"/>
        <w:spacing w:after="160" w:before="360"/>
      </w:pPr>
      <w:r>
        <w:rPr>
          <w:rFonts w:ascii="Arial" w:cs="Arial" w:eastAsia="Arial" w:hAnsi="Arial"/>
          <w:b/>
          <w:bCs/>
          <w:color w:val="1B365D"/>
          <w:sz w:val="30"/>
          <w:szCs w:val="30"/>
        </w:rPr>
        <w:t xml:space="preserve">Project Snapshot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gridSpan w:val="1"/>
            <w:tcBorders>
              <w:top w:val="single" w:color="B0CCE0" w:sz="1"/>
              <w:left w:val="single" w:color="B0CCE0" w:sz="1"/>
              <w:bottom w:val="single" w:color="B0CCE0" w:sz="1"/>
              <w:right w:val="single" w:color="B0CCE0" w:sz="1"/>
            </w:tcBorders>
            <w:shd w:fill="D5E8F0"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Project Lead</w:t>
            </w:r>
          </w:p>
        </w:tc>
        <w:tc>
          <w:tcPr>
            <w:tcW w:type="dxa" w:w="64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Jon Schumann, Digital Audio Denmark</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Team</w:t>
            </w:r>
          </w:p>
        </w:tc>
        <w:tc>
          <w:tcPr>
            <w:tcW w:type="dxa" w:w="64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Jon + small cross-functional team (engineering, product, content)</w:t>
            </w:r>
          </w:p>
        </w:tc>
      </w:tr>
      <w:tr>
        <w:tc>
          <w:tcPr>
            <w:tcW w:type="dxa" w:w="3200"/>
            <w:gridSpan w:val="1"/>
            <w:tcBorders>
              <w:top w:val="single" w:color="B0CCE0" w:sz="1"/>
              <w:left w:val="single" w:color="B0CCE0" w:sz="1"/>
              <w:bottom w:val="single" w:color="B0CCE0" w:sz="1"/>
              <w:right w:val="single" w:color="B0CCE0" w:sz="1"/>
            </w:tcBorders>
            <w:shd w:fill="D5E8F0"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Product Portfolio</w:t>
            </w:r>
          </w:p>
        </w:tc>
        <w:tc>
          <w:tcPr>
            <w:tcW w:type="dxa" w:w="64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Core 256  ·  Core256 Racking Hardware (just announced)  ·  AX Center  ·  AX 64  ·  MOM  ·  DAD Junior  ·  MOM2 (pre-announcement — confidential)  ·  Future launches (readiness is critical)</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Source Material</w:t>
            </w:r>
          </w:p>
        </w:tc>
        <w:tc>
          <w:tcPr>
            <w:tcW w:type="dxa" w:w="64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Existing partial manual (to be audited and restructured in Phase 1)</w:t>
            </w:r>
          </w:p>
        </w:tc>
      </w:tr>
      <w:tr>
        <w:tc>
          <w:tcPr>
            <w:tcW w:type="dxa" w:w="3200"/>
            <w:gridSpan w:val="1"/>
            <w:tcBorders>
              <w:top w:val="single" w:color="B0CCE0" w:sz="1"/>
              <w:left w:val="single" w:color="B0CCE0" w:sz="1"/>
              <w:bottom w:val="single" w:color="B0CCE0" w:sz="1"/>
              <w:right w:val="single" w:color="B0CCE0" w:sz="1"/>
            </w:tcBorders>
            <w:shd w:fill="D5E8F0"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Documentation Standard</w:t>
            </w:r>
          </w:p>
        </w:tc>
        <w:tc>
          <w:tcPr>
            <w:tcW w:type="dxa" w:w="64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IEC/IEEE 82079-1:2019 · IEEE 1063 · IEC 62368-1 (safety)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Technology Stack</w:t>
            </w:r>
          </w:p>
        </w:tc>
        <w:tc>
          <w:tcPr>
            <w:tcW w:type="dxa" w:w="64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GitHub + Docusaurus + Claude/Cowork + GitHub Actions + GitHub Pages</w:t>
            </w:r>
          </w:p>
        </w:tc>
      </w:tr>
      <w:tr>
        <w:tc>
          <w:tcPr>
            <w:tcW w:type="dxa" w:w="3200"/>
            <w:gridSpan w:val="1"/>
            <w:tcBorders>
              <w:top w:val="single" w:color="B0CCE0" w:sz="1"/>
              <w:left w:val="single" w:color="B0CCE0" w:sz="1"/>
              <w:bottom w:val="single" w:color="B0CCE0" w:sz="1"/>
              <w:right w:val="single" w:color="B0CCE0" w:sz="1"/>
            </w:tcBorders>
            <w:shd w:fill="D5E8F0"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Target Launch</w:t>
            </w:r>
          </w:p>
        </w:tc>
        <w:tc>
          <w:tcPr>
            <w:tcW w:type="dxa" w:w="64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DADman Manual v1.0 — as soon as possible; no hard deadline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Estimated Cost</w:t>
            </w:r>
          </w:p>
        </w:tc>
        <w:tc>
          <w:tcPr>
            <w:tcW w:type="dxa" w:w="64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€1,000–5,000 one-time setup  ·  €20–50/month ongoing</w:t>
            </w:r>
          </w:p>
        </w:tc>
      </w:tr>
    </w:tbl>
    <w:p>
      <w:pPr>
        <w:spacing w:after="80"/>
      </w:pPr>
      <w:r>
        <w:rPr>
          <w:rFonts w:ascii="Arial" w:cs="Arial" w:eastAsia="Arial" w:hAnsi="Arial"/>
          <w:color w:val="1A1A1A"/>
          <w:sz w:val="22"/>
          <w:szCs w:val="22"/>
        </w:rPr>
        <w:t xml:space="preserve"/>
      </w:r>
    </w:p>
    <w:p>
      <w:pPr>
        <w:pStyle w:val="Heading1"/>
        <w:spacing w:after="160" w:before="360"/>
      </w:pPr>
      <w:r>
        <w:rPr>
          <w:rFonts w:ascii="Arial" w:cs="Arial" w:eastAsia="Arial" w:hAnsi="Arial"/>
          <w:b/>
          <w:bCs/>
          <w:color w:val="1B365D"/>
          <w:sz w:val="30"/>
          <w:szCs w:val="30"/>
        </w:rPr>
        <w:t xml:space="preserve">Phase Plan &amp; Timeline</w:t>
      </w:r>
    </w:p>
    <w:p>
      <w:pPr>
        <w:spacing w:after="120"/>
      </w:pPr>
      <w:r>
        <w:rPr>
          <w:rFonts w:ascii="Arial" w:cs="Arial" w:eastAsia="Arial" w:hAnsi="Arial"/>
          <w:color w:val="1A1A1A"/>
          <w:sz w:val="21"/>
          <w:szCs w:val="21"/>
        </w:rPr>
        <w:t xml:space="preserve">The project is structured in five sequential phases. Phases 1 and 2 are the critical path to v1.0 publication. Phases 3–5 build the infrastructure and automation that make the documentation a continuously valuable, living asset.</w:t>
      </w:r>
    </w:p>
    <w:p>
      <w:pPr>
        <w:spacing w:after="80"/>
      </w:pPr>
      <w:r>
        <w:rPr>
          <w:rFonts w:ascii="Arial" w:cs="Arial" w:eastAsia="Arial" w:hAnsi="Arial"/>
          <w:color w:val="1A1A1A"/>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gridSpan w:val="1"/>
            <w:tcBorders>
              <w:top w:val="none" w:color="FFFFFF" w:sz="0"/>
              <w:left w:val="none" w:color="FFFFFF" w:sz="0"/>
              <w:bottom w:val="none" w:color="FFFFFF" w:sz="0"/>
              <w:right w:val="none" w:color="FFFFFF" w:sz="0"/>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4"/>
                <w:szCs w:val="24"/>
              </w:rPr>
              <w:t xml:space="preserve">Phase 1 — Discovery &amp; Foundation    Weeks 1–3</w:t>
            </w:r>
          </w:p>
        </w:tc>
      </w:tr>
    </w:tbl>
    <w:p>
      <w:pPr>
        <w:spacing w:after="8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2E75B6"/>
          <w:sz w:val="24"/>
          <w:szCs w:val="24"/>
        </w:rPr>
        <w:t xml:space="preserve">Objectives</w:t>
      </w:r>
    </w:p>
    <w:p>
      <w:pPr>
        <w:pStyle w:val="ListParagraph"/>
        <w:numPr>
          <w:ilvl w:val="0"/>
          <w:numId w:val="3"/>
        </w:numPr>
      </w:pPr>
      <w:r>
        <w:rPr>
          <w:rFonts w:ascii="Arial" w:cs="Arial" w:eastAsia="Arial" w:hAnsi="Arial"/>
          <w:color w:val="1A1A1A"/>
          <w:sz w:val="21"/>
          <w:szCs w:val="21"/>
        </w:rPr>
        <w:t xml:space="preserve">Audit the existing partial DADman manual and all scattered documentation (spec sheets, release notes, KB articles, engineering notes)</w:t>
      </w:r>
    </w:p>
    <w:p>
      <w:pPr>
        <w:pStyle w:val="ListParagraph"/>
        <w:numPr>
          <w:ilvl w:val="0"/>
          <w:numId w:val="3"/>
        </w:numPr>
      </w:pPr>
      <w:r>
        <w:rPr>
          <w:rFonts w:ascii="Arial" w:cs="Arial" w:eastAsia="Arial" w:hAnsi="Arial"/>
          <w:color w:val="1A1A1A"/>
          <w:sz w:val="21"/>
          <w:szCs w:val="21"/>
        </w:rPr>
        <w:t xml:space="preserve">Map discovered content against the canonical 10-chapter structure; identify and size the gaps</w:t>
      </w:r>
    </w:p>
    <w:p>
      <w:pPr>
        <w:pStyle w:val="ListParagraph"/>
        <w:numPr>
          <w:ilvl w:val="0"/>
          <w:numId w:val="3"/>
        </w:numPr>
      </w:pPr>
      <w:r>
        <w:rPr>
          <w:rFonts w:ascii="Arial" w:cs="Arial" w:eastAsia="Arial" w:hAnsi="Arial"/>
          <w:color w:val="1A1A1A"/>
          <w:sz w:val="21"/>
          <w:szCs w:val="21"/>
        </w:rPr>
        <w:t xml:space="preserve">Set up the GitHub repository and Docusaurus project (two product directories: /dadman, /ax32)</w:t>
      </w:r>
    </w:p>
    <w:p>
      <w:pPr>
        <w:pStyle w:val="ListParagraph"/>
        <w:numPr>
          <w:ilvl w:val="0"/>
          <w:numId w:val="3"/>
        </w:numPr>
      </w:pPr>
      <w:r>
        <w:rPr>
          <w:rFonts w:ascii="Arial" w:cs="Arial" w:eastAsia="Arial" w:hAnsi="Arial"/>
          <w:color w:val="1A1A1A"/>
          <w:sz w:val="21"/>
          <w:szCs w:val="21"/>
        </w:rPr>
        <w:t xml:space="preserve">Define the team review and approval workflow; assign chapter reviewers</w:t>
      </w:r>
    </w:p>
    <w:p>
      <w:pPr>
        <w:pStyle w:val="ListParagraph"/>
        <w:numPr>
          <w:ilvl w:val="0"/>
          <w:numId w:val="3"/>
        </w:numPr>
      </w:pPr>
      <w:r>
        <w:rPr>
          <w:rFonts w:ascii="Arial" w:cs="Arial" w:eastAsia="Arial" w:hAnsi="Arial"/>
          <w:color w:val="1A1A1A"/>
          <w:sz w:val="21"/>
          <w:szCs w:val="21"/>
        </w:rPr>
        <w:t xml:space="preserve">Confirm which DADman firmware version v1.0 of the manual will cover</w:t>
      </w:r>
    </w:p>
    <w:p>
      <w:pPr>
        <w:spacing w:after="8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2E75B6"/>
          <w:sz w:val="24"/>
          <w:szCs w:val="24"/>
        </w:rPr>
        <w:t xml:space="preserve">Key Deliverables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838"/>
        <w:gridCol w:w="2200"/>
      </w:tblGrid>
      <w:tr>
        <w:tc>
          <w:tcPr>
            <w:tcW w:type="dxa" w:w="360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Deliverable</w:t>
            </w:r>
          </w:p>
        </w:tc>
        <w:tc>
          <w:tcPr>
            <w:tcW w:type="dxa" w:w="3838"/>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c>
          <w:tcPr>
            <w:tcW w:type="dxa" w:w="220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Owner</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Content inventory &amp; gap map</w:t>
            </w:r>
          </w:p>
        </w:tc>
        <w:tc>
          <w:tcPr>
            <w:tcW w:type="dxa" w:w="38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Full audit of all existing docs against the 10-chapter template; gaps sized by effort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Jon</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GitHub repository</w:t>
            </w:r>
          </w:p>
        </w:tc>
        <w:tc>
          <w:tcPr>
            <w:tcW w:type="dxa" w:w="38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Docusaurus project with /dadman and /ax32 dirs; initial GitHub Actions CI/CD workflow</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Developer</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Approved chapter outline</w:t>
            </w:r>
          </w:p>
        </w:tc>
        <w:tc>
          <w:tcPr>
            <w:tcW w:type="dxa" w:w="38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Section-level outline for the full DADman manual, signed off by the team before drafting begins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Jon + Eng</w:t>
            </w:r>
          </w:p>
        </w:tc>
      </w:tr>
    </w:tbl>
    <w:p>
      <w:pPr>
        <w:spacing w:after="80"/>
      </w:pPr>
      <w:r>
        <w:rPr>
          <w:rFonts w:ascii="Arial" w:cs="Arial" w:eastAsia="Arial" w:hAnsi="Arial"/>
          <w:color w:val="1A1A1A"/>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gridSpan w:val="1"/>
            <w:tcBorders>
              <w:top w:val="none" w:color="FFFFFF" w:sz="0"/>
              <w:left w:val="none" w:color="FFFFFF" w:sz="0"/>
              <w:bottom w:val="none" w:color="FFFFFF" w:sz="0"/>
              <w:right w:val="none" w:color="FFFFFF" w:sz="0"/>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4"/>
                <w:szCs w:val="24"/>
              </w:rPr>
              <w:t xml:space="preserve">Phase 2 — DADman Manual: Full Draft    Weeks 3–10</w:t>
            </w:r>
          </w:p>
        </w:tc>
      </w:tr>
    </w:tbl>
    <w:p>
      <w:pPr>
        <w:spacing w:after="8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2E75B6"/>
          <w:sz w:val="24"/>
          <w:szCs w:val="24"/>
        </w:rPr>
        <w:t xml:space="preserve">Approach</w:t>
      </w:r>
    </w:p>
    <w:p>
      <w:pPr>
        <w:spacing w:after="120"/>
      </w:pPr>
      <w:r>
        <w:rPr>
          <w:rFonts w:ascii="Arial" w:cs="Arial" w:eastAsia="Arial" w:hAnsi="Arial"/>
          <w:color w:val="1A1A1A"/>
          <w:sz w:val="21"/>
          <w:szCs w:val="21"/>
        </w:rPr>
        <w:t xml:space="preserve">Each chapter is drafted by Claude (using the pro-audio-manual-expert skill), reviewed by a DAD engineer for technical accuracy, revised, and signed off. The cycle is per-chapter — not a single end-to-end pass. This keeps review sessions manageable and allows parallel progress.</w:t>
      </w:r>
    </w:p>
    <w:p>
      <w:pPr>
        <w:spacing w:after="8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2E75B6"/>
          <w:sz w:val="24"/>
          <w:szCs w:val="24"/>
        </w:rPr>
        <w:t xml:space="preserve">Chapter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2820"/>
        <w:gridCol w:w="2638"/>
        <w:gridCol w:w="1800"/>
        <w:gridCol w:w="2000"/>
      </w:tblGrid>
      <w:tr>
        <w:tc>
          <w:tcPr>
            <w:tcW w:type="dxa" w:w="38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282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Chapter</w:t>
            </w:r>
          </w:p>
        </w:tc>
        <w:tc>
          <w:tcPr>
            <w:tcW w:type="dxa" w:w="2638"/>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 Content</w:t>
            </w:r>
          </w:p>
        </w:tc>
        <w:tc>
          <w:tcPr>
            <w:tcW w:type="dxa" w:w="180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Est. Effort</w:t>
            </w:r>
          </w:p>
        </w:tc>
        <w:tc>
          <w:tcPr>
            <w:tcW w:type="dxa" w:w="200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Reviewer</w:t>
            </w:r>
          </w:p>
        </w:tc>
      </w:tr>
      <w:tr>
        <w:tc>
          <w:tcPr>
            <w:tcW w:type="dxa" w:w="3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FM</w:t>
            </w:r>
          </w:p>
        </w:tc>
        <w:tc>
          <w:tcPr>
            <w:tcW w:type="dxa" w:w="2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Front Matter &amp; Safety Notices</w:t>
            </w:r>
          </w:p>
        </w:tc>
        <w:tc>
          <w:tcPr>
            <w:tcW w:type="dxa" w:w="26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IEC 62368-1 notices, compliance declarations, signal word definitions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2 days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Eng + Legal</w:t>
            </w:r>
          </w:p>
        </w:tc>
      </w:tr>
      <w:tr>
        <w:tc>
          <w:tcPr>
            <w:tcW w:type="dxa" w:w="3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1</w:t>
            </w:r>
          </w:p>
        </w:tc>
        <w:tc>
          <w:tcPr>
            <w:tcW w:type="dxa" w:w="282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Introduction &amp; Product Overview</w:t>
            </w:r>
          </w:p>
        </w:tc>
        <w:tc>
          <w:tcPr>
            <w:tcW w:type="dxa" w:w="26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Feature list, signal flow block diagram, documentation map</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2 days</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Product</w:t>
            </w:r>
          </w:p>
        </w:tc>
      </w:tr>
      <w:tr>
        <w:tc>
          <w:tcPr>
            <w:tcW w:type="dxa" w:w="3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2</w:t>
            </w:r>
          </w:p>
        </w:tc>
        <w:tc>
          <w:tcPr>
            <w:tcW w:type="dxa" w:w="2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System Requirements &amp; Package Contents</w:t>
            </w:r>
          </w:p>
        </w:tc>
        <w:tc>
          <w:tcPr>
            <w:tcW w:type="dxa" w:w="26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OS versions, hardware reqs, package checklist</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1 day</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Engineering</w:t>
            </w:r>
          </w:p>
        </w:tc>
      </w:tr>
      <w:tr>
        <w:tc>
          <w:tcPr>
            <w:tcW w:type="dxa" w:w="3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3</w:t>
            </w:r>
          </w:p>
        </w:tc>
        <w:tc>
          <w:tcPr>
            <w:tcW w:type="dxa" w:w="282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Installation</w:t>
            </w:r>
          </w:p>
        </w:tc>
        <w:tc>
          <w:tcPr>
            <w:tcW w:type="dxa" w:w="26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Hardware rack install, software install, license activation, first power-on</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3 days</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Engineering</w:t>
            </w:r>
          </w:p>
        </w:tc>
      </w:tr>
      <w:tr>
        <w:tc>
          <w:tcPr>
            <w:tcW w:type="dxa" w:w="3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4</w:t>
            </w:r>
          </w:p>
        </w:tc>
        <w:tc>
          <w:tcPr>
            <w:tcW w:type="dxa" w:w="2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Hardware Description</w:t>
            </w:r>
          </w:p>
        </w:tc>
        <w:tc>
          <w:tcPr>
            <w:tcW w:type="dxa" w:w="26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Annotated front/rear panel diagrams, LED state table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3 days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Engineering</w:t>
            </w:r>
          </w:p>
        </w:tc>
      </w:tr>
      <w:tr>
        <w:tc>
          <w:tcPr>
            <w:tcW w:type="dxa" w:w="3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5</w:t>
            </w:r>
          </w:p>
        </w:tc>
        <w:tc>
          <w:tcPr>
            <w:tcW w:type="dxa" w:w="282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Signal Flow &amp; Architecture</w:t>
            </w:r>
          </w:p>
        </w:tc>
        <w:tc>
          <w:tcPr>
            <w:tcW w:type="dxa" w:w="26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Block diagrams, clocking hierarchy, format matrix, latency figures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3 days</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Engineering</w:t>
            </w:r>
          </w:p>
        </w:tc>
      </w:tr>
      <w:tr>
        <w:tc>
          <w:tcPr>
            <w:tcW w:type="dxa" w:w="3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6</w:t>
            </w:r>
          </w:p>
        </w:tc>
        <w:tc>
          <w:tcPr>
            <w:tcW w:type="dxa" w:w="2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Getting Started</w:t>
            </w:r>
          </w:p>
        </w:tc>
        <w:tc>
          <w:tcPr>
            <w:tcW w:type="dxa" w:w="26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10-step quick setup walkthrough, cross-refs to full chapters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2 days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Engineering</w:t>
            </w:r>
          </w:p>
        </w:tc>
      </w:tr>
      <w:tr>
        <w:tc>
          <w:tcPr>
            <w:tcW w:type="dxa" w:w="3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7</w:t>
            </w:r>
          </w:p>
        </w:tc>
        <w:tc>
          <w:tcPr>
            <w:tcW w:type="dxa" w:w="282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Operation</w:t>
            </w:r>
          </w:p>
        </w:tc>
        <w:tc>
          <w:tcPr>
            <w:tcW w:type="dxa" w:w="26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7 workflow sections: session mgmt, I/O, clocking, gain, network, monitoring, DADman-specific</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8 days</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Engineering</w:t>
            </w:r>
          </w:p>
        </w:tc>
      </w:tr>
      <w:tr>
        <w:tc>
          <w:tcPr>
            <w:tcW w:type="dxa" w:w="3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8</w:t>
            </w:r>
          </w:p>
        </w:tc>
        <w:tc>
          <w:tcPr>
            <w:tcW w:type="dxa" w:w="2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Advanced Features</w:t>
            </w:r>
          </w:p>
        </w:tc>
        <w:tc>
          <w:tcPr>
            <w:tcW w:type="dxa" w:w="26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Advanced DADman capabilities, integrations, macros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4 days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Engineering</w:t>
            </w:r>
          </w:p>
        </w:tc>
      </w:tr>
      <w:tr>
        <w:tc>
          <w:tcPr>
            <w:tcW w:type="dxa" w:w="3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9</w:t>
            </w:r>
          </w:p>
        </w:tc>
        <w:tc>
          <w:tcPr>
            <w:tcW w:type="dxa" w:w="282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Troubleshooting</w:t>
            </w:r>
          </w:p>
        </w:tc>
        <w:tc>
          <w:tcPr>
            <w:tcW w:type="dxa" w:w="26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Symptom | Cause | Remedy tables; all known failure modes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3 days</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Eng + Support</w:t>
            </w:r>
          </w:p>
        </w:tc>
      </w:tr>
      <w:tr>
        <w:tc>
          <w:tcPr>
            <w:tcW w:type="dxa" w:w="3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10</w:t>
            </w:r>
          </w:p>
        </w:tc>
        <w:tc>
          <w:tcPr>
            <w:tcW w:type="dxa" w:w="2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Maintenance</w:t>
            </w:r>
          </w:p>
        </w:tc>
        <w:tc>
          <w:tcPr>
            <w:tcW w:type="dxa" w:w="26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Firmware update procedure, cleaning, storage, EOL disposal</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2 days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Engineering</w:t>
            </w:r>
          </w:p>
        </w:tc>
      </w:tr>
      <w:tr>
        <w:tc>
          <w:tcPr>
            <w:tcW w:type="dxa" w:w="3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color w:val="1A1A1A"/>
                <w:sz w:val="20"/>
                <w:szCs w:val="20"/>
              </w:rPr>
              <w:t xml:space="preserve">App</w:t>
            </w:r>
          </w:p>
        </w:tc>
        <w:tc>
          <w:tcPr>
            <w:tcW w:type="dxa" w:w="282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Appendices A–H</w:t>
            </w:r>
          </w:p>
        </w:tc>
        <w:tc>
          <w:tcPr>
            <w:tcW w:type="dxa" w:w="26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Specs, pinouts, formats, shortcuts, changelog, compliance, glossary, index</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5 days</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Eng + Legal</w:t>
            </w:r>
          </w:p>
        </w:tc>
      </w:tr>
    </w:tbl>
    <w:p>
      <w:pPr>
        <w:spacing w:after="8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2E75B6"/>
          <w:sz w:val="24"/>
          <w:szCs w:val="24"/>
        </w:rPr>
        <w:t xml:space="preserve">Deliverable</w:t>
      </w:r>
    </w:p>
    <w:p>
      <w:pPr>
        <w:spacing w:after="120"/>
      </w:pPr>
      <w:r>
        <w:rPr>
          <w:rFonts w:ascii="Arial" w:cs="Arial" w:eastAsia="Arial" w:hAnsi="Arial"/>
          <w:color w:val="1A1A1A"/>
          <w:sz w:val="21"/>
          <w:szCs w:val="21"/>
        </w:rPr>
        <w:t xml:space="preserve">DADman User Manual — complete draft, all chapters written, technically reviewed, and ready for Phase 3 QA. Stored in the GitHub repository as Markdown source files.</w:t>
      </w:r>
    </w:p>
    <w:p>
      <w:pPr>
        <w:spacing w:after="80"/>
      </w:pPr>
      <w:r>
        <w:rPr>
          <w:rFonts w:ascii="Arial" w:cs="Arial" w:eastAsia="Arial" w:hAnsi="Arial"/>
          <w:color w:val="1A1A1A"/>
          <w:sz w:val="22"/>
          <w:szCs w:val="22"/>
        </w:rPr>
        <w:t xml:space="preserve"/>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gridSpan w:val="1"/>
            <w:tcBorders>
              <w:top w:val="none" w:color="FFFFFF" w:sz="0"/>
              <w:left w:val="none" w:color="FFFFFF" w:sz="0"/>
              <w:bottom w:val="none" w:color="FFFFFF" w:sz="0"/>
              <w:right w:val="none" w:color="FFFFFF" w:sz="0"/>
            </w:tcBorders>
            <w:shd w:fill="1B6B3A" w:val="clear"/>
            <w:tcMar>
              <w:top w:type="dxa" w:w="80"/>
              <w:left w:type="dxa" w:w="140"/>
              <w:bottom w:type="dxa" w:w="80"/>
              <w:right w:type="dxa" w:w="140"/>
            </w:tcMar>
            <w:vAlign w:val="center"/>
          </w:tcPr>
          <w:p>
            <w:pPr>
              <w:jc w:val="left"/>
            </w:pPr>
            <w:r>
              <w:rPr>
                <w:rFonts w:ascii="Arial" w:cs="Arial" w:eastAsia="Arial" w:hAnsi="Arial"/>
                <w:b/>
                <w:bCs/>
                <w:color w:val="FFFFFF"/>
                <w:sz w:val="24"/>
                <w:szCs w:val="24"/>
              </w:rPr>
              <w:t xml:space="preserve">Phase 3 — Review, QA &amp; Publication    Weeks 10–14</w:t>
            </w:r>
          </w:p>
        </w:tc>
      </w:tr>
    </w:tbl>
    <w:p>
      <w:pPr>
        <w:spacing w:after="8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2E75B6"/>
          <w:sz w:val="24"/>
          <w:szCs w:val="24"/>
        </w:rPr>
        <w:t xml:space="preserve">Objectives</w:t>
      </w:r>
    </w:p>
    <w:p>
      <w:pPr>
        <w:pStyle w:val="ListParagraph"/>
        <w:numPr>
          <w:ilvl w:val="0"/>
          <w:numId w:val="3"/>
        </w:numPr>
      </w:pPr>
      <w:r>
        <w:rPr>
          <w:rFonts w:ascii="Arial" w:cs="Arial" w:eastAsia="Arial" w:hAnsi="Arial"/>
          <w:color w:val="1A1A1A"/>
          <w:sz w:val="21"/>
          <w:szCs w:val="21"/>
        </w:rPr>
        <w:t xml:space="preserve">Complete the final round of internal technical review across all chapters</w:t>
      </w:r>
    </w:p>
    <w:p>
      <w:pPr>
        <w:pStyle w:val="ListParagraph"/>
        <w:numPr>
          <w:ilvl w:val="0"/>
          <w:numId w:val="3"/>
        </w:numPr>
      </w:pPr>
      <w:r>
        <w:rPr>
          <w:rFonts w:ascii="Arial" w:cs="Arial" w:eastAsia="Arial" w:hAnsi="Arial"/>
          <w:color w:val="1A1A1A"/>
          <w:sz w:val="21"/>
          <w:szCs w:val="21"/>
        </w:rPr>
        <w:t xml:space="preserve">Obtain regulatory sign-off on CE, FCC, and RoHS compliance declarations</w:t>
      </w:r>
    </w:p>
    <w:p>
      <w:pPr>
        <w:pStyle w:val="ListParagraph"/>
        <w:numPr>
          <w:ilvl w:val="0"/>
          <w:numId w:val="3"/>
        </w:numPr>
      </w:pPr>
      <w:r>
        <w:rPr>
          <w:rFonts w:ascii="Arial" w:cs="Arial" w:eastAsia="Arial" w:hAnsi="Arial"/>
          <w:color w:val="1A1A1A"/>
          <w:sz w:val="21"/>
          <w:szCs w:val="21"/>
        </w:rPr>
        <w:t xml:space="preserve">Configure GitHub Actions for automatic deployment: merge to main → docs rebuild and publish</w:t>
      </w:r>
    </w:p>
    <w:p>
      <w:pPr>
        <w:pStyle w:val="ListParagraph"/>
        <w:numPr>
          <w:ilvl w:val="0"/>
          <w:numId w:val="3"/>
        </w:numPr>
      </w:pPr>
      <w:r>
        <w:rPr>
          <w:rFonts w:ascii="Arial" w:cs="Arial" w:eastAsia="Arial" w:hAnsi="Arial"/>
          <w:color w:val="1A1A1A"/>
          <w:sz w:val="21"/>
          <w:szCs w:val="21"/>
        </w:rPr>
        <w:t xml:space="preserve">Set up PDF export (one download per product, per version) and Algolia full-text search</w:t>
      </w:r>
    </w:p>
    <w:p>
      <w:pPr>
        <w:pStyle w:val="ListParagraph"/>
        <w:numPr>
          <w:ilvl w:val="0"/>
          <w:numId w:val="3"/>
        </w:numPr>
      </w:pPr>
      <w:r>
        <w:rPr>
          <w:rFonts w:ascii="Arial" w:cs="Arial" w:eastAsia="Arial" w:hAnsi="Arial"/>
          <w:color w:val="1A1A1A"/>
          <w:sz w:val="21"/>
          <w:szCs w:val="21"/>
        </w:rPr>
        <w:t xml:space="preserve">Publish DADman Manual v1.0 to the live documentation site</w:t>
      </w:r>
    </w:p>
    <w:p>
      <w:pPr>
        <w:spacing w:after="8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2E75B6"/>
          <w:sz w:val="24"/>
          <w:szCs w:val="24"/>
        </w:rPr>
        <w:t xml:space="preserve">Deliverables</w:t>
      </w:r>
    </w:p>
    <w:p>
      <w:pPr>
        <w:pStyle w:val="ListParagraph"/>
        <w:numPr>
          <w:ilvl w:val="0"/>
          <w:numId w:val="3"/>
        </w:numPr>
      </w:pPr>
      <w:r>
        <w:rPr>
          <w:rFonts w:ascii="Arial" w:cs="Arial" w:eastAsia="Arial" w:hAnsi="Arial"/>
          <w:color w:val="1A1A1A"/>
          <w:sz w:val="21"/>
          <w:szCs w:val="21"/>
        </w:rPr>
        <w:t xml:space="preserve">DADman User Manual v1.0 — live web version at docs.digitalaudio.dk + downloadable PDF</w:t>
      </w:r>
    </w:p>
    <w:p>
      <w:pPr>
        <w:pStyle w:val="ListParagraph"/>
        <w:numPr>
          <w:ilvl w:val="0"/>
          <w:numId w:val="3"/>
        </w:numPr>
      </w:pPr>
      <w:r>
        <w:rPr>
          <w:rFonts w:ascii="Arial" w:cs="Arial" w:eastAsia="Arial" w:hAnsi="Arial"/>
          <w:color w:val="1A1A1A"/>
          <w:sz w:val="21"/>
          <w:szCs w:val="21"/>
        </w:rPr>
        <w:t xml:space="preserve">Automated deployment pipeline operational — push a tag, docs update automatically</w:t>
      </w:r>
    </w:p>
    <w:p>
      <w:pPr>
        <w:pStyle w:val="ListParagraph"/>
        <w:numPr>
          <w:ilvl w:val="0"/>
          <w:numId w:val="3"/>
        </w:numPr>
      </w:pPr>
      <w:r>
        <w:rPr>
          <w:rFonts w:ascii="Arial" w:cs="Arial" w:eastAsia="Arial" w:hAnsi="Arial"/>
          <w:color w:val="1A1A1A"/>
          <w:sz w:val="21"/>
          <w:szCs w:val="21"/>
        </w:rPr>
        <w:t xml:space="preserve">Algolia DocSearch configured and indexed across all product documentation</w:t>
      </w:r>
    </w:p>
    <w:p>
      <w:pPr>
        <w:spacing w:after="80"/>
      </w:pPr>
      <w:r>
        <w:rPr>
          <w:rFonts w:ascii="Arial" w:cs="Arial" w:eastAsia="Arial" w:hAnsi="Arial"/>
          <w:color w:val="1A1A1A"/>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gridSpan w:val="1"/>
            <w:tcBorders>
              <w:top w:val="none" w:color="FFFFFF" w:sz="0"/>
              <w:left w:val="none" w:color="FFFFFF" w:sz="0"/>
              <w:bottom w:val="none" w:color="FFFFFF" w:sz="0"/>
              <w:right w:val="none" w:color="FFFFFF" w:sz="0"/>
            </w:tcBorders>
            <w:shd w:fill="B05A00" w:val="clear"/>
            <w:tcMar>
              <w:top w:type="dxa" w:w="80"/>
              <w:left w:type="dxa" w:w="140"/>
              <w:bottom w:type="dxa" w:w="80"/>
              <w:right w:type="dxa" w:w="140"/>
            </w:tcMar>
            <w:vAlign w:val="center"/>
          </w:tcPr>
          <w:p>
            <w:pPr>
              <w:jc w:val="left"/>
            </w:pPr>
            <w:r>
              <w:rPr>
                <w:rFonts w:ascii="Arial" w:cs="Arial" w:eastAsia="Arial" w:hAnsi="Arial"/>
                <w:b/>
                <w:bCs/>
                <w:color w:val="FFFFFF"/>
                <w:sz w:val="24"/>
                <w:szCs w:val="24"/>
              </w:rPr>
              <w:t xml:space="preserve">Phase 4 — Content Automation Pipeline    Weeks 14–18</w:t>
            </w:r>
          </w:p>
        </w:tc>
      </w:tr>
    </w:tbl>
    <w:p>
      <w:pPr>
        <w:spacing w:after="8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2E75B6"/>
          <w:sz w:val="24"/>
          <w:szCs w:val="24"/>
        </w:rPr>
        <w:t xml:space="preserve">Objective</w:t>
      </w:r>
    </w:p>
    <w:p>
      <w:pPr>
        <w:spacing w:after="120"/>
      </w:pPr>
      <w:r>
        <w:rPr>
          <w:rFonts w:ascii="Arial" w:cs="Arial" w:eastAsia="Arial" w:hAnsi="Arial"/>
          <w:color w:val="1A1A1A"/>
          <w:sz w:val="21"/>
          <w:szCs w:val="21"/>
        </w:rPr>
        <w:t xml:space="preserve">Build the pipeline that allows the manual to automatically spawn derivative content when features are added or firmware is released. The manual becomes the single source of truth for the entire content ecosystem.</w:t>
      </w:r>
    </w:p>
    <w:p>
      <w:pPr>
        <w:spacing w:after="80"/>
      </w:pPr>
      <w:r>
        <w:rPr>
          <w:rFonts w:ascii="Arial" w:cs="Arial" w:eastAsia="Arial" w:hAnsi="Arial"/>
          <w:color w:val="1A1A1A"/>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38"/>
        <w:gridCol w:w="3600"/>
      </w:tblGrid>
      <w:tr>
        <w:tc>
          <w:tcPr>
            <w:tcW w:type="dxa" w:w="260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Content Type</w:t>
            </w:r>
          </w:p>
        </w:tc>
        <w:tc>
          <w:tcPr>
            <w:tcW w:type="dxa" w:w="3438"/>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Source (Manual Section)</w:t>
            </w:r>
          </w:p>
        </w:tc>
        <w:tc>
          <w:tcPr>
            <w:tcW w:type="dxa" w:w="360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Trigger</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Tutorial script</w:t>
            </w:r>
          </w:p>
        </w:tc>
        <w:tc>
          <w:tcPr>
            <w:tcW w:type="dxa" w:w="34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Chapter 7 — Operation sections</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New workflow section merged to main</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Feature release notes</w:t>
            </w:r>
          </w:p>
        </w:tc>
        <w:tc>
          <w:tcPr>
            <w:tcW w:type="dxa" w:w="34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Appendix E — Changelog</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Firmware version tag pushed</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Knowledge base article</w:t>
            </w:r>
          </w:p>
        </w:tc>
        <w:tc>
          <w:tcPr>
            <w:tcW w:type="dxa" w:w="34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Chapter 9 — Troubleshooting table</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New symptom row added</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Marketing copy</w:t>
            </w:r>
          </w:p>
        </w:tc>
        <w:tc>
          <w:tcPr>
            <w:tcW w:type="dxa" w:w="34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Chapter 1 — Features overview</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Major feature addition</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Quick start PDF</w:t>
            </w:r>
          </w:p>
        </w:tc>
        <w:tc>
          <w:tcPr>
            <w:tcW w:type="dxa" w:w="34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Chapter 6 — Getting Started</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New product or major version</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Support FAQ</w:t>
            </w:r>
          </w:p>
        </w:tc>
        <w:tc>
          <w:tcPr>
            <w:tcW w:type="dxa" w:w="34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Chapters 7 + 9</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Weekly scheduled generation</w:t>
            </w:r>
          </w:p>
        </w:tc>
      </w:tr>
    </w:tbl>
    <w:p>
      <w:pPr>
        <w:spacing w:after="8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2E75B6"/>
          <w:sz w:val="24"/>
          <w:szCs w:val="24"/>
        </w:rPr>
        <w:t xml:space="preserve">Deliverable</w:t>
      </w:r>
    </w:p>
    <w:p>
      <w:pPr>
        <w:spacing w:after="120"/>
      </w:pPr>
      <w:r>
        <w:rPr>
          <w:rFonts w:ascii="Arial" w:cs="Arial" w:eastAsia="Arial" w:hAnsi="Arial"/>
          <w:color w:val="1A1A1A"/>
          <w:sz w:val="21"/>
          <w:szCs w:val="21"/>
        </w:rPr>
        <w:t xml:space="preserve">Operational content pipeline: GitHub Actions triggers + companion Claude skills for each content type. Tested against the next real DADman firmware release.</w:t>
      </w:r>
    </w:p>
    <w:p>
      <w:pPr>
        <w:spacing w:after="80"/>
      </w:pPr>
      <w:r>
        <w:rPr>
          <w:rFonts w:ascii="Arial" w:cs="Arial" w:eastAsia="Arial" w:hAnsi="Arial"/>
          <w:color w:val="1A1A1A"/>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gridSpan w:val="1"/>
            <w:tcBorders>
              <w:top w:val="none" w:color="FFFFFF" w:sz="0"/>
              <w:left w:val="none" w:color="FFFFFF" w:sz="0"/>
              <w:bottom w:val="none" w:color="FFFFFF" w:sz="0"/>
              <w:right w:val="none" w:color="FFFFFF" w:sz="0"/>
            </w:tcBorders>
            <w:shd w:fill="5E3080" w:val="clear"/>
            <w:tcMar>
              <w:top w:type="dxa" w:w="80"/>
              <w:left w:type="dxa" w:w="140"/>
              <w:bottom w:type="dxa" w:w="80"/>
              <w:right w:type="dxa" w:w="140"/>
            </w:tcMar>
            <w:vAlign w:val="center"/>
          </w:tcPr>
          <w:p>
            <w:pPr>
              <w:jc w:val="left"/>
            </w:pPr>
            <w:r>
              <w:rPr>
                <w:rFonts w:ascii="Arial" w:cs="Arial" w:eastAsia="Arial" w:hAnsi="Arial"/>
                <w:b/>
                <w:bCs/>
                <w:color w:val="FFFFFF"/>
                <w:sz w:val="24"/>
                <w:szCs w:val="24"/>
              </w:rPr>
              <w:t xml:space="preserve">Phase 5 — Full Product Portfolio Rollout    Weeks 18–36+</w:t>
            </w:r>
          </w:p>
        </w:tc>
      </w:tr>
    </w:tbl>
    <w:p>
      <w:pPr>
        <w:spacing w:after="8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2E75B6"/>
          <w:sz w:val="24"/>
          <w:szCs w:val="24"/>
        </w:rPr>
        <w:t xml:space="preserve">Overview</w:t>
      </w:r>
    </w:p>
    <w:p>
      <w:pPr>
        <w:spacing w:after="120"/>
      </w:pPr>
      <w:r>
        <w:rPr>
          <w:rFonts w:ascii="Arial" w:cs="Arial" w:eastAsia="Arial" w:hAnsi="Arial"/>
          <w:color w:val="1A1A1A"/>
          <w:sz w:val="21"/>
          <w:szCs w:val="21"/>
        </w:rPr>
        <w:t xml:space="preserve">DAD has a seven-product portfolio requiring documentation, with one pre-announcement product (MOM2) and a critical requirement that the platform is ready to onboard future launches rapidly. Phase 5 builds out the full suite in priority order while simultaneously establishing the infrastructure that makes each subsequent product faster than the last.</w:t>
      </w:r>
    </w:p>
    <w:p>
      <w:pPr>
        <w:spacing w:after="8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2E75B6"/>
          <w:sz w:val="24"/>
          <w:szCs w:val="24"/>
        </w:rPr>
        <w:t xml:space="preserve">Product Documentation Roadmap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4238"/>
      </w:tblGrid>
      <w:tr>
        <w:tc>
          <w:tcPr>
            <w:tcW w:type="dxa" w:w="240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Product</w:t>
            </w:r>
          </w:p>
        </w:tc>
        <w:tc>
          <w:tcPr>
            <w:tcW w:type="dxa" w:w="140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Priority</w:t>
            </w:r>
          </w:p>
        </w:tc>
        <w:tc>
          <w:tcPr>
            <w:tcW w:type="dxa" w:w="160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Est. Effort</w:t>
            </w:r>
          </w:p>
        </w:tc>
        <w:tc>
          <w:tcPr>
            <w:tcW w:type="dxa" w:w="4238"/>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Notes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Core 256</w:t>
            </w:r>
          </w:p>
        </w:tc>
        <w:tc>
          <w:tcPr>
            <w:tcW w:type="dxa" w:w="1400"/>
            <w:gridSpan w:val="1"/>
            <w:tcBorders>
              <w:top w:val="single" w:color="CCCCCC" w:sz="1"/>
              <w:left w:val="single" w:color="CCCCCC" w:sz="1"/>
              <w:bottom w:val="single" w:color="CCCCCC" w:sz="1"/>
              <w:right w:val="single" w:color="CCCCCC" w:sz="1"/>
            </w:tcBorders>
            <w:shd w:fill="FFE4E4" w:val="clear"/>
            <w:tcMar>
              <w:top w:type="dxa" w:w="80"/>
              <w:left w:type="dxa" w:w="140"/>
              <w:bottom w:type="dxa" w:w="80"/>
              <w:right w:type="dxa" w:w="140"/>
            </w:tcMar>
            <w:vAlign w:val="center"/>
          </w:tcPr>
          <w:p>
            <w:pPr>
              <w:jc w:val="center"/>
            </w:pPr>
            <w:r>
              <w:rPr>
                <w:rFonts w:ascii="Arial" w:cs="Arial" w:eastAsia="Arial" w:hAnsi="Arial"/>
                <w:b w:val="false"/>
                <w:bCs w:val="false"/>
                <w:color w:val="8B0000"/>
                <w:sz w:val="20"/>
                <w:szCs w:val="20"/>
              </w:rPr>
              <w:t xml:space="preserve">P1 — Urgent</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6–8 weeks</w:t>
            </w:r>
          </w:p>
        </w:tc>
        <w:tc>
          <w:tcPr>
            <w:tcW w:type="dxa" w:w="42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Flagship product; highest visibility; hardware + DADman integration docs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Core256 Racking Hardware</w:t>
            </w:r>
          </w:p>
        </w:tc>
        <w:tc>
          <w:tcPr>
            <w:tcW w:type="dxa" w:w="1400"/>
            <w:gridSpan w:val="1"/>
            <w:tcBorders>
              <w:top w:val="single" w:color="CCCCCC" w:sz="1"/>
              <w:left w:val="single" w:color="CCCCCC" w:sz="1"/>
              <w:bottom w:val="single" w:color="CCCCCC" w:sz="1"/>
              <w:right w:val="single" w:color="CCCCCC" w:sz="1"/>
            </w:tcBorders>
            <w:shd w:fill="FFE4E4" w:val="clear"/>
            <w:tcMar>
              <w:top w:type="dxa" w:w="80"/>
              <w:left w:type="dxa" w:w="140"/>
              <w:bottom w:type="dxa" w:w="80"/>
              <w:right w:type="dxa" w:w="140"/>
            </w:tcMar>
            <w:vAlign w:val="center"/>
          </w:tcPr>
          <w:p>
            <w:pPr>
              <w:jc w:val="center"/>
            </w:pPr>
            <w:r>
              <w:rPr>
                <w:rFonts w:ascii="Arial" w:cs="Arial" w:eastAsia="Arial" w:hAnsi="Arial"/>
                <w:b w:val="false"/>
                <w:bCs w:val="false"/>
                <w:color w:val="8B0000"/>
                <w:sz w:val="20"/>
                <w:szCs w:val="20"/>
              </w:rPr>
              <w:t xml:space="preserve">P1 — Urgent</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2–3 weeks</w:t>
            </w:r>
          </w:p>
        </w:tc>
        <w:tc>
          <w:tcPr>
            <w:tcW w:type="dxa" w:w="42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Just announced — immediate documentation priority; hardware installation + integration guide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AX Center</w:t>
            </w:r>
          </w:p>
        </w:tc>
        <w:tc>
          <w:tcPr>
            <w:tcW w:type="dxa" w:w="1400"/>
            <w:gridSpan w:val="1"/>
            <w:tcBorders>
              <w:top w:val="single" w:color="CCCCCC" w:sz="1"/>
              <w:left w:val="single" w:color="CCCCCC" w:sz="1"/>
              <w:bottom w:val="single" w:color="CCCCCC" w:sz="1"/>
              <w:right w:val="single" w:color="CCCCCC" w:sz="1"/>
            </w:tcBorders>
            <w:shd w:fill="FFF0D0" w:val="clear"/>
            <w:tcMar>
              <w:top w:type="dxa" w:w="80"/>
              <w:left w:type="dxa" w:w="140"/>
              <w:bottom w:type="dxa" w:w="80"/>
              <w:right w:type="dxa" w:w="140"/>
            </w:tcMar>
            <w:vAlign w:val="center"/>
          </w:tcPr>
          <w:p>
            <w:pPr>
              <w:jc w:val="center"/>
            </w:pPr>
            <w:r>
              <w:rPr>
                <w:rFonts w:ascii="Arial" w:cs="Arial" w:eastAsia="Arial" w:hAnsi="Arial"/>
                <w:b w:val="false"/>
                <w:bCs w:val="false"/>
                <w:color w:val="7A4400"/>
                <w:sz w:val="20"/>
                <w:szCs w:val="20"/>
              </w:rPr>
              <w:t xml:space="preserve">P2</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4–5 weeks</w:t>
            </w:r>
          </w:p>
        </w:tc>
        <w:tc>
          <w:tcPr>
            <w:tcW w:type="dxa" w:w="42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Hardware manual; signal flow and integration with Core 256 ecosystem</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AX 64</w:t>
            </w:r>
          </w:p>
        </w:tc>
        <w:tc>
          <w:tcPr>
            <w:tcW w:type="dxa" w:w="1400"/>
            <w:gridSpan w:val="1"/>
            <w:tcBorders>
              <w:top w:val="single" w:color="CCCCCC" w:sz="1"/>
              <w:left w:val="single" w:color="CCCCCC" w:sz="1"/>
              <w:bottom w:val="single" w:color="CCCCCC" w:sz="1"/>
              <w:right w:val="single" w:color="CCCCCC" w:sz="1"/>
            </w:tcBorders>
            <w:shd w:fill="FFF0D0" w:val="clear"/>
            <w:tcMar>
              <w:top w:type="dxa" w:w="80"/>
              <w:left w:type="dxa" w:w="140"/>
              <w:bottom w:type="dxa" w:w="80"/>
              <w:right w:type="dxa" w:w="140"/>
            </w:tcMar>
            <w:vAlign w:val="center"/>
          </w:tcPr>
          <w:p>
            <w:pPr>
              <w:jc w:val="center"/>
            </w:pPr>
            <w:r>
              <w:rPr>
                <w:rFonts w:ascii="Arial" w:cs="Arial" w:eastAsia="Arial" w:hAnsi="Arial"/>
                <w:b w:val="false"/>
                <w:bCs w:val="false"/>
                <w:color w:val="7A4400"/>
                <w:sz w:val="20"/>
                <w:szCs w:val="20"/>
              </w:rPr>
              <w:t xml:space="preserve">P2</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4–5 weeks</w:t>
            </w:r>
          </w:p>
        </w:tc>
        <w:tc>
          <w:tcPr>
            <w:tcW w:type="dxa" w:w="42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Hardware manual; shares structure with AX Center; content reuse possible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MOM</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P3</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4–5 weeks</w:t>
            </w:r>
          </w:p>
        </w:tc>
        <w:tc>
          <w:tcPr>
            <w:tcW w:type="dxa" w:w="42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Hardware + software manual; unique workflow considerations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DAD Junior</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P3</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3–4 weeks</w:t>
            </w:r>
          </w:p>
        </w:tc>
        <w:tc>
          <w:tcPr>
            <w:tcW w:type="dxa" w:w="42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Entry-level product; simpler manual; strong "getting started" emphasis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MOM2</w:t>
            </w:r>
          </w:p>
        </w:tc>
        <w:tc>
          <w:tcPr>
            <w:tcW w:type="dxa" w:w="1400"/>
            <w:gridSpan w:val="1"/>
            <w:tcBorders>
              <w:top w:val="single" w:color="CCCCCC" w:sz="1"/>
              <w:left w:val="single" w:color="CCCCCC" w:sz="1"/>
              <w:bottom w:val="single" w:color="CCCCCC" w:sz="1"/>
              <w:right w:val="single" w:color="CCCCCC" w:sz="1"/>
            </w:tcBorders>
            <w:shd w:fill="EDE0F5" w:val="clear"/>
            <w:tcMar>
              <w:top w:type="dxa" w:w="80"/>
              <w:left w:type="dxa" w:w="140"/>
              <w:bottom w:type="dxa" w:w="80"/>
              <w:right w:type="dxa" w:w="140"/>
            </w:tcMar>
            <w:vAlign w:val="center"/>
          </w:tcPr>
          <w:p>
            <w:pPr>
              <w:jc w:val="center"/>
            </w:pPr>
            <w:r>
              <w:rPr>
                <w:rFonts w:ascii="Arial" w:cs="Arial" w:eastAsia="Arial" w:hAnsi="Arial"/>
                <w:b w:val="false"/>
                <w:bCs w:val="false"/>
                <w:color w:val="5E3080"/>
                <w:sz w:val="20"/>
                <w:szCs w:val="20"/>
              </w:rPr>
              <w:t xml:space="preserve">P4 — CONFID.</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TBD</w:t>
            </w:r>
          </w:p>
        </w:tc>
        <w:tc>
          <w:tcPr>
            <w:tcW w:type="dxa" w:w="42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CONFIDENTIAL — pre-announcement. Platform structure and shared content library ready before launch; manual drafted under embargo and published on announcement day</w:t>
            </w:r>
          </w:p>
        </w:tc>
      </w:tr>
    </w:tbl>
    <w:p>
      <w:pPr>
        <w:spacing w:after="8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2E75B6"/>
          <w:sz w:val="24"/>
          <w:szCs w:val="24"/>
        </w:rPr>
        <w:t xml:space="preserve">Future Launch Readiness — Critical Requirement</w:t>
      </w:r>
    </w:p>
    <w:p>
      <w:pPr>
        <w:spacing w:after="120"/>
      </w:pPr>
      <w:r>
        <w:rPr>
          <w:rFonts w:ascii="Arial" w:cs="Arial" w:eastAsia="Arial" w:hAnsi="Arial"/>
          <w:color w:val="1A1A1A"/>
          <w:sz w:val="21"/>
          <w:szCs w:val="21"/>
        </w:rPr>
        <w:t xml:space="preserve">Readiness for future product launches is a first-class design requirement for the entire documentation platform, not an afterthought. The following capabilities must be operational before Phase 5 completes:</w:t>
      </w:r>
    </w:p>
    <w:p>
      <w:pPr>
        <w:spacing w:after="80"/>
      </w:pPr>
      <w:r>
        <w:rPr>
          <w:rFonts w:ascii="Arial" w:cs="Arial" w:eastAsia="Arial" w:hAnsi="Arial"/>
          <w:color w:val="1A1A1A"/>
          <w:sz w:val="22"/>
          <w:szCs w:val="22"/>
        </w:rPr>
        <w:t xml:space="preserve"/>
      </w:r>
    </w:p>
    <w:p>
      <w:pPr>
        <w:pStyle w:val="ListParagraph"/>
        <w:numPr>
          <w:ilvl w:val="0"/>
          <w:numId w:val="3"/>
        </w:numPr>
      </w:pPr>
      <w:r>
        <w:rPr>
          <w:rFonts w:ascii="Arial" w:cs="Arial" w:eastAsia="Arial" w:hAnsi="Arial"/>
          <w:color w:val="1A1A1A"/>
          <w:sz w:val="21"/>
          <w:szCs w:val="21"/>
        </w:rPr>
        <w:t xml:space="preserve">New-product onboarding template: a pre-configured Docusaurus directory, GitHub Actions workflow, and chapter outline that can be forked for any new DAD product in under a day</w:t>
      </w:r>
    </w:p>
    <w:p>
      <w:pPr>
        <w:pStyle w:val="ListParagraph"/>
        <w:numPr>
          <w:ilvl w:val="0"/>
          <w:numId w:val="3"/>
        </w:numPr>
      </w:pPr>
      <w:r>
        <w:rPr>
          <w:rFonts w:ascii="Arial" w:cs="Arial" w:eastAsia="Arial" w:hAnsi="Arial"/>
          <w:color w:val="1A1A1A"/>
          <w:sz w:val="21"/>
          <w:szCs w:val="21"/>
        </w:rPr>
        <w:t xml:space="preserve">Shared content library: safety notices, compliance declarations, company information, and brand elements authored once and referenced by all product manuals — eliminating duplicate maintenance</w:t>
      </w:r>
    </w:p>
    <w:p>
      <w:pPr>
        <w:pStyle w:val="ListParagraph"/>
        <w:numPr>
          <w:ilvl w:val="0"/>
          <w:numId w:val="3"/>
        </w:numPr>
      </w:pPr>
      <w:r>
        <w:rPr>
          <w:rFonts w:ascii="Arial" w:cs="Arial" w:eastAsia="Arial" w:hAnsi="Arial"/>
          <w:color w:val="1A1A1A"/>
          <w:sz w:val="21"/>
          <w:szCs w:val="21"/>
        </w:rPr>
        <w:t xml:space="preserve">Embargo workflow: a documented process for drafting, reviewing, and publishing a product manual under NDA, with automated publication triggered on announcement day</w:t>
      </w:r>
    </w:p>
    <w:p>
      <w:pPr>
        <w:pStyle w:val="ListParagraph"/>
        <w:numPr>
          <w:ilvl w:val="0"/>
          <w:numId w:val="3"/>
        </w:numPr>
      </w:pPr>
      <w:r>
        <w:rPr>
          <w:rFonts w:ascii="Arial" w:cs="Arial" w:eastAsia="Arial" w:hAnsi="Arial"/>
          <w:color w:val="1A1A1A"/>
          <w:sz w:val="21"/>
          <w:szCs w:val="21"/>
        </w:rPr>
        <w:t xml:space="preserve">Pre-populated structure for MOM2: directory structure, front matter, and chapter outline created before the product is announced, so documentation is not on the critical path at launch</w:t>
      </w:r>
    </w:p>
    <w:p>
      <w:pPr>
        <w:pStyle w:val="ListParagraph"/>
        <w:numPr>
          <w:ilvl w:val="0"/>
          <w:numId w:val="3"/>
        </w:numPr>
      </w:pPr>
      <w:r>
        <w:rPr>
          <w:rFonts w:ascii="Arial" w:cs="Arial" w:eastAsia="Arial" w:hAnsi="Arial"/>
          <w:color w:val="1A1A1A"/>
          <w:sz w:val="21"/>
          <w:szCs w:val="21"/>
        </w:rPr>
        <w:t xml:space="preserve">Content pipeline integration: the automated tutorial, release note, and KB generation pipeline operational for all products from day one of their manual being published</w:t>
      </w:r>
    </w:p>
    <w:p>
      <w:pPr>
        <w:spacing w:after="8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2E75B6"/>
          <w:sz w:val="24"/>
          <w:szCs w:val="24"/>
        </w:rPr>
        <w:t xml:space="preserve">Deliverable</w:t>
      </w:r>
    </w:p>
    <w:p>
      <w:pPr>
        <w:spacing w:after="120"/>
      </w:pPr>
      <w:r>
        <w:rPr>
          <w:rFonts w:ascii="Arial" w:cs="Arial" w:eastAsia="Arial" w:hAnsi="Arial"/>
          <w:color w:val="1A1A1A"/>
          <w:sz w:val="21"/>
          <w:szCs w:val="21"/>
        </w:rPr>
        <w:t xml:space="preserve">All announced product manuals v1.0 published. MOM2 documentation ready for day-one announcement publication. Shared content library operational. New-product onboarding process documented and tested. The platform scales to any future DAD product without infrastructure changes.</w:t>
      </w:r>
    </w:p>
    <w:p>
      <w:pPr>
        <w:spacing w:after="80"/>
      </w:pPr>
      <w:r>
        <w:rPr>
          <w:rFonts w:ascii="Arial" w:cs="Arial" w:eastAsia="Arial" w:hAnsi="Arial"/>
          <w:color w:val="1A1A1A"/>
          <w:sz w:val="22"/>
          <w:szCs w:val="22"/>
        </w:rPr>
        <w:t xml:space="preserve"/>
      </w:r>
    </w:p>
    <w:p>
      <w:r>
        <w:br w:type="page"/>
      </w:r>
    </w:p>
    <w:p>
      <w:pPr>
        <w:pStyle w:val="Heading1"/>
        <w:spacing w:after="160" w:before="360"/>
      </w:pPr>
      <w:r>
        <w:rPr>
          <w:rFonts w:ascii="Arial" w:cs="Arial" w:eastAsia="Arial" w:hAnsi="Arial"/>
          <w:b/>
          <w:bCs/>
          <w:color w:val="1B365D"/>
          <w:sz w:val="30"/>
          <w:szCs w:val="30"/>
        </w:rPr>
        <w:t xml:space="preserve">Timeline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408"/>
        <w:gridCol w:w="1408"/>
        <w:gridCol w:w="1408"/>
        <w:gridCol w:w="1408"/>
        <w:gridCol w:w="1406"/>
      </w:tblGrid>
      <w:tr>
        <w:tc>
          <w:tcPr>
            <w:tcW w:type="dxa" w:w="260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Phase</w:t>
            </w:r>
          </w:p>
        </w:tc>
        <w:tc>
          <w:tcPr>
            <w:tcW w:type="dxa" w:w="1408"/>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Month 1</w:t>
            </w:r>
          </w:p>
        </w:tc>
        <w:tc>
          <w:tcPr>
            <w:tcW w:type="dxa" w:w="1408"/>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Month 2</w:t>
            </w:r>
          </w:p>
        </w:tc>
        <w:tc>
          <w:tcPr>
            <w:tcW w:type="dxa" w:w="1408"/>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Month 3</w:t>
            </w:r>
          </w:p>
        </w:tc>
        <w:tc>
          <w:tcPr>
            <w:tcW w:type="dxa" w:w="1408"/>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Month 4</w:t>
            </w:r>
          </w:p>
        </w:tc>
        <w:tc>
          <w:tcPr>
            <w:tcW w:type="dxa" w:w="1406"/>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Month 5–6</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Phase 1 — Discovery &amp; Foundation</w:t>
            </w:r>
          </w:p>
        </w:tc>
        <w:tc>
          <w:tcPr>
            <w:tcW w:type="dxa" w:w="1408"/>
            <w:gridSpan w:val="1"/>
            <w:tcBorders>
              <w:top w:val="single" w:color="CCCCCC" w:sz="1"/>
              <w:left w:val="single" w:color="CCCCCC" w:sz="1"/>
              <w:bottom w:val="single" w:color="CCCCCC" w:sz="1"/>
              <w:right w:val="single" w:color="CCCCCC" w:sz="1"/>
            </w:tcBorders>
            <w:shd w:fill="1B365D" w:val="clear"/>
            <w:tcMar>
              <w:top w:type="dxa" w:w="80"/>
              <w:left w:type="dxa" w:w="140"/>
              <w:bottom w:type="dxa" w:w="80"/>
              <w:right w:type="dxa" w:w="140"/>
            </w:tcMar>
            <w:vAlign w:val="center"/>
          </w:tcPr>
          <w:p>
            <w:pPr>
              <w:jc w:val="center"/>
            </w:pPr>
            <w:r>
              <w:rPr>
                <w:rFonts w:ascii="Arial" w:cs="Arial" w:eastAsia="Arial" w:hAnsi="Arial"/>
                <w:b w:val="false"/>
                <w:bCs w:val="false"/>
                <w:color w:val="1B365D"/>
                <w:sz w:val="20"/>
                <w:szCs w:val="20"/>
              </w:rPr>
              <w:t xml:space="preserve">███</w:t>
            </w:r>
          </w:p>
        </w:tc>
        <w:tc>
          <w:tcPr>
            <w:tcW w:type="dxa" w:w="140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20"/>
                <w:szCs w:val="20"/>
              </w:rPr>
              <w:t xml:space="preserve"/>
            </w:r>
          </w:p>
        </w:tc>
        <w:tc>
          <w:tcPr>
            <w:tcW w:type="dxa" w:w="140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20"/>
                <w:szCs w:val="20"/>
              </w:rPr>
              <w:t xml:space="preserve"/>
            </w:r>
          </w:p>
        </w:tc>
        <w:tc>
          <w:tcPr>
            <w:tcW w:type="dxa" w:w="140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20"/>
                <w:szCs w:val="20"/>
              </w:rPr>
              <w:t xml:space="preserve"/>
            </w:r>
          </w:p>
        </w:tc>
        <w:tc>
          <w:tcPr>
            <w:tcW w:type="dxa" w:w="1406"/>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20"/>
                <w:szCs w:val="20"/>
              </w:rPr>
              <w:t xml:space="preserve"/>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Phase 2 — DADman Manual Draft</w:t>
            </w:r>
          </w:p>
        </w:tc>
        <w:tc>
          <w:tcPr>
            <w:tcW w:type="dxa" w:w="1408"/>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val="false"/>
                <w:bCs w:val="false"/>
                <w:color w:val="2E75B6"/>
                <w:sz w:val="20"/>
                <w:szCs w:val="20"/>
              </w:rPr>
              <w:t xml:space="preserve">███</w:t>
            </w:r>
          </w:p>
        </w:tc>
        <w:tc>
          <w:tcPr>
            <w:tcW w:type="dxa" w:w="1408"/>
            <w:gridSpan w:val="1"/>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val="false"/>
                <w:bCs w:val="false"/>
                <w:color w:val="2E75B6"/>
                <w:sz w:val="20"/>
                <w:szCs w:val="20"/>
              </w:rPr>
              <w:t xml:space="preserve">███</w:t>
            </w:r>
          </w:p>
        </w:tc>
        <w:tc>
          <w:tcPr>
            <w:tcW w:type="dxa" w:w="140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20"/>
                <w:szCs w:val="20"/>
              </w:rPr>
              <w:t xml:space="preserve"/>
            </w:r>
          </w:p>
        </w:tc>
        <w:tc>
          <w:tcPr>
            <w:tcW w:type="dxa" w:w="140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20"/>
                <w:szCs w:val="20"/>
              </w:rPr>
              <w:t xml:space="preserve"/>
            </w:r>
          </w:p>
        </w:tc>
        <w:tc>
          <w:tcPr>
            <w:tcW w:type="dxa" w:w="1406"/>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20"/>
                <w:szCs w:val="20"/>
              </w:rPr>
              <w:t xml:space="preserve"/>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Phase 3 — Review, QA &amp; Publication</w:t>
            </w:r>
          </w:p>
        </w:tc>
        <w:tc>
          <w:tcPr>
            <w:tcW w:type="dxa" w:w="140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20"/>
                <w:szCs w:val="20"/>
              </w:rPr>
              <w:t xml:space="preserve"/>
            </w:r>
          </w:p>
        </w:tc>
        <w:tc>
          <w:tcPr>
            <w:tcW w:type="dxa" w:w="1408"/>
            <w:gridSpan w:val="1"/>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center"/>
            </w:pPr>
            <w:r>
              <w:rPr>
                <w:rFonts w:ascii="Arial" w:cs="Arial" w:eastAsia="Arial" w:hAnsi="Arial"/>
                <w:b w:val="false"/>
                <w:bCs w:val="false"/>
                <w:color w:val="1B6B3A"/>
                <w:sz w:val="20"/>
                <w:szCs w:val="20"/>
              </w:rPr>
              <w:t xml:space="preserve">███</w:t>
            </w:r>
          </w:p>
        </w:tc>
        <w:tc>
          <w:tcPr>
            <w:tcW w:type="dxa" w:w="1408"/>
            <w:gridSpan w:val="1"/>
            <w:tcBorders>
              <w:top w:val="single" w:color="CCCCCC" w:sz="1"/>
              <w:left w:val="single" w:color="CCCCCC" w:sz="1"/>
              <w:bottom w:val="single" w:color="CCCCCC" w:sz="1"/>
              <w:right w:val="single" w:color="CCCCCC" w:sz="1"/>
            </w:tcBorders>
            <w:shd w:fill="1B6B3A" w:val="clear"/>
            <w:tcMar>
              <w:top w:type="dxa" w:w="80"/>
              <w:left w:type="dxa" w:w="140"/>
              <w:bottom w:type="dxa" w:w="80"/>
              <w:right w:type="dxa" w:w="140"/>
            </w:tcMar>
            <w:vAlign w:val="center"/>
          </w:tcPr>
          <w:p>
            <w:pPr>
              <w:jc w:val="center"/>
            </w:pPr>
            <w:r>
              <w:rPr>
                <w:rFonts w:ascii="Arial" w:cs="Arial" w:eastAsia="Arial" w:hAnsi="Arial"/>
                <w:b w:val="false"/>
                <w:bCs w:val="false"/>
                <w:color w:val="1B6B3A"/>
                <w:sz w:val="20"/>
                <w:szCs w:val="20"/>
              </w:rPr>
              <w:t xml:space="preserve">███</w:t>
            </w:r>
          </w:p>
        </w:tc>
        <w:tc>
          <w:tcPr>
            <w:tcW w:type="dxa" w:w="140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20"/>
                <w:szCs w:val="20"/>
              </w:rPr>
              <w:t xml:space="preserve"/>
            </w:r>
          </w:p>
        </w:tc>
        <w:tc>
          <w:tcPr>
            <w:tcW w:type="dxa" w:w="1406"/>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20"/>
                <w:szCs w:val="20"/>
              </w:rPr>
              <w:t xml:space="preserve"/>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Phase 4 — Content Automation</w:t>
            </w:r>
          </w:p>
        </w:tc>
        <w:tc>
          <w:tcPr>
            <w:tcW w:type="dxa" w:w="140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20"/>
                <w:szCs w:val="20"/>
              </w:rPr>
              <w:t xml:space="preserve"/>
            </w:r>
          </w:p>
        </w:tc>
        <w:tc>
          <w:tcPr>
            <w:tcW w:type="dxa" w:w="140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20"/>
                <w:szCs w:val="20"/>
              </w:rPr>
              <w:t xml:space="preserve"/>
            </w:r>
          </w:p>
        </w:tc>
        <w:tc>
          <w:tcPr>
            <w:tcW w:type="dxa" w:w="140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20"/>
                <w:szCs w:val="20"/>
              </w:rPr>
              <w:t xml:space="preserve"/>
            </w:r>
          </w:p>
        </w:tc>
        <w:tc>
          <w:tcPr>
            <w:tcW w:type="dxa" w:w="1408"/>
            <w:gridSpan w:val="1"/>
            <w:tcBorders>
              <w:top w:val="single" w:color="CCCCCC" w:sz="1"/>
              <w:left w:val="single" w:color="CCCCCC" w:sz="1"/>
              <w:bottom w:val="single" w:color="CCCCCC" w:sz="1"/>
              <w:right w:val="single" w:color="CCCCCC" w:sz="1"/>
            </w:tcBorders>
            <w:shd w:fill="B05A00" w:val="clear"/>
            <w:tcMar>
              <w:top w:type="dxa" w:w="80"/>
              <w:left w:type="dxa" w:w="140"/>
              <w:bottom w:type="dxa" w:w="80"/>
              <w:right w:type="dxa" w:w="140"/>
            </w:tcMar>
            <w:vAlign w:val="center"/>
          </w:tcPr>
          <w:p>
            <w:pPr>
              <w:jc w:val="center"/>
            </w:pPr>
            <w:r>
              <w:rPr>
                <w:rFonts w:ascii="Arial" w:cs="Arial" w:eastAsia="Arial" w:hAnsi="Arial"/>
                <w:b w:val="false"/>
                <w:bCs w:val="false"/>
                <w:color w:val="B05A00"/>
                <w:sz w:val="20"/>
                <w:szCs w:val="20"/>
              </w:rPr>
              <w:t xml:space="preserve">███</w:t>
            </w:r>
          </w:p>
        </w:tc>
        <w:tc>
          <w:tcPr>
            <w:tcW w:type="dxa" w:w="1406"/>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20"/>
                <w:szCs w:val="20"/>
              </w:rPr>
              <w:t xml:space="preserve"/>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Phase 5 — Full Portfolio Rollout (7 products)</w:t>
            </w:r>
          </w:p>
        </w:tc>
        <w:tc>
          <w:tcPr>
            <w:tcW w:type="dxa" w:w="140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20"/>
                <w:szCs w:val="20"/>
              </w:rPr>
              <w:t xml:space="preserve"/>
            </w:r>
          </w:p>
        </w:tc>
        <w:tc>
          <w:tcPr>
            <w:tcW w:type="dxa" w:w="140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20"/>
                <w:szCs w:val="20"/>
              </w:rPr>
              <w:t xml:space="preserve"/>
            </w:r>
          </w:p>
        </w:tc>
        <w:tc>
          <w:tcPr>
            <w:tcW w:type="dxa" w:w="140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20"/>
                <w:szCs w:val="20"/>
              </w:rPr>
              <w:t xml:space="preserve"/>
            </w:r>
          </w:p>
        </w:tc>
        <w:tc>
          <w:tcPr>
            <w:tcW w:type="dxa" w:w="140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20"/>
                <w:szCs w:val="20"/>
              </w:rPr>
              <w:t xml:space="preserve"/>
            </w:r>
          </w:p>
        </w:tc>
        <w:tc>
          <w:tcPr>
            <w:tcW w:type="dxa" w:w="1406"/>
            <w:gridSpan w:val="1"/>
            <w:tcBorders>
              <w:top w:val="single" w:color="CCCCCC" w:sz="1"/>
              <w:left w:val="single" w:color="CCCCCC" w:sz="1"/>
              <w:bottom w:val="single" w:color="CCCCCC" w:sz="1"/>
              <w:right w:val="single" w:color="CCCCCC" w:sz="1"/>
            </w:tcBorders>
            <w:shd w:fill="5E3080" w:val="clear"/>
            <w:tcMar>
              <w:top w:type="dxa" w:w="80"/>
              <w:left w:type="dxa" w:w="140"/>
              <w:bottom w:type="dxa" w:w="80"/>
              <w:right w:type="dxa" w:w="140"/>
            </w:tcMar>
            <w:vAlign w:val="center"/>
          </w:tcPr>
          <w:p>
            <w:pPr>
              <w:jc w:val="center"/>
            </w:pPr>
            <w:r>
              <w:rPr>
                <w:rFonts w:ascii="Arial" w:cs="Arial" w:eastAsia="Arial" w:hAnsi="Arial"/>
                <w:b w:val="false"/>
                <w:bCs w:val="false"/>
                <w:color w:val="5E3080"/>
                <w:sz w:val="20"/>
                <w:szCs w:val="20"/>
              </w:rPr>
              <w:t xml:space="preserve">███</w:t>
            </w:r>
          </w:p>
        </w:tc>
      </w:tr>
    </w:tbl>
    <w:p>
      <w:pPr>
        <w:spacing w:after="80"/>
      </w:pPr>
      <w:r>
        <w:rPr>
          <w:rFonts w:ascii="Arial" w:cs="Arial" w:eastAsia="Arial" w:hAnsi="Arial"/>
          <w:color w:val="1A1A1A"/>
          <w:sz w:val="22"/>
          <w:szCs w:val="22"/>
        </w:rPr>
        <w:t xml:space="preserve"/>
      </w:r>
    </w:p>
    <w:p>
      <w:pPr>
        <w:pStyle w:val="Heading1"/>
        <w:spacing w:after="160" w:before="360"/>
      </w:pPr>
      <w:r>
        <w:rPr>
          <w:rFonts w:ascii="Arial" w:cs="Arial" w:eastAsia="Arial" w:hAnsi="Arial"/>
          <w:b/>
          <w:bCs/>
          <w:color w:val="1B365D"/>
          <w:sz w:val="30"/>
          <w:szCs w:val="30"/>
        </w:rPr>
        <w:t xml:space="preserve">Team &amp; Resources</w:t>
      </w:r>
    </w:p>
    <w:p>
      <w:pPr>
        <w:pStyle w:val="Heading2"/>
        <w:spacing w:after="120" w:before="240"/>
      </w:pPr>
      <w:r>
        <w:rPr>
          <w:rFonts w:ascii="Arial" w:cs="Arial" w:eastAsia="Arial" w:hAnsi="Arial"/>
          <w:b/>
          <w:bCs/>
          <w:color w:val="2E75B6"/>
          <w:sz w:val="24"/>
          <w:szCs w:val="24"/>
        </w:rPr>
        <w:t xml:space="preserve">Internal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038"/>
        <w:gridCol w:w="5000"/>
      </w:tblGrid>
      <w:tr>
        <w:tc>
          <w:tcPr>
            <w:tcW w:type="dxa" w:w="260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Role</w:t>
            </w:r>
          </w:p>
        </w:tc>
        <w:tc>
          <w:tcPr>
            <w:tcW w:type="dxa" w:w="2038"/>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Time Commitment</w:t>
            </w:r>
          </w:p>
        </w:tc>
        <w:tc>
          <w:tcPr>
            <w:tcW w:type="dxa" w:w="500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Responsibilities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Project Lead (Jon)</w:t>
            </w:r>
          </w:p>
        </w:tc>
        <w:tc>
          <w:tcPr>
            <w:tcW w:type="dxa" w:w="20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4–6 hrs/week</w:t>
            </w:r>
          </w:p>
        </w:tc>
        <w:tc>
          <w:tcPr>
            <w:tcW w:type="dxa" w:w="5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Direction, content review, stakeholder decisions, Claude sessions, final approval on all content</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Senior Engineer ×1</w:t>
            </w:r>
          </w:p>
        </w:tc>
        <w:tc>
          <w:tcPr>
            <w:tcW w:type="dxa" w:w="20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2–3 hrs per chapter</w:t>
            </w:r>
          </w:p>
        </w:tc>
        <w:tc>
          <w:tcPr>
            <w:tcW w:type="dxa" w:w="5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Technical accuracy review; spec sheet and signal flow validation; regulatory data</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Product / Support</w:t>
            </w:r>
          </w:p>
        </w:tc>
        <w:tc>
          <w:tcPr>
            <w:tcW w:type="dxa" w:w="20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1–2 hrs/week</w:t>
            </w:r>
          </w:p>
        </w:tc>
        <w:tc>
          <w:tcPr>
            <w:tcW w:type="dxa" w:w="5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Troubleshooting table review; user workflow validation; support contact info</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Developer (setup)</w:t>
            </w:r>
          </w:p>
        </w:tc>
        <w:tc>
          <w:tcPr>
            <w:tcW w:type="dxa" w:w="20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1–2 days (one-time)</w:t>
            </w:r>
          </w:p>
        </w:tc>
        <w:tc>
          <w:tcPr>
            <w:tcW w:type="dxa" w:w="5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GitHub repo, Docusaurus config, GitHub Actions CI/CD pipeline, Algolia integration</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Legal / Compliance</w:t>
            </w:r>
          </w:p>
        </w:tc>
        <w:tc>
          <w:tcPr>
            <w:tcW w:type="dxa" w:w="20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2–4 hrs (one-time)</w:t>
            </w:r>
          </w:p>
        </w:tc>
        <w:tc>
          <w:tcPr>
            <w:tcW w:type="dxa" w:w="5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Review and sign off on CE, FCC, RoHS, and WEEE compliance declarations in Appendix F</w:t>
            </w:r>
          </w:p>
        </w:tc>
      </w:tr>
    </w:tbl>
    <w:p>
      <w:pPr>
        <w:spacing w:after="8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2E75B6"/>
          <w:sz w:val="24"/>
          <w:szCs w:val="24"/>
        </w:rPr>
        <w:t xml:space="preserve">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238"/>
        <w:gridCol w:w="3800"/>
      </w:tblGrid>
      <w:tr>
        <w:tc>
          <w:tcPr>
            <w:tcW w:type="dxa" w:w="260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Tool</w:t>
            </w:r>
          </w:p>
        </w:tc>
        <w:tc>
          <w:tcPr>
            <w:tcW w:type="dxa" w:w="3238"/>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Role in Project</w:t>
            </w:r>
          </w:p>
        </w:tc>
        <w:tc>
          <w:tcPr>
            <w:tcW w:type="dxa" w:w="380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Status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Claude / Cowork</w:t>
            </w:r>
          </w:p>
        </w:tc>
        <w:tc>
          <w:tcPr>
            <w:tcW w:type="dxa" w:w="32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Primary drafting, QA, content generation, automation orchestration</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Active — existing subscription</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pro-audio-manual-expert skill</w:t>
            </w:r>
          </w:p>
        </w:tc>
        <w:tc>
          <w:tcPr>
            <w:tcW w:type="dxa" w:w="32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Expert persona, IEC/IEEE standards, industry conventions, quality checklist</w:t>
            </w:r>
          </w:p>
        </w:tc>
        <w:tc>
          <w:tcPr>
            <w:tcW w:type="dxa" w:w="3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Built — installed this session</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GitHub</w:t>
            </w:r>
          </w:p>
        </w:tc>
        <w:tc>
          <w:tcPr>
            <w:tcW w:type="dxa" w:w="32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Version control, PR-based review workflow, CI/CD triggers</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Setup required in Phase 1</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Docusaurus</w:t>
            </w:r>
          </w:p>
        </w:tc>
        <w:tc>
          <w:tcPr>
            <w:tcW w:type="dxa" w:w="32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Documentation site framework; native versioning per product</w:t>
            </w:r>
          </w:p>
        </w:tc>
        <w:tc>
          <w:tcPr>
            <w:tcW w:type="dxa" w:w="3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Setup required (open-source, free)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GitHub Actions</w:t>
            </w:r>
          </w:p>
        </w:tc>
        <w:tc>
          <w:tcPr>
            <w:tcW w:type="dxa" w:w="32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Auto-build and publish on firmware release tags</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Configured in Phase 1</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GitHub Pages</w:t>
            </w:r>
          </w:p>
        </w:tc>
        <w:tc>
          <w:tcPr>
            <w:tcW w:type="dxa" w:w="32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Public hosting for the documentation site</w:t>
            </w:r>
          </w:p>
        </w:tc>
        <w:tc>
          <w:tcPr>
            <w:tcW w:type="dxa" w:w="3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Free with GitHub</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Algolia DocSearch</w:t>
            </w:r>
          </w:p>
        </w:tc>
        <w:tc>
          <w:tcPr>
            <w:tcW w:type="dxa" w:w="32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Full-text search across all products and versions</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Free for public documentation</w:t>
            </w:r>
          </w:p>
        </w:tc>
      </w:tr>
    </w:tbl>
    <w:p>
      <w:pPr>
        <w:spacing w:after="80"/>
      </w:pPr>
      <w:r>
        <w:rPr>
          <w:rFonts w:ascii="Arial" w:cs="Arial" w:eastAsia="Arial" w:hAnsi="Arial"/>
          <w:color w:val="1A1A1A"/>
          <w:sz w:val="22"/>
          <w:szCs w:val="22"/>
        </w:rPr>
        <w:t xml:space="preserve"/>
      </w:r>
    </w:p>
    <w:p>
      <w:r>
        <w:br w:type="page"/>
      </w:r>
    </w:p>
    <w:p>
      <w:pPr>
        <w:pStyle w:val="Heading1"/>
        <w:spacing w:after="160" w:before="360"/>
      </w:pPr>
      <w:r>
        <w:rPr>
          <w:rFonts w:ascii="Arial" w:cs="Arial" w:eastAsia="Arial" w:hAnsi="Arial"/>
          <w:b/>
          <w:bCs/>
          <w:color w:val="1B365D"/>
          <w:sz w:val="30"/>
          <w:szCs w:val="30"/>
        </w:rPr>
        <w:t xml:space="preserve">Budget &amp; Cost Estimate</w:t>
      </w:r>
    </w:p>
    <w:p>
      <w:pPr>
        <w:spacing w:after="120"/>
      </w:pPr>
      <w:r>
        <w:rPr>
          <w:rFonts w:ascii="Arial" w:cs="Arial" w:eastAsia="Arial" w:hAnsi="Arial"/>
          <w:color w:val="1A1A1A"/>
          <w:sz w:val="21"/>
          <w:szCs w:val="21"/>
        </w:rPr>
        <w:t xml:space="preserve">The technology stack is open-source and largely free. Costs are concentrated in two areas: a one-time setup investment (developer time, optional design and compliance work) and a small ongoing subscription for GitHub.</w:t>
      </w:r>
    </w:p>
    <w:p>
      <w:pPr>
        <w:spacing w:after="8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2E75B6"/>
          <w:sz w:val="24"/>
          <w:szCs w:val="24"/>
        </w:rPr>
        <w:t xml:space="preserve">One-Time Setup Costs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038"/>
        <w:gridCol w:w="2400"/>
        <w:gridCol w:w="1800"/>
      </w:tblGrid>
      <w:tr>
        <w:tc>
          <w:tcPr>
            <w:tcW w:type="dxa" w:w="340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Item</w:t>
            </w:r>
          </w:p>
        </w:tc>
        <w:tc>
          <w:tcPr>
            <w:tcW w:type="dxa" w:w="2038"/>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Type</w:t>
            </w:r>
          </w:p>
        </w:tc>
        <w:tc>
          <w:tcPr>
            <w:tcW w:type="dxa" w:w="240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Estimate</w:t>
            </w:r>
          </w:p>
        </w:tc>
        <w:tc>
          <w:tcPr>
            <w:tcW w:type="dxa" w:w="180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Notes</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Docusaurus + GitHub setup</w:t>
            </w:r>
          </w:p>
        </w:tc>
        <w:tc>
          <w:tcPr>
            <w:tcW w:type="dxa" w:w="20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Internal time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1–2 days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Can be Jon or a developer; requires Node.js and basic git familiarity</w:t>
            </w:r>
          </w:p>
        </w:tc>
      </w:tr>
      <w:tr>
        <w:tc>
          <w:tcPr>
            <w:tcW w:type="dxa" w:w="3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GitHub Actions CI/CD config</w:t>
            </w:r>
          </w:p>
        </w:tc>
        <w:tc>
          <w:tcPr>
            <w:tcW w:type="dxa" w:w="20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Internal time</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0.5 day</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Automated build-and-deploy pipeline</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Domain (docs.digitalaudio.dk)</w:t>
            </w:r>
          </w:p>
        </w:tc>
        <w:tc>
          <w:tcPr>
            <w:tcW w:type="dxa" w:w="20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External</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€10–15/year</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If not already registered; amortised to &lt;€2/month</w:t>
            </w:r>
          </w:p>
        </w:tc>
      </w:tr>
      <w:tr>
        <w:tc>
          <w:tcPr>
            <w:tcW w:type="dxa" w:w="3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Technical block diagrams</w:t>
            </w:r>
          </w:p>
        </w:tc>
        <w:tc>
          <w:tcPr>
            <w:tcW w:type="dxa" w:w="20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Design (optional)</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€500–2,000</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If professional vector illustrations needed; Claude can produce draft versions</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Regulatory compliance review</w:t>
            </w:r>
          </w:p>
        </w:tc>
        <w:tc>
          <w:tcPr>
            <w:tcW w:type="dxa" w:w="20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Legal / compliance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€500–1,500</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External review of CE/FCC/RoHS declarations; required before publishing</w:t>
            </w:r>
          </w:p>
        </w:tc>
      </w:tr>
      <w:tr>
        <w:tc>
          <w:tcPr>
            <w:tcW w:type="dxa" w:w="340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TOTAL ONE-TIME</w:t>
            </w:r>
          </w:p>
        </w:tc>
        <w:tc>
          <w:tcPr>
            <w:tcW w:type="dxa" w:w="2038"/>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€1,000–5,000</w:t>
            </w:r>
          </w:p>
        </w:tc>
        <w:tc>
          <w:tcPr>
            <w:tcW w:type="dxa" w:w="180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val="false"/>
                <w:bCs w:val="false"/>
                <w:color w:val="D5E8F0"/>
                <w:sz w:val="20"/>
                <w:szCs w:val="20"/>
              </w:rPr>
              <w:t xml:space="preserve">Range depends on design and compliance scope</w:t>
            </w:r>
          </w:p>
        </w:tc>
      </w:tr>
    </w:tbl>
    <w:p>
      <w:pPr>
        <w:spacing w:after="8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2E75B6"/>
          <w:sz w:val="24"/>
          <w:szCs w:val="24"/>
        </w:rPr>
        <w:t xml:space="preserve">Ongoing Monthly Costs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438"/>
        <w:gridCol w:w="3800"/>
      </w:tblGrid>
      <w:tr>
        <w:tc>
          <w:tcPr>
            <w:tcW w:type="dxa" w:w="340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Item</w:t>
            </w:r>
          </w:p>
        </w:tc>
        <w:tc>
          <w:tcPr>
            <w:tcW w:type="dxa" w:w="2438"/>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Monthly Cost</w:t>
            </w:r>
          </w:p>
        </w:tc>
        <w:tc>
          <w:tcPr>
            <w:tcW w:type="dxa" w:w="380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Notes</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Claude / Cowork subscription</w:t>
            </w:r>
          </w:p>
        </w:tc>
        <w:tc>
          <w:tcPr>
            <w:tcW w:type="dxa" w:w="24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Existing</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No additional cost — already in active use for this project</w:t>
            </w:r>
          </w:p>
        </w:tc>
      </w:tr>
      <w:tr>
        <w:tc>
          <w:tcPr>
            <w:tcW w:type="dxa" w:w="3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GitHub Team (private repo, 5 users)</w:t>
            </w:r>
          </w:p>
        </w:tc>
        <w:tc>
          <w:tcPr>
            <w:tcW w:type="dxa" w:w="24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€20/month</w:t>
            </w:r>
          </w:p>
        </w:tc>
        <w:tc>
          <w:tcPr>
            <w:tcW w:type="dxa" w:w="3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€4/user/month; €0 if the documentation repository is made public</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GitHub Pages hosting</w:t>
            </w:r>
          </w:p>
        </w:tc>
        <w:tc>
          <w:tcPr>
            <w:tcW w:type="dxa" w:w="24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Free</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Included with all GitHub plans</w:t>
            </w:r>
          </w:p>
        </w:tc>
      </w:tr>
      <w:tr>
        <w:tc>
          <w:tcPr>
            <w:tcW w:type="dxa" w:w="3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Algolia DocSearch</w:t>
            </w:r>
          </w:p>
        </w:tc>
        <w:tc>
          <w:tcPr>
            <w:tcW w:type="dxa" w:w="24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Free</w:t>
            </w:r>
          </w:p>
        </w:tc>
        <w:tc>
          <w:tcPr>
            <w:tcW w:type="dxa" w:w="3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Free for public-facing open documentation</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Domain renewal</w:t>
            </w:r>
          </w:p>
        </w:tc>
        <w:tc>
          <w:tcPr>
            <w:tcW w:type="dxa" w:w="24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~€1/month</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Amortised annual registration cost</w:t>
            </w:r>
          </w:p>
        </w:tc>
      </w:tr>
      <w:tr>
        <w:tc>
          <w:tcPr>
            <w:tcW w:type="dxa" w:w="340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TOTAL ONGOING</w:t>
            </w:r>
          </w:p>
        </w:tc>
        <w:tc>
          <w:tcPr>
            <w:tcW w:type="dxa" w:w="2438"/>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€20–50/month</w:t>
            </w:r>
          </w:p>
        </w:tc>
        <w:tc>
          <w:tcPr>
            <w:tcW w:type="dxa" w:w="380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val="false"/>
                <w:bCs w:val="false"/>
                <w:color w:val="D5E8F0"/>
                <w:sz w:val="20"/>
                <w:szCs w:val="20"/>
              </w:rPr>
              <w:t xml:space="preserve">Primarily GitHub Team; all other infrastructure is free</w:t>
            </w:r>
          </w:p>
        </w:tc>
      </w:tr>
    </w:tbl>
    <w:p>
      <w:pPr>
        <w:spacing w:after="80"/>
      </w:pPr>
      <w:r>
        <w:rPr>
          <w:rFonts w:ascii="Arial" w:cs="Arial" w:eastAsia="Arial" w:hAnsi="Arial"/>
          <w:color w:val="1A1A1A"/>
          <w:sz w:val="22"/>
          <w:szCs w:val="22"/>
        </w:rPr>
        <w:t xml:space="preserve"/>
      </w:r>
    </w:p>
    <w:p>
      <w:r>
        <w:br w:type="page"/>
      </w:r>
    </w:p>
    <w:p>
      <w:pPr>
        <w:pStyle w:val="Heading1"/>
        <w:spacing w:after="160" w:before="360"/>
      </w:pPr>
      <w:r>
        <w:rPr>
          <w:rFonts w:ascii="Arial" w:cs="Arial" w:eastAsia="Arial" w:hAnsi="Arial"/>
          <w:b/>
          <w:bCs/>
          <w:color w:val="1B365D"/>
          <w:sz w:val="30"/>
          <w:szCs w:val="30"/>
        </w:rPr>
        <w:t xml:space="preserve">Risk Register</w:t>
      </w:r>
    </w:p>
    <w:p>
      <w:pPr>
        <w:spacing w:after="120"/>
      </w:pPr>
      <w:r>
        <w:rPr>
          <w:rFonts w:ascii="Arial" w:cs="Arial" w:eastAsia="Arial" w:hAnsi="Arial"/>
          <w:color w:val="1A1A1A"/>
          <w:sz w:val="21"/>
          <w:szCs w:val="21"/>
        </w:rPr>
        <w:t xml:space="preserve">Each risk is rated for likelihood and impact. Mitigations are built into the phase plan where possible.</w:t>
      </w:r>
    </w:p>
    <w:p>
      <w:pPr>
        <w:spacing w:after="80"/>
      </w:pPr>
      <w:r>
        <w:rPr>
          <w:rFonts w:ascii="Arial" w:cs="Arial" w:eastAsia="Arial" w:hAnsi="Arial"/>
          <w:color w:val="1A1A1A"/>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200"/>
        <w:gridCol w:w="4538"/>
      </w:tblGrid>
      <w:tr>
        <w:tc>
          <w:tcPr>
            <w:tcW w:type="dxa" w:w="270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Risk</w:t>
            </w:r>
          </w:p>
        </w:tc>
        <w:tc>
          <w:tcPr>
            <w:tcW w:type="dxa" w:w="120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Likelihood</w:t>
            </w:r>
          </w:p>
        </w:tc>
        <w:tc>
          <w:tcPr>
            <w:tcW w:type="dxa" w:w="120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Impact</w:t>
            </w:r>
          </w:p>
        </w:tc>
        <w:tc>
          <w:tcPr>
            <w:tcW w:type="dxa" w:w="4538"/>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Mitigation</w:t>
            </w:r>
          </w:p>
        </w:tc>
      </w:tr>
      <w:tr>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Engineering review is the bottleneck — limited time means chapters stall awaiting technical sign-off</w:t>
            </w:r>
          </w:p>
        </w:tc>
        <w:tc>
          <w:tcPr>
            <w:tcW w:type="dxa" w:w="1200"/>
            <w:gridSpan w:val="1"/>
            <w:tcBorders>
              <w:top w:val="single" w:color="CCCCCC" w:sz="1"/>
              <w:left w:val="single" w:color="CCCCCC" w:sz="1"/>
              <w:bottom w:val="single" w:color="CCCCCC" w:sz="1"/>
              <w:right w:val="single" w:color="CCCCCC" w:sz="1"/>
            </w:tcBorders>
            <w:shd w:fill="FFE4E4" w:val="clear"/>
            <w:tcMar>
              <w:top w:type="dxa" w:w="80"/>
              <w:left w:type="dxa" w:w="140"/>
              <w:bottom w:type="dxa" w:w="80"/>
              <w:right w:type="dxa" w:w="140"/>
            </w:tcMar>
            <w:vAlign w:val="center"/>
          </w:tcPr>
          <w:p>
            <w:pPr>
              <w:jc w:val="center"/>
            </w:pPr>
            <w:r>
              <w:rPr>
                <w:rFonts w:ascii="Arial" w:cs="Arial" w:eastAsia="Arial" w:hAnsi="Arial"/>
                <w:b/>
                <w:bCs/>
                <w:color w:val="8B0000"/>
                <w:sz w:val="20"/>
                <w:szCs w:val="20"/>
              </w:rPr>
              <w:t xml:space="preserve">High</w:t>
            </w:r>
          </w:p>
        </w:tc>
        <w:tc>
          <w:tcPr>
            <w:tcW w:type="dxa" w:w="1200"/>
            <w:gridSpan w:val="1"/>
            <w:tcBorders>
              <w:top w:val="single" w:color="CCCCCC" w:sz="1"/>
              <w:left w:val="single" w:color="CCCCCC" w:sz="1"/>
              <w:bottom w:val="single" w:color="CCCCCC" w:sz="1"/>
              <w:right w:val="single" w:color="CCCCCC" w:sz="1"/>
            </w:tcBorders>
            <w:shd w:fill="FFE4E4" w:val="clear"/>
            <w:tcMar>
              <w:top w:type="dxa" w:w="80"/>
              <w:left w:type="dxa" w:w="140"/>
              <w:bottom w:type="dxa" w:w="80"/>
              <w:right w:type="dxa" w:w="140"/>
            </w:tcMar>
            <w:vAlign w:val="center"/>
          </w:tcPr>
          <w:p>
            <w:pPr>
              <w:jc w:val="center"/>
            </w:pPr>
            <w:r>
              <w:rPr>
                <w:rFonts w:ascii="Arial" w:cs="Arial" w:eastAsia="Arial" w:hAnsi="Arial"/>
                <w:b/>
                <w:bCs/>
                <w:color w:val="8B0000"/>
                <w:sz w:val="20"/>
                <w:szCs w:val="20"/>
              </w:rPr>
              <w:t xml:space="preserve">High</w:t>
            </w:r>
          </w:p>
        </w:tc>
        <w:tc>
          <w:tcPr>
            <w:tcW w:type="dxa" w:w="45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Schedule review slots in Phase 1 before drafting begins; batch multiple chapters per session; Claude produces a QA pass first so engineering review is corrections, not first read</w:t>
            </w:r>
          </w:p>
        </w:tc>
      </w:tr>
      <w:tr>
        <w:tc>
          <w:tcPr>
            <w:tcW w:type="dxa" w:w="27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Source material gaps — the existing partial manual has undocumented features or outdated procedures</w:t>
            </w:r>
          </w:p>
        </w:tc>
        <w:tc>
          <w:tcPr>
            <w:tcW w:type="dxa" w:w="1200"/>
            <w:gridSpan w:val="1"/>
            <w:tcBorders>
              <w:top w:val="single" w:color="CCCCCC" w:sz="1"/>
              <w:left w:val="single" w:color="CCCCCC" w:sz="1"/>
              <w:bottom w:val="single" w:color="CCCCCC" w:sz="1"/>
              <w:right w:val="single" w:color="CCCCCC" w:sz="1"/>
            </w:tcBorders>
            <w:shd w:fill="FFE4E4" w:val="clear"/>
            <w:tcMar>
              <w:top w:type="dxa" w:w="80"/>
              <w:left w:type="dxa" w:w="140"/>
              <w:bottom w:type="dxa" w:w="80"/>
              <w:right w:type="dxa" w:w="140"/>
            </w:tcMar>
            <w:vAlign w:val="center"/>
          </w:tcPr>
          <w:p>
            <w:pPr>
              <w:jc w:val="center"/>
            </w:pPr>
            <w:r>
              <w:rPr>
                <w:rFonts w:ascii="Arial" w:cs="Arial" w:eastAsia="Arial" w:hAnsi="Arial"/>
                <w:b/>
                <w:bCs/>
                <w:color w:val="8B0000"/>
                <w:sz w:val="20"/>
                <w:szCs w:val="20"/>
              </w:rPr>
              <w:t xml:space="preserve">High</w:t>
            </w:r>
          </w:p>
        </w:tc>
        <w:tc>
          <w:tcPr>
            <w:tcW w:type="dxa" w:w="1200"/>
            <w:gridSpan w:val="1"/>
            <w:tcBorders>
              <w:top w:val="single" w:color="CCCCCC" w:sz="1"/>
              <w:left w:val="single" w:color="CCCCCC" w:sz="1"/>
              <w:bottom w:val="single" w:color="CCCCCC" w:sz="1"/>
              <w:right w:val="single" w:color="CCCCCC" w:sz="1"/>
            </w:tcBorders>
            <w:shd w:fill="FFF0D0" w:val="clear"/>
            <w:tcMar>
              <w:top w:type="dxa" w:w="80"/>
              <w:left w:type="dxa" w:w="140"/>
              <w:bottom w:type="dxa" w:w="80"/>
              <w:right w:type="dxa" w:w="140"/>
            </w:tcMar>
            <w:vAlign w:val="center"/>
          </w:tcPr>
          <w:p>
            <w:pPr>
              <w:jc w:val="center"/>
            </w:pPr>
            <w:r>
              <w:rPr>
                <w:rFonts w:ascii="Arial" w:cs="Arial" w:eastAsia="Arial" w:hAnsi="Arial"/>
                <w:b/>
                <w:bCs/>
                <w:color w:val="7A4400"/>
                <w:sz w:val="20"/>
                <w:szCs w:val="20"/>
              </w:rPr>
              <w:t xml:space="preserve">Medium</w:t>
            </w:r>
          </w:p>
        </w:tc>
        <w:tc>
          <w:tcPr>
            <w:tcW w:type="dxa" w:w="45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Phase 1 gap analysis sizes this early; schedule dedicated engineering sessions to fill gaps; document what is known and explicitly flag unknowns rather than guessing</w:t>
            </w:r>
          </w:p>
        </w:tc>
      </w:tr>
      <w:tr>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Firmware changes during drafting — DADman features shift before the relevant chapter is complete</w:t>
            </w:r>
          </w:p>
        </w:tc>
        <w:tc>
          <w:tcPr>
            <w:tcW w:type="dxa" w:w="1200"/>
            <w:gridSpan w:val="1"/>
            <w:tcBorders>
              <w:top w:val="single" w:color="CCCCCC" w:sz="1"/>
              <w:left w:val="single" w:color="CCCCCC" w:sz="1"/>
              <w:bottom w:val="single" w:color="CCCCCC" w:sz="1"/>
              <w:right w:val="single" w:color="CCCCCC" w:sz="1"/>
            </w:tcBorders>
            <w:shd w:fill="FFF0D0" w:val="clear"/>
            <w:tcMar>
              <w:top w:type="dxa" w:w="80"/>
              <w:left w:type="dxa" w:w="140"/>
              <w:bottom w:type="dxa" w:w="80"/>
              <w:right w:type="dxa" w:w="140"/>
            </w:tcMar>
            <w:vAlign w:val="center"/>
          </w:tcPr>
          <w:p>
            <w:pPr>
              <w:jc w:val="center"/>
            </w:pPr>
            <w:r>
              <w:rPr>
                <w:rFonts w:ascii="Arial" w:cs="Arial" w:eastAsia="Arial" w:hAnsi="Arial"/>
                <w:b/>
                <w:bCs/>
                <w:color w:val="7A4400"/>
                <w:sz w:val="20"/>
                <w:szCs w:val="20"/>
              </w:rPr>
              <w:t xml:space="preserve">Medium</w:t>
            </w:r>
          </w:p>
        </w:tc>
        <w:tc>
          <w:tcPr>
            <w:tcW w:type="dxa" w:w="1200"/>
            <w:gridSpan w:val="1"/>
            <w:tcBorders>
              <w:top w:val="single" w:color="CCCCCC" w:sz="1"/>
              <w:left w:val="single" w:color="CCCCCC" w:sz="1"/>
              <w:bottom w:val="single" w:color="CCCCCC" w:sz="1"/>
              <w:right w:val="single" w:color="CCCCCC" w:sz="1"/>
            </w:tcBorders>
            <w:shd w:fill="FFF0D0" w:val="clear"/>
            <w:tcMar>
              <w:top w:type="dxa" w:w="80"/>
              <w:left w:type="dxa" w:w="140"/>
              <w:bottom w:type="dxa" w:w="80"/>
              <w:right w:type="dxa" w:w="140"/>
            </w:tcMar>
            <w:vAlign w:val="center"/>
          </w:tcPr>
          <w:p>
            <w:pPr>
              <w:jc w:val="center"/>
            </w:pPr>
            <w:r>
              <w:rPr>
                <w:rFonts w:ascii="Arial" w:cs="Arial" w:eastAsia="Arial" w:hAnsi="Arial"/>
                <w:b/>
                <w:bCs/>
                <w:color w:val="7A4400"/>
                <w:sz w:val="20"/>
                <w:szCs w:val="20"/>
              </w:rPr>
              <w:t xml:space="preserve">Medium</w:t>
            </w:r>
          </w:p>
        </w:tc>
        <w:tc>
          <w:tcPr>
            <w:tcW w:type="dxa" w:w="45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Pin Manual v1.0 to a specific firmware version at the start of Phase 2; document delta sections for subsequent releases rather than rewriting mid-draft</w:t>
            </w:r>
          </w:p>
        </w:tc>
      </w:tr>
      <w:tr>
        <w:tc>
          <w:tcPr>
            <w:tcW w:type="dxa" w:w="27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Screenshot drift — UI screenshots become outdated with each software update</w:t>
            </w:r>
          </w:p>
        </w:tc>
        <w:tc>
          <w:tcPr>
            <w:tcW w:type="dxa" w:w="1200"/>
            <w:gridSpan w:val="1"/>
            <w:tcBorders>
              <w:top w:val="single" w:color="CCCCCC" w:sz="1"/>
              <w:left w:val="single" w:color="CCCCCC" w:sz="1"/>
              <w:bottom w:val="single" w:color="CCCCCC" w:sz="1"/>
              <w:right w:val="single" w:color="CCCCCC" w:sz="1"/>
            </w:tcBorders>
            <w:shd w:fill="FFF0D0" w:val="clear"/>
            <w:tcMar>
              <w:top w:type="dxa" w:w="80"/>
              <w:left w:type="dxa" w:w="140"/>
              <w:bottom w:type="dxa" w:w="80"/>
              <w:right w:type="dxa" w:w="140"/>
            </w:tcMar>
            <w:vAlign w:val="center"/>
          </w:tcPr>
          <w:p>
            <w:pPr>
              <w:jc w:val="center"/>
            </w:pPr>
            <w:r>
              <w:rPr>
                <w:rFonts w:ascii="Arial" w:cs="Arial" w:eastAsia="Arial" w:hAnsi="Arial"/>
                <w:b/>
                <w:bCs/>
                <w:color w:val="7A4400"/>
                <w:sz w:val="20"/>
                <w:szCs w:val="20"/>
              </w:rPr>
              <w:t xml:space="preserve">Medium</w:t>
            </w:r>
          </w:p>
        </w:tc>
        <w:tc>
          <w:tcPr>
            <w:tcW w:type="dxa" w:w="1200"/>
            <w:gridSpan w:val="1"/>
            <w:tcBorders>
              <w:top w:val="single" w:color="CCCCCC" w:sz="1"/>
              <w:left w:val="single" w:color="CCCCCC" w:sz="1"/>
              <w:bottom w:val="single" w:color="CCCCCC" w:sz="1"/>
              <w:right w:val="single" w:color="CCCCCC" w:sz="1"/>
            </w:tcBorders>
            <w:shd w:fill="DFF0DF" w:val="clear"/>
            <w:tcMar>
              <w:top w:type="dxa" w:w="80"/>
              <w:left w:type="dxa" w:w="140"/>
              <w:bottom w:type="dxa" w:w="80"/>
              <w:right w:type="dxa" w:w="140"/>
            </w:tcMar>
            <w:vAlign w:val="center"/>
          </w:tcPr>
          <w:p>
            <w:pPr>
              <w:jc w:val="center"/>
            </w:pPr>
            <w:r>
              <w:rPr>
                <w:rFonts w:ascii="Arial" w:cs="Arial" w:eastAsia="Arial" w:hAnsi="Arial"/>
                <w:b/>
                <w:bCs/>
                <w:color w:val="1A5E1A"/>
                <w:sz w:val="20"/>
                <w:szCs w:val="20"/>
              </w:rPr>
              <w:t xml:space="preserve">Low</w:t>
            </w:r>
          </w:p>
        </w:tc>
        <w:tc>
          <w:tcPr>
            <w:tcW w:type="dxa" w:w="45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Policy: screenshots refreshed on major releases only; source screenshots stored in the repo with version tags; Claude flags version mismatches on review</w:t>
            </w:r>
          </w:p>
        </w:tc>
      </w:tr>
      <w:tr>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Regulatory sign-off delay — CE/FCC compliance declarations need a named authorised signatory</w:t>
            </w:r>
          </w:p>
        </w:tc>
        <w:tc>
          <w:tcPr>
            <w:tcW w:type="dxa" w:w="1200"/>
            <w:gridSpan w:val="1"/>
            <w:tcBorders>
              <w:top w:val="single" w:color="CCCCCC" w:sz="1"/>
              <w:left w:val="single" w:color="CCCCCC" w:sz="1"/>
              <w:bottom w:val="single" w:color="CCCCCC" w:sz="1"/>
              <w:right w:val="single" w:color="CCCCCC" w:sz="1"/>
            </w:tcBorders>
            <w:shd w:fill="DFF0DF" w:val="clear"/>
            <w:tcMar>
              <w:top w:type="dxa" w:w="80"/>
              <w:left w:type="dxa" w:w="140"/>
              <w:bottom w:type="dxa" w:w="80"/>
              <w:right w:type="dxa" w:w="140"/>
            </w:tcMar>
            <w:vAlign w:val="center"/>
          </w:tcPr>
          <w:p>
            <w:pPr>
              <w:jc w:val="center"/>
            </w:pPr>
            <w:r>
              <w:rPr>
                <w:rFonts w:ascii="Arial" w:cs="Arial" w:eastAsia="Arial" w:hAnsi="Arial"/>
                <w:b/>
                <w:bCs/>
                <w:color w:val="1A5E1A"/>
                <w:sz w:val="20"/>
                <w:szCs w:val="20"/>
              </w:rPr>
              <w:t xml:space="preserve">Low</w:t>
            </w:r>
          </w:p>
        </w:tc>
        <w:tc>
          <w:tcPr>
            <w:tcW w:type="dxa" w:w="1200"/>
            <w:gridSpan w:val="1"/>
            <w:tcBorders>
              <w:top w:val="single" w:color="CCCCCC" w:sz="1"/>
              <w:left w:val="single" w:color="CCCCCC" w:sz="1"/>
              <w:bottom w:val="single" w:color="CCCCCC" w:sz="1"/>
              <w:right w:val="single" w:color="CCCCCC" w:sz="1"/>
            </w:tcBorders>
            <w:shd w:fill="FFE4E4" w:val="clear"/>
            <w:tcMar>
              <w:top w:type="dxa" w:w="80"/>
              <w:left w:type="dxa" w:w="140"/>
              <w:bottom w:type="dxa" w:w="80"/>
              <w:right w:type="dxa" w:w="140"/>
            </w:tcMar>
            <w:vAlign w:val="center"/>
          </w:tcPr>
          <w:p>
            <w:pPr>
              <w:jc w:val="center"/>
            </w:pPr>
            <w:r>
              <w:rPr>
                <w:rFonts w:ascii="Arial" w:cs="Arial" w:eastAsia="Arial" w:hAnsi="Arial"/>
                <w:b/>
                <w:bCs/>
                <w:color w:val="8B0000"/>
                <w:sz w:val="20"/>
                <w:szCs w:val="20"/>
              </w:rPr>
              <w:t xml:space="preserve">High</w:t>
            </w:r>
          </w:p>
        </w:tc>
        <w:tc>
          <w:tcPr>
            <w:tcW w:type="dxa" w:w="45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Identify the authorised signatory in Phase 1; initiate compliance review at the start of Phase 3, not the end; prepare draft declarations early</w:t>
            </w:r>
          </w:p>
        </w:tc>
      </w:tr>
      <w:tr>
        <w:tc>
          <w:tcPr>
            <w:tcW w:type="dxa" w:w="27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Team adoption of the GitHub workflow — engineers accustomed to Word/email may resist</w:t>
            </w:r>
          </w:p>
        </w:tc>
        <w:tc>
          <w:tcPr>
            <w:tcW w:type="dxa" w:w="1200"/>
            <w:gridSpan w:val="1"/>
            <w:tcBorders>
              <w:top w:val="single" w:color="CCCCCC" w:sz="1"/>
              <w:left w:val="single" w:color="CCCCCC" w:sz="1"/>
              <w:bottom w:val="single" w:color="CCCCCC" w:sz="1"/>
              <w:right w:val="single" w:color="CCCCCC" w:sz="1"/>
            </w:tcBorders>
            <w:shd w:fill="FFF0D0" w:val="clear"/>
            <w:tcMar>
              <w:top w:type="dxa" w:w="80"/>
              <w:left w:type="dxa" w:w="140"/>
              <w:bottom w:type="dxa" w:w="80"/>
              <w:right w:type="dxa" w:w="140"/>
            </w:tcMar>
            <w:vAlign w:val="center"/>
          </w:tcPr>
          <w:p>
            <w:pPr>
              <w:jc w:val="center"/>
            </w:pPr>
            <w:r>
              <w:rPr>
                <w:rFonts w:ascii="Arial" w:cs="Arial" w:eastAsia="Arial" w:hAnsi="Arial"/>
                <w:b/>
                <w:bCs/>
                <w:color w:val="7A4400"/>
                <w:sz w:val="20"/>
                <w:szCs w:val="20"/>
              </w:rPr>
              <w:t xml:space="preserve">Medium</w:t>
            </w:r>
          </w:p>
        </w:tc>
        <w:tc>
          <w:tcPr>
            <w:tcW w:type="dxa" w:w="1200"/>
            <w:gridSpan w:val="1"/>
            <w:tcBorders>
              <w:top w:val="single" w:color="CCCCCC" w:sz="1"/>
              <w:left w:val="single" w:color="CCCCCC" w:sz="1"/>
              <w:bottom w:val="single" w:color="CCCCCC" w:sz="1"/>
              <w:right w:val="single" w:color="CCCCCC" w:sz="1"/>
            </w:tcBorders>
            <w:shd w:fill="FFF0D0" w:val="clear"/>
            <w:tcMar>
              <w:top w:type="dxa" w:w="80"/>
              <w:left w:type="dxa" w:w="140"/>
              <w:bottom w:type="dxa" w:w="80"/>
              <w:right w:type="dxa" w:w="140"/>
            </w:tcMar>
            <w:vAlign w:val="center"/>
          </w:tcPr>
          <w:p>
            <w:pPr>
              <w:jc w:val="center"/>
            </w:pPr>
            <w:r>
              <w:rPr>
                <w:rFonts w:ascii="Arial" w:cs="Arial" w:eastAsia="Arial" w:hAnsi="Arial"/>
                <w:b/>
                <w:bCs/>
                <w:color w:val="7A4400"/>
                <w:sz w:val="20"/>
                <w:szCs w:val="20"/>
              </w:rPr>
              <w:t xml:space="preserve">Medium</w:t>
            </w:r>
          </w:p>
        </w:tc>
        <w:tc>
          <w:tcPr>
            <w:tcW w:type="dxa" w:w="45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GitHub web UI allows editing without a terminal; Jon acts as the integration point for non-git contributors; process kept as simple as possible in Phase 1</w:t>
            </w:r>
          </w:p>
        </w:tc>
      </w:tr>
      <w:tr>
        <w:tc>
          <w:tcPr>
            <w:tcW w:type="dxa" w:w="27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Content quality inconsistency — multiple contributors produce sections in differing styles</w:t>
            </w:r>
          </w:p>
        </w:tc>
        <w:tc>
          <w:tcPr>
            <w:tcW w:type="dxa" w:w="1200"/>
            <w:gridSpan w:val="1"/>
            <w:tcBorders>
              <w:top w:val="single" w:color="CCCCCC" w:sz="1"/>
              <w:left w:val="single" w:color="CCCCCC" w:sz="1"/>
              <w:bottom w:val="single" w:color="CCCCCC" w:sz="1"/>
              <w:right w:val="single" w:color="CCCCCC" w:sz="1"/>
            </w:tcBorders>
            <w:shd w:fill="DFF0DF" w:val="clear"/>
            <w:tcMar>
              <w:top w:type="dxa" w:w="80"/>
              <w:left w:type="dxa" w:w="140"/>
              <w:bottom w:type="dxa" w:w="80"/>
              <w:right w:type="dxa" w:w="140"/>
            </w:tcMar>
            <w:vAlign w:val="center"/>
          </w:tcPr>
          <w:p>
            <w:pPr>
              <w:jc w:val="center"/>
            </w:pPr>
            <w:r>
              <w:rPr>
                <w:rFonts w:ascii="Arial" w:cs="Arial" w:eastAsia="Arial" w:hAnsi="Arial"/>
                <w:b/>
                <w:bCs/>
                <w:color w:val="1A5E1A"/>
                <w:sz w:val="20"/>
                <w:szCs w:val="20"/>
              </w:rPr>
              <w:t xml:space="preserve">Low</w:t>
            </w:r>
          </w:p>
        </w:tc>
        <w:tc>
          <w:tcPr>
            <w:tcW w:type="dxa" w:w="1200"/>
            <w:gridSpan w:val="1"/>
            <w:tcBorders>
              <w:top w:val="single" w:color="CCCCCC" w:sz="1"/>
              <w:left w:val="single" w:color="CCCCCC" w:sz="1"/>
              <w:bottom w:val="single" w:color="CCCCCC" w:sz="1"/>
              <w:right w:val="single" w:color="CCCCCC" w:sz="1"/>
            </w:tcBorders>
            <w:shd w:fill="FFF0D0" w:val="clear"/>
            <w:tcMar>
              <w:top w:type="dxa" w:w="80"/>
              <w:left w:type="dxa" w:w="140"/>
              <w:bottom w:type="dxa" w:w="80"/>
              <w:right w:type="dxa" w:w="140"/>
            </w:tcMar>
            <w:vAlign w:val="center"/>
          </w:tcPr>
          <w:p>
            <w:pPr>
              <w:jc w:val="center"/>
            </w:pPr>
            <w:r>
              <w:rPr>
                <w:rFonts w:ascii="Arial" w:cs="Arial" w:eastAsia="Arial" w:hAnsi="Arial"/>
                <w:b/>
                <w:bCs/>
                <w:color w:val="7A4400"/>
                <w:sz w:val="20"/>
                <w:szCs w:val="20"/>
              </w:rPr>
              <w:t xml:space="preserve">Medium</w:t>
            </w:r>
          </w:p>
        </w:tc>
        <w:tc>
          <w:tcPr>
            <w:tcW w:type="dxa" w:w="45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content passes through the pro-audio-manual-expert skill before finalisation; Claude enforces consistent formatting, tone, and information typing</w:t>
            </w:r>
          </w:p>
        </w:tc>
      </w:tr>
      <w:tr>
        <w:tc>
          <w:tcPr>
            <w:tcW w:type="dxa" w:w="27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Multi-language requirements — international markets may require translated documentation</w:t>
            </w:r>
          </w:p>
        </w:tc>
        <w:tc>
          <w:tcPr>
            <w:tcW w:type="dxa" w:w="1200"/>
            <w:gridSpan w:val="1"/>
            <w:tcBorders>
              <w:top w:val="single" w:color="CCCCCC" w:sz="1"/>
              <w:left w:val="single" w:color="CCCCCC" w:sz="1"/>
              <w:bottom w:val="single" w:color="CCCCCC" w:sz="1"/>
              <w:right w:val="single" w:color="CCCCCC" w:sz="1"/>
            </w:tcBorders>
            <w:shd w:fill="DFF0DF" w:val="clear"/>
            <w:tcMar>
              <w:top w:type="dxa" w:w="80"/>
              <w:left w:type="dxa" w:w="140"/>
              <w:bottom w:type="dxa" w:w="80"/>
              <w:right w:type="dxa" w:w="140"/>
            </w:tcMar>
            <w:vAlign w:val="center"/>
          </w:tcPr>
          <w:p>
            <w:pPr>
              <w:jc w:val="center"/>
            </w:pPr>
            <w:r>
              <w:rPr>
                <w:rFonts w:ascii="Arial" w:cs="Arial" w:eastAsia="Arial" w:hAnsi="Arial"/>
                <w:b/>
                <w:bCs/>
                <w:color w:val="1A5E1A"/>
                <w:sz w:val="20"/>
                <w:szCs w:val="20"/>
              </w:rPr>
              <w:t xml:space="preserve">Low</w:t>
            </w:r>
          </w:p>
        </w:tc>
        <w:tc>
          <w:tcPr>
            <w:tcW w:type="dxa" w:w="1200"/>
            <w:gridSpan w:val="1"/>
            <w:tcBorders>
              <w:top w:val="single" w:color="CCCCCC" w:sz="1"/>
              <w:left w:val="single" w:color="CCCCCC" w:sz="1"/>
              <w:bottom w:val="single" w:color="CCCCCC" w:sz="1"/>
              <w:right w:val="single" w:color="CCCCCC" w:sz="1"/>
            </w:tcBorders>
            <w:shd w:fill="FFE4E4" w:val="clear"/>
            <w:tcMar>
              <w:top w:type="dxa" w:w="80"/>
              <w:left w:type="dxa" w:w="140"/>
              <w:bottom w:type="dxa" w:w="80"/>
              <w:right w:type="dxa" w:w="140"/>
            </w:tcMar>
            <w:vAlign w:val="center"/>
          </w:tcPr>
          <w:p>
            <w:pPr>
              <w:jc w:val="center"/>
            </w:pPr>
            <w:r>
              <w:rPr>
                <w:rFonts w:ascii="Arial" w:cs="Arial" w:eastAsia="Arial" w:hAnsi="Arial"/>
                <w:b/>
                <w:bCs/>
                <w:color w:val="8B0000"/>
                <w:sz w:val="20"/>
                <w:szCs w:val="20"/>
              </w:rPr>
              <w:t xml:space="preserve">High</w:t>
            </w:r>
          </w:p>
        </w:tc>
        <w:tc>
          <w:tcPr>
            <w:tcW w:type="dxa" w:w="45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Docusaurus has native i18n support; structure content for translation-readiness from the start: no idioms, consistent terminology, short imperative sentences</w:t>
            </w:r>
          </w:p>
        </w:tc>
      </w:tr>
    </w:tbl>
    <w:p>
      <w:pPr>
        <w:spacing w:after="80"/>
      </w:pPr>
      <w:r>
        <w:rPr>
          <w:rFonts w:ascii="Arial" w:cs="Arial" w:eastAsia="Arial" w:hAnsi="Arial"/>
          <w:color w:val="1A1A1A"/>
          <w:sz w:val="22"/>
          <w:szCs w:val="22"/>
        </w:rPr>
        <w:t xml:space="preserve"/>
      </w:r>
    </w:p>
    <w:p>
      <w:pPr>
        <w:pStyle w:val="Heading1"/>
        <w:spacing w:after="160" w:before="360"/>
      </w:pPr>
      <w:r>
        <w:rPr>
          <w:rFonts w:ascii="Arial" w:cs="Arial" w:eastAsia="Arial" w:hAnsi="Arial"/>
          <w:b/>
          <w:bCs/>
          <w:color w:val="1B365D"/>
          <w:sz w:val="30"/>
          <w:szCs w:val="30"/>
        </w:rPr>
        <w:t xml:space="preserve">Success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c>
          <w:tcPr>
            <w:tcW w:type="dxa" w:w="4200"/>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Metric</w:t>
            </w:r>
          </w:p>
        </w:tc>
        <w:tc>
          <w:tcPr>
            <w:tcW w:type="dxa" w:w="5438"/>
            <w:gridSpan w:val="1"/>
            <w:tcBorders>
              <w:top w:val="single" w:color="1B365D" w:sz="1"/>
              <w:left w:val="single" w:color="1B365D" w:sz="1"/>
              <w:bottom w:val="single" w:color="1B365D" w:sz="1"/>
              <w:right w:val="single" w:color="1B365D" w:sz="1"/>
            </w:tcBorders>
            <w:shd w:fill="1B365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Target / Definition of Done</w:t>
            </w:r>
          </w:p>
        </w:tc>
      </w:tr>
      <w:tr>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DADman Manual v1.0 published</w:t>
            </w:r>
          </w:p>
        </w:tc>
        <w:tc>
          <w:tcPr>
            <w:tcW w:type="dxa" w:w="54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Live on docs site with PDF download; all chapters technically reviewed and signed off</w:t>
            </w:r>
          </w:p>
        </w:tc>
      </w:tr>
      <w:tr>
        <w:tc>
          <w:tcPr>
            <w:tcW w:type="dxa" w:w="42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IEC/IEEE 82079-1 compliance</w:t>
            </w:r>
          </w:p>
        </w:tc>
        <w:tc>
          <w:tcPr>
            <w:tcW w:type="dxa" w:w="54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Every chapter passes the quality checklist in the pro-audio-manual-expert skill; safety notices correctly tiered</w:t>
            </w:r>
          </w:p>
        </w:tc>
      </w:tr>
      <w:tr>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Automated deployment operational</w:t>
            </w:r>
          </w:p>
        </w:tc>
        <w:tc>
          <w:tcPr>
            <w:tcW w:type="dxa" w:w="54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Merge to main → docs rebuild and publish within 10 minutes, without manual steps</w:t>
            </w:r>
          </w:p>
        </w:tc>
      </w:tr>
      <w:tr>
        <w:tc>
          <w:tcPr>
            <w:tcW w:type="dxa" w:w="42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First automated content piece</w:t>
            </w:r>
          </w:p>
        </w:tc>
        <w:tc>
          <w:tcPr>
            <w:tcW w:type="dxa" w:w="54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Tutorial script or release note generated automatically from the next firmware release tag</w:t>
            </w:r>
          </w:p>
        </w:tc>
      </w:tr>
      <w:tr>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Core 256 + Core256 Racking Hardware manuals published</w:t>
            </w:r>
          </w:p>
        </w:tc>
        <w:tc>
          <w:tcPr>
            <w:tcW w:type="dxa" w:w="54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Priority P1 — first products after DADman; both treated as urgent</w:t>
            </w:r>
          </w:p>
        </w:tc>
      </w:tr>
      <w:tr>
        <w:tc>
          <w:tcPr>
            <w:tcW w:type="dxa" w:w="42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All P2 &amp; P3 product manuals published</w:t>
            </w:r>
          </w:p>
        </w:tc>
        <w:tc>
          <w:tcPr>
            <w:tcW w:type="dxa" w:w="54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AX Center, AX 64, MOM, DAD Junior — all live with PDF download by end of Phase 5</w:t>
            </w:r>
          </w:p>
        </w:tc>
      </w:tr>
      <w:tr>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MOM2 documentation ready at announcement</w:t>
            </w:r>
          </w:p>
        </w:tc>
        <w:tc>
          <w:tcPr>
            <w:tcW w:type="dxa" w:w="54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Manual drafted under embargo; published automatically on announcement day — zero lag</w:t>
            </w:r>
          </w:p>
        </w:tc>
      </w:tr>
      <w:tr>
        <w:tc>
          <w:tcPr>
            <w:tcW w:type="dxa" w:w="42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Future launch readiness operational</w:t>
            </w:r>
          </w:p>
        </w:tc>
        <w:tc>
          <w:tcPr>
            <w:tcW w:type="dxa" w:w="54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New product onboardable in under 1 day; shared content library live; embargo workflow tested</w:t>
            </w:r>
          </w:p>
        </w:tc>
      </w:tr>
      <w:tr>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Documentation discoverability</w:t>
            </w:r>
          </w:p>
        </w:tc>
        <w:tc>
          <w:tcPr>
            <w:tcW w:type="dxa" w:w="5438"/>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Site indexed by search engines; linked from digitalaudio.dk support and product pages</w:t>
            </w:r>
          </w:p>
        </w:tc>
      </w:tr>
      <w:tr>
        <w:tc>
          <w:tcPr>
            <w:tcW w:type="dxa" w:w="42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1A"/>
                <w:sz w:val="20"/>
                <w:szCs w:val="20"/>
              </w:rPr>
              <w:t xml:space="preserve">Support ticket reduction</w:t>
            </w:r>
          </w:p>
        </w:tc>
        <w:tc>
          <w:tcPr>
            <w:tcW w:type="dxa" w:w="5438"/>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Measurable reduction in queries covering documented topics; target −20% within 3 months of v1.0 launch</w:t>
            </w:r>
          </w:p>
        </w:tc>
      </w:tr>
    </w:tbl>
    <w:p>
      <w:pPr>
        <w:spacing w:after="80"/>
      </w:pPr>
      <w:r>
        <w:rPr>
          <w:rFonts w:ascii="Arial" w:cs="Arial" w:eastAsia="Arial" w:hAnsi="Arial"/>
          <w:color w:val="1A1A1A"/>
          <w:sz w:val="22"/>
          <w:szCs w:val="22"/>
        </w:rPr>
        <w:t xml:space="preserve"/>
      </w:r>
    </w:p>
    <w:p>
      <w:pPr>
        <w:pStyle w:val="Heading1"/>
        <w:spacing w:after="160" w:before="360"/>
      </w:pPr>
      <w:r>
        <w:rPr>
          <w:rFonts w:ascii="Arial" w:cs="Arial" w:eastAsia="Arial" w:hAnsi="Arial"/>
          <w:b/>
          <w:bCs/>
          <w:color w:val="1B365D"/>
          <w:sz w:val="30"/>
          <w:szCs w:val="30"/>
        </w:rPr>
        <w:t xml:space="preserve">Immediate Next Steps (Week 1)</w:t>
      </w:r>
    </w:p>
    <w:p>
      <w:pPr>
        <w:spacing w:after="120"/>
      </w:pPr>
      <w:r>
        <w:rPr>
          <w:rFonts w:ascii="Arial" w:cs="Arial" w:eastAsia="Arial" w:hAnsi="Arial"/>
          <w:color w:val="1A1A1A"/>
          <w:sz w:val="21"/>
          <w:szCs w:val="21"/>
        </w:rPr>
        <w:t xml:space="preserve">To initiate Phase 1, the following five actions should be completed before the next working session:</w:t>
      </w:r>
    </w:p>
    <w:p>
      <w:pPr>
        <w:spacing w:after="80"/>
      </w:pPr>
      <w:r>
        <w:rPr>
          <w:rFonts w:ascii="Arial" w:cs="Arial" w:eastAsia="Arial" w:hAnsi="Arial"/>
          <w:color w:val="1A1A1A"/>
          <w:sz w:val="22"/>
          <w:szCs w:val="22"/>
        </w:rPr>
        <w:t xml:space="preserve"/>
      </w:r>
    </w:p>
    <w:p>
      <w:pPr>
        <w:pStyle w:val="ListParagraph"/>
        <w:numPr>
          <w:ilvl w:val="0"/>
          <w:numId w:val="2"/>
        </w:numPr>
      </w:pPr>
      <w:r>
        <w:rPr>
          <w:rFonts w:ascii="Arial" w:cs="Arial" w:eastAsia="Arial" w:hAnsi="Arial"/>
          <w:color w:val="1A1A1A"/>
          <w:sz w:val="21"/>
          <w:szCs w:val="21"/>
        </w:rPr>
        <w:t xml:space="preserve">Gather all existing DADman documentation — partial manual, release notes, spec sheets, knowledge base articles, engineering notes — into a shared location accessible to Claude.</w:t>
      </w:r>
    </w:p>
    <w:p>
      <w:pPr>
        <w:pStyle w:val="ListParagraph"/>
        <w:numPr>
          <w:ilvl w:val="0"/>
          <w:numId w:val="2"/>
        </w:numPr>
      </w:pPr>
      <w:r>
        <w:rPr>
          <w:rFonts w:ascii="Arial" w:cs="Arial" w:eastAsia="Arial" w:hAnsi="Arial"/>
          <w:color w:val="1A1A1A"/>
          <w:sz w:val="21"/>
          <w:szCs w:val="21"/>
        </w:rPr>
        <w:t xml:space="preserve">Identify the GitHub account or organisation to use for the documentation repository. Decide: public or private repo (public = zero hosting cost and free Algolia search).</w:t>
      </w:r>
    </w:p>
    <w:p>
      <w:pPr>
        <w:pStyle w:val="ListParagraph"/>
        <w:numPr>
          <w:ilvl w:val="0"/>
          <w:numId w:val="2"/>
        </w:numPr>
      </w:pPr>
      <w:r>
        <w:rPr>
          <w:rFonts w:ascii="Arial" w:cs="Arial" w:eastAsia="Arial" w:hAnsi="Arial"/>
          <w:color w:val="1A1A1A"/>
          <w:sz w:val="21"/>
          <w:szCs w:val="21"/>
        </w:rPr>
        <w:t xml:space="preserve">Confirm the DADman firmware version that Manual v1.0 will document. This pins the scope and prevents mid-draft scope changes.</w:t>
      </w:r>
    </w:p>
    <w:p>
      <w:pPr>
        <w:pStyle w:val="ListParagraph"/>
        <w:numPr>
          <w:ilvl w:val="0"/>
          <w:numId w:val="2"/>
        </w:numPr>
      </w:pPr>
      <w:r>
        <w:rPr>
          <w:rFonts w:ascii="Arial" w:cs="Arial" w:eastAsia="Arial" w:hAnsi="Arial"/>
          <w:color w:val="1A1A1A"/>
          <w:sz w:val="21"/>
          <w:szCs w:val="21"/>
        </w:rPr>
        <w:t xml:space="preserve">Identify the developer or engineer who will handle the Docusaurus and GitHub Actions setup (Phase 1 dependency; 1–2 day task).</w:t>
      </w:r>
    </w:p>
    <w:p>
      <w:pPr>
        <w:pStyle w:val="ListParagraph"/>
        <w:numPr>
          <w:ilvl w:val="0"/>
          <w:numId w:val="2"/>
        </w:numPr>
      </w:pPr>
      <w:r>
        <w:rPr>
          <w:rFonts w:ascii="Arial" w:cs="Arial" w:eastAsia="Arial" w:hAnsi="Arial"/>
          <w:color w:val="1A1A1A"/>
          <w:sz w:val="21"/>
          <w:szCs w:val="21"/>
        </w:rPr>
        <w:t xml:space="preserve">Schedule the first chapter review session with the engineering contact who will be the primary technical reviewer.</w:t>
      </w:r>
    </w:p>
    <w:p>
      <w:pPr>
        <w:spacing w:after="80"/>
      </w:pPr>
      <w:r>
        <w:rPr>
          <w:rFonts w:ascii="Arial" w:cs="Arial" w:eastAsia="Arial" w:hAnsi="Arial"/>
          <w:color w:val="1A1A1A"/>
          <w:sz w:val="22"/>
          <w:szCs w:val="22"/>
        </w:rPr>
        <w:t xml:space="preserve"/>
      </w:r>
    </w:p>
    <w:p>
      <w:pPr>
        <w:spacing w:after="120"/>
      </w:pPr>
      <w:r>
        <w:rPr>
          <w:rFonts w:ascii="Arial" w:cs="Arial" w:eastAsia="Arial" w:hAnsi="Arial"/>
          <w:color w:val="1A1A1A"/>
          <w:sz w:val="21"/>
          <w:szCs w:val="21"/>
        </w:rPr>
        <w:t xml:space="preserve">Note on scope: the AX32 is end-of-life and is explicitly excluded from this project. All documentation effort targets the active and upcoming product portfolio listed above.</w:t>
      </w:r>
    </w:p>
    <w:p>
      <w:pPr>
        <w:spacing w:after="80"/>
      </w:pPr>
      <w:r>
        <w:rPr>
          <w:rFonts w:ascii="Arial" w:cs="Arial" w:eastAsia="Arial" w:hAnsi="Arial"/>
          <w:color w:val="1A1A1A"/>
          <w:sz w:val="22"/>
          <w:szCs w:val="22"/>
        </w:rPr>
        <w:t xml:space="preserve"/>
      </w:r>
    </w:p>
    <w:p>
      <w:pPr>
        <w:spacing w:after="120"/>
      </w:pPr>
      <w:r>
        <w:rPr>
          <w:rFonts w:ascii="Arial" w:cs="Arial" w:eastAsia="Arial" w:hAnsi="Arial"/>
          <w:color w:val="1A1A1A"/>
          <w:sz w:val="21"/>
          <w:szCs w:val="21"/>
        </w:rPr>
        <w:t xml:space="preserve">Claude and Cowork are ready to begin immediately. The pro-audio-manual-expert skill is installed and active. The next session can start directly with a content audit of the existing partial DADman manual.</w:t>
      </w:r>
    </w:p>
    <w:p>
      <w:pPr>
        <w:spacing w:after="80"/>
      </w:pPr>
      <w:r>
        <w:rPr>
          <w:rFonts w:ascii="Arial" w:cs="Arial" w:eastAsia="Arial" w:hAnsi="Arial"/>
          <w:color w:val="1A1A1A"/>
          <w:sz w:val="22"/>
          <w:szCs w:val="22"/>
        </w:rPr>
        <w:t xml:space="preserve"/>
      </w:r>
    </w:p>
    <w:p>
      <w:pPr>
        <w:pBdr>
          <w:top w:val="single" w:color="2E75B6" w:sz="4" w:space="4"/>
        </w:pBdr>
        <w:spacing w:after="0" w:before="240"/>
      </w:pPr>
      <w:r>
        <w:rPr>
          <w:rFonts w:ascii="Arial" w:cs="Arial" w:eastAsia="Arial" w:hAnsi="Arial"/>
          <w:color w:val="595959"/>
          <w:sz w:val="16"/>
          <w:szCs w:val="16"/>
        </w:rPr>
        <w:t xml:space="preserve">DAD Documentation &amp; Content Platform · Project Plan v1.0 · June 2026 · Prepared with Claude / Cowork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80"/>
    </w:pPr>
    <w:r>
      <w:rPr>
        <w:rFonts w:ascii="Arial" w:cs="Arial" w:eastAsia="Arial" w:hAnsi="Arial"/>
        <w:color w:val="595959"/>
        <w:sz w:val="16"/>
        <w:szCs w:val="16"/>
      </w:rPr>
      <w:t xml:space="preserve">Confidential — Digital Audio Denmark</w:t>
    </w:r>
    <w:r>
      <w:rPr>
        <w:rFonts w:ascii="Arial" w:cs="Arial" w:eastAsia="Arial" w:hAnsi="Arial"/>
        <w:color w:val="1A1A1A"/>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80"/>
    </w:pPr>
    <w:r>
      <w:rPr>
        <w:rFonts w:ascii="Arial" w:cs="Arial" w:eastAsia="Arial" w:hAnsi="Arial"/>
        <w:color w:val="595959"/>
        <w:sz w:val="17"/>
        <w:szCs w:val="17"/>
      </w:rPr>
      <w:t xml:space="preserve">DAD — Documentation &amp; Content Platform</w:t>
    </w:r>
    <w:r>
      <w:rPr>
        <w:rFonts w:ascii="Arial" w:cs="Arial" w:eastAsia="Arial" w:hAnsi="Arial"/>
        <w:color w:val="1A1A1A"/>
        <w:sz w:val="17"/>
        <w:szCs w:val="17"/>
      </w:rPr>
      <w:t xml:space="preserve">	</w:t>
    </w:r>
    <w:r>
      <w:rPr>
        <w:rFonts w:ascii="Arial" w:cs="Arial" w:eastAsia="Arial" w:hAnsi="Arial"/>
        <w:color w:val="595959"/>
        <w:sz w:val="17"/>
        <w:szCs w:val="17"/>
      </w:rPr>
      <w:t xml:space="preserve">Project Plan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1"/>
        <w:szCs w:val="21"/>
      </w:rPr>
    </w:lvl>
    <w:lvl w:ilvl="1" w15:tentative="1">
      <w:start w:val="1"/>
      <w:numFmt w:val="bullet"/>
      <w:lvlText w:val="◦"/>
      <w:lvlJc w:val="left"/>
      <w:pPr>
        <w:ind w:left="1080" w:hanging="3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1"/>
        <w:szCs w:val="2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65D"/>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2026-06-03T20:14:02.198Z</dcterms:created>
  <dcterms:modified xsi:type="dcterms:W3CDTF">2026-06-03T20:14:02.199Z</dcterms:modified>
</cp:coreProperties>
</file>

<file path=docProps/custom.xml><?xml version="1.0" encoding="utf-8"?>
<Properties xmlns="http://schemas.openxmlformats.org/officeDocument/2006/custom-properties" xmlns:vt="http://schemas.openxmlformats.org/officeDocument/2006/docPropsVTypes"/>
</file>