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200"/>
        <w:jc w:val="center"/>
      </w:pPr>
      <w:r>
        <w:rPr>
          <w:rFonts w:ascii="Cambria" w:cs="Cambria" w:eastAsia="Cambria" w:hAnsi="Cambria"/>
          <w:b/>
          <w:bCs/>
          <w:sz w:val="44"/>
          <w:szCs w:val="44"/>
        </w:rPr>
        <w:t xml:space="preserve">ENDOGENOUS DECENTRALIZATION</w:t>
      </w:r>
    </w:p>
    <w:p>
      <w:pPr>
        <w:spacing w:after="120"/>
        <w:jc w:val="center"/>
      </w:pPr>
      <w:r>
        <w:rPr>
          <w:rFonts w:ascii="Cambria" w:cs="Cambria" w:eastAsia="Cambria" w:hAnsi="Cambria"/>
          <w:sz w:val="28"/>
          <w:szCs w:val="28"/>
        </w:rPr>
        <w:t xml:space="preserve">How Concentrated Capital Investment Finances</w:t>
      </w:r>
    </w:p>
    <w:p>
      <w:pPr>
        <w:spacing w:after="400"/>
        <w:jc w:val="center"/>
      </w:pPr>
      <w:r>
        <w:rPr>
          <w:rFonts w:ascii="Cambria" w:cs="Cambria" w:eastAsia="Cambria" w:hAnsi="Cambria"/>
          <w:sz w:val="28"/>
          <w:szCs w:val="28"/>
        </w:rPr>
        <w:t xml:space="preserve">the Learning Curves That Enable Distributed Alternatives</w:t>
      </w:r>
    </w:p>
    <w:p>
      <w:pPr>
        <w:spacing w:after="120"/>
        <w:jc w:val="center"/>
      </w:pPr>
      <w:r>
        <w:rPr>
          <w:rFonts w:ascii="Cambria" w:cs="Cambria" w:eastAsia="Cambria" w:hAnsi="Cambria"/>
          <w:sz w:val="26"/>
          <w:szCs w:val="26"/>
        </w:rPr>
        <w:t xml:space="preserve">Connor Smirl</w:t>
      </w:r>
    </w:p>
    <w:p>
      <w:pPr>
        <w:spacing w:after="80"/>
        <w:jc w:val="center"/>
      </w:pPr>
      <w:r>
        <w:rPr>
          <w:rFonts w:ascii="Cambria" w:cs="Cambria" w:eastAsia="Cambria" w:hAnsi="Cambria"/>
          <w:i/>
          <w:iCs/>
          <w:sz w:val="22"/>
          <w:szCs w:val="22"/>
        </w:rPr>
        <w:t xml:space="preserve">Department of Economics, Tufts University</w:t>
      </w:r>
    </w:p>
    <w:p>
      <w:pPr>
        <w:spacing w:after="400"/>
        <w:jc w:val="center"/>
      </w:pPr>
      <w:r>
        <w:rPr>
          <w:rFonts w:ascii="Cambria" w:cs="Cambria" w:eastAsia="Cambria" w:hAnsi="Cambria"/>
          <w:sz w:val="22"/>
          <w:szCs w:val="22"/>
        </w:rPr>
        <w:t xml:space="preserve">February 2026</w:t>
      </w:r>
    </w:p>
    <w:p>
      <w:pPr>
        <w:spacing w:after="80"/>
        <w:jc w:val="center"/>
      </w:pPr>
      <w:r>
        <w:rPr>
          <w:rFonts w:ascii="Cambria" w:cs="Cambria" w:eastAsia="Cambria" w:hAnsi="Cambria"/>
          <w:b/>
          <w:bCs/>
          <w:sz w:val="22"/>
          <w:szCs w:val="22"/>
        </w:rPr>
        <w:t xml:space="preserve">Working Paper</w:t>
      </w:r>
    </w:p>
    <w:p>
      <w:pPr>
        <w:spacing w:after="80"/>
      </w:pPr>
    </w:p>
    <w:p>
      <w:pPr>
        <w:spacing w:after="80"/>
      </w:pPr>
    </w:p>
    <w:p>
      <w:pPr>
        <w:spacing w:after="80"/>
      </w:pPr>
    </w:p>
    <w:p>
      <w:pPr>
        <w:spacing w:after="0"/>
        <w:jc w:val="center"/>
      </w:pPr>
      <w:r>
        <w:rPr>
          <w:rFonts w:ascii="Cambria" w:cs="Cambria" w:eastAsia="Cambria" w:hAnsi="Cambria"/>
          <w:color w:val="666666"/>
          <w:sz w:val="19"/>
          <w:szCs w:val="19"/>
        </w:rPr>
        <w:t xml:space="preserve">Data repository: github.com/[forthcoming]</w:t>
      </w:r>
    </w:p>
    <w:p>
      <w:r>
        <w:rPr>
          <w:rFonts w:ascii="Cambria" w:cs="Cambria" w:eastAsia="Cambria" w:hAnsi="Cambria"/>
          <w:sz w:val="23"/>
          <w:szCs w:val="23"/>
        </w:rPr>
        <w:t xml:space="preserve"/>
      </w:r>
      <w:r>
        <w:r>
          <w:br w:type="page"/>
        </w:r>
      </w:r>
    </w:p>
    <w:p>
      <w:pPr>
        <w:pStyle w:val="Heading1"/>
        <w:spacing w:before="400" w:after="200"/>
      </w:pPr>
      <w:r>
        <w:rPr>
          <w:rFonts w:ascii="Cambria" w:cs="Cambria" w:eastAsia="Cambria" w:hAnsi="Cambria"/>
          <w:b/>
          <w:bCs/>
          <w:sz w:val="32"/>
          <w:szCs w:val="32"/>
        </w:rPr>
        <w:t xml:space="preserve">Abstract</w:t>
      </w:r>
    </w:p>
    <w:p>
      <w:pPr>
        <w:spacing w:after="160" w:line="360"/>
        <w:jc w:val="both"/>
      </w:pPr>
      <w:r>
        <w:rPr>
          <w:rFonts w:ascii="Cambria" w:cs="Cambria" w:eastAsia="Cambria" w:hAnsi="Cambria"/>
          <w:sz w:val="23"/>
          <w:szCs w:val="23"/>
        </w:rPr>
        <w:t xml:space="preserve">This paper identifies and formalizes </w:t>
      </w:r>
      <w:r>
        <w:rPr>
          <w:rFonts w:ascii="Cambria" w:cs="Cambria" w:eastAsia="Cambria" w:hAnsi="Cambria"/>
          <w:i/>
          <w:iCs/>
          <w:sz w:val="23"/>
          <w:szCs w:val="23"/>
        </w:rPr>
        <w:t xml:space="preserve">endogenous decentralization</w:t>
      </w:r>
      <w:r>
        <w:rPr>
          <w:rFonts w:ascii="Cambria" w:cs="Cambria" w:eastAsia="Cambria" w:hAnsi="Cambria"/>
          <w:sz w:val="23"/>
          <w:szCs w:val="23"/>
        </w:rPr>
        <w:t xml:space="preserve">: a mechanism by which concentrated capital investment in centralized infrastructure finances the learning curves that enable distributed alternatives. The mechanism operates through three stages: (1) centralized firms invest to capture scale economies, driving cumulative production along component learning curves; (2) component costs fall below thresholds enabling recombination into distributed architectures; (3) distributed networks form mesh structures exhibiting network externalities that exceed the centralized paradigm’s value capture. Unlike standard learning-by-doing (Arrow, 1962) where cost reduction benefits the same production paradigm, endogenous decentralization produces </w:t>
      </w:r>
      <w:r>
        <w:rPr>
          <w:rFonts w:ascii="Cambria" w:cs="Cambria" w:eastAsia="Cambria" w:hAnsi="Cambria"/>
          <w:i/>
          <w:iCs/>
          <w:sz w:val="23"/>
          <w:szCs w:val="23"/>
        </w:rPr>
        <w:t xml:space="preserve">architectural substitution</w:t>
      </w:r>
      <w:r>
        <w:rPr>
          <w:rFonts w:ascii="Cambria" w:cs="Cambria" w:eastAsia="Cambria" w:hAnsi="Cambria"/>
          <w:sz w:val="23"/>
          <w:szCs w:val="23"/>
        </w:rPr>
        <w:t xml:space="preserve">—the learning investments finance a different organizational form.</w:t>
      </w:r>
    </w:p>
    <w:p>
      <w:pPr>
        <w:spacing w:after="160" w:line="360"/>
        <w:jc w:val="both"/>
      </w:pPr>
      <w:r>
        <w:rPr>
          <w:rFonts w:ascii="Cambria" w:cs="Cambria" w:eastAsia="Cambria" w:hAnsi="Cambria"/>
          <w:sz w:val="23"/>
          <w:szCs w:val="23"/>
        </w:rPr>
        <w:t xml:space="preserve">I develop the theory using the current AI infrastructure buildout as the primary empirical domain, supported by 41 years of DRAM pricing data (1984–2024, α = 0.22, R² = 0.96), a consumer silicon capability trajectory spanning 24 device generations, and $1.3 trillion in cumulative hyperscaler capital expenditure from SEC filings. The data show HBM memory costs declining from $120/GB (2015) to $12/GB (2025) along a learning rate of α = 0.23, with consumer devices projected to cross the critical capability threshold—running 70B-parameter models at 20+ tokens/second under $1,500—by 2028–2030. A key empirical finding: the Rockchip RK1828 (2025, $75), using HBM-derived 3D stacked DRAM, already runs 7B-parameter models at 59–180 tokens/second—achieving 93M parameters/dollar, twice the cost-efficiency projected for the 2028 crossing year. This reveals that the binding constraint for distributed AI is memory capacity per device, not compute cost per parameter. Historical parallels in mainframe-to-PC (1975–1995) and ARPANET-to-Internet (1969–1995) transitions exhibit statistically consistent learning parameters (α ∈ [0.18, 0.25]). Stablecoin settlement volumes reaching $3.9 trillion quarterly (2025-Q1) and tokenized Treasury AUM growing from $0.1B to $3.8B (2023–2025) provide cross-domain generality validation in the monetary system.</w:t>
      </w:r>
    </w:p>
    <w:p>
      <w:pPr>
        <w:spacing w:after="160" w:line="360"/>
        <w:jc w:val="both"/>
      </w:pPr>
      <w:r>
        <w:rPr>
          <w:rFonts w:ascii="Cambria" w:cs="Cambria" w:eastAsia="Cambria" w:hAnsi="Cambria"/>
          <w:sz w:val="23"/>
          <w:szCs w:val="23"/>
        </w:rPr>
        <w:t xml:space="preserve">The formal model characterizes a differential game in which competing centralized firms, each maximizing individual rents, produce Nash-equilibrium overinvestment that collectively accelerates the crossing time T* beyond what any firm would individually prefer. Five falsifiable predictions with specific timing are offered.</w:t>
      </w:r>
    </w:p>
    <w:p>
      <w:pPr>
        <w:spacing w:after="160" w:line="360"/>
        <w:jc w:val="both"/>
      </w:pPr>
      <w:r>
        <w:rPr>
          <w:rFonts w:ascii="Cambria" w:cs="Cambria" w:eastAsia="Cambria" w:hAnsi="Cambria"/>
          <w:b/>
          <w:bCs/>
          <w:sz w:val="23"/>
          <w:szCs w:val="23"/>
        </w:rPr>
        <w:t xml:space="preserve">Keywords: </w:t>
      </w:r>
      <w:r>
        <w:rPr>
          <w:rFonts w:ascii="Cambria" w:cs="Cambria" w:eastAsia="Cambria" w:hAnsi="Cambria"/>
          <w:sz w:val="23"/>
          <w:szCs w:val="23"/>
        </w:rPr>
        <w:t xml:space="preserve">endogenous decentralization, learning curves, component migration, Nash equilibrium, architectural substitution, AI infrastructure, stablecoins</w:t>
      </w:r>
    </w:p>
    <w:p>
      <w:pPr>
        <w:spacing w:after="160" w:line="360"/>
        <w:jc w:val="both"/>
      </w:pPr>
      <w:r>
        <w:rPr>
          <w:rFonts w:ascii="Cambria" w:cs="Cambria" w:eastAsia="Cambria" w:hAnsi="Cambria"/>
          <w:b/>
          <w:bCs/>
          <w:sz w:val="23"/>
          <w:szCs w:val="23"/>
        </w:rPr>
        <w:t xml:space="preserve">JEL: </w:t>
      </w:r>
      <w:r>
        <w:rPr>
          <w:rFonts w:ascii="Cambria" w:cs="Cambria" w:eastAsia="Cambria" w:hAnsi="Cambria"/>
          <w:sz w:val="23"/>
          <w:szCs w:val="23"/>
        </w:rPr>
        <w:t xml:space="preserve">O33, L16, D43, E42, G23</w:t>
      </w:r>
    </w:p>
    <w:p>
      <w:pPr>
        <w:spacing w:after="160" w:line="360"/>
        <w:jc w:val="both"/>
      </w:pPr>
      <w:r>
        <w:rPr>
          <w:rFonts w:ascii="Cambria" w:cs="Cambria" w:eastAsia="Cambria" w:hAnsi="Cambria"/>
          <w:sz w:val="23"/>
          <w:szCs w:val="23"/>
        </w:rPr>
        <w:t xml:space="default"/>
      </w:r>
    </w:p>
    <w:p>
      <w:pPr>
        <w:pStyle w:val="Heading1"/>
        <w:spacing w:before="400" w:after="200"/>
      </w:pPr>
      <w:r>
        <w:rPr>
          <w:rFonts w:ascii="Cambria" w:cs="Cambria" w:eastAsia="Cambria" w:hAnsi="Cambria"/>
          <w:b/>
          <w:bCs/>
          <w:sz w:val="32"/>
          <w:szCs w:val="32"/>
        </w:rPr>
        <w:t xml:space="preserve">1. Introduction</w:t>
      </w:r>
    </w:p>
    <w:p>
      <w:pPr>
        <w:spacing w:after="160" w:line="360"/>
        <w:jc w:val="both"/>
      </w:pPr>
      <w:r>
        <w:rPr>
          <w:rFonts w:ascii="Cambria" w:cs="Cambria" w:eastAsia="Cambria" w:hAnsi="Cambria"/>
          <w:sz w:val="23"/>
          <w:szCs w:val="23"/>
        </w:rPr>
        <w:t xml:space="preserve">Between 2018 and 2025, the five largest technology companies—Microsoft, Alphabet, Amazon, Meta, and NVIDIA—together with Oracle and the Stargate joint venture, committed an estimated $1.3 trillion in cumulative capital expenditure to construct centralized AI infrastructure (Table 1). Microsoft alone guided $80 billion for fiscal year 2025; Amazon indicated $100 billion or more; the Stargate consortium announced $100 billion initially with $500 billion over four years. This represents the largest concentrated infrastructure investment in history outside wartime mobilization.</w:t>
      </w:r>
    </w:p>
    <w:p>
      <w:pPr>
        <w:spacing w:after="160" w:line="360"/>
        <w:jc w:val="both"/>
      </w:pPr>
      <w:r>
        <w:rPr>
          <w:rFonts w:ascii="Cambria" w:cs="Cambria" w:eastAsia="Cambria" w:hAnsi="Cambria"/>
          <w:sz w:val="23"/>
          <w:szCs w:val="23"/>
        </w:rPr>
        <w:t xml:space="preserve">This paper argues that this investment is </w:t>
      </w:r>
      <w:r>
        <w:rPr>
          <w:rFonts w:ascii="Cambria" w:cs="Cambria" w:eastAsia="Cambria" w:hAnsi="Cambria"/>
          <w:i/>
          <w:iCs/>
          <w:sz w:val="23"/>
          <w:szCs w:val="23"/>
        </w:rPr>
        <w:t xml:space="preserve">endogenously self-disrupting</w:t>
      </w:r>
      <w:r>
        <w:rPr>
          <w:rFonts w:ascii="Cambria" w:cs="Cambria" w:eastAsia="Cambria" w:hAnsi="Cambria"/>
          <w:sz w:val="23"/>
          <w:szCs w:val="23"/>
        </w:rPr>
        <w:t xml:space="preserve">: the very act of building centralized AI datacenters finances the component learning curves—particularly in high-bandwidth memory (HBM), model compression, and advanced packaging—that will enable distributed alternatives to replicate datacenter-class inference on consumer devices. The mechanism is not novel in economics but has not been previously formalized: concentrated capital investment drives cumulative production, cumulative production reduces component costs along measurable learning curves, and cost reduction enables architectural recombination into distributed systems that form network-effect meshes exceeding the centralized paradigm’s value.</w:t>
      </w:r>
    </w:p>
    <w:p>
      <w:pPr>
        <w:spacing w:after="160" w:line="360"/>
        <w:jc w:val="both"/>
      </w:pPr>
      <w:r>
        <w:rPr>
          <w:rFonts w:ascii="Cambria" w:cs="Cambria" w:eastAsia="Cambria" w:hAnsi="Cambria"/>
          <w:sz w:val="23"/>
          <w:szCs w:val="23"/>
        </w:rPr>
        <w:t xml:space="preserve">The contribution is distinguishing this mechanism from three adjacent literatures. Unlike Arrow’s (1962) learning-by-doing, where cost reduction benefits the </w:t>
      </w:r>
      <w:r>
        <w:rPr>
          <w:rFonts w:ascii="Cambria" w:cs="Cambria" w:eastAsia="Cambria" w:hAnsi="Cambria"/>
          <w:i/>
          <w:iCs/>
          <w:sz w:val="23"/>
          <w:szCs w:val="23"/>
        </w:rPr>
        <w:t xml:space="preserve">same</w:t>
      </w:r>
      <w:r>
        <w:rPr>
          <w:rFonts w:ascii="Cambria" w:cs="Cambria" w:eastAsia="Cambria" w:hAnsi="Cambria"/>
          <w:sz w:val="23"/>
          <w:szCs w:val="23"/>
        </w:rPr>
        <w:t xml:space="preserve"> production paradigm, endogenous decentralization produces </w:t>
      </w:r>
      <w:r>
        <w:rPr>
          <w:rFonts w:ascii="Cambria" w:cs="Cambria" w:eastAsia="Cambria" w:hAnsi="Cambria"/>
          <w:i/>
          <w:iCs/>
          <w:sz w:val="23"/>
          <w:szCs w:val="23"/>
        </w:rPr>
        <w:t xml:space="preserve">cross-paradigm</w:t>
      </w:r>
      <w:r>
        <w:rPr>
          <w:rFonts w:ascii="Cambria" w:cs="Cambria" w:eastAsia="Cambria" w:hAnsi="Cambria"/>
          <w:sz w:val="23"/>
          <w:szCs w:val="23"/>
        </w:rPr>
        <w:t xml:space="preserve"> learning: investment in centralized architecture finances components that enable a </w:t>
      </w:r>
      <w:r>
        <w:rPr>
          <w:rFonts w:ascii="Cambria" w:cs="Cambria" w:eastAsia="Cambria" w:hAnsi="Cambria"/>
          <w:i/>
          <w:iCs/>
          <w:sz w:val="23"/>
          <w:szCs w:val="23"/>
        </w:rPr>
        <w:t xml:space="preserve">different</w:t>
      </w:r>
      <w:r>
        <w:rPr>
          <w:rFonts w:ascii="Cambria" w:cs="Cambria" w:eastAsia="Cambria" w:hAnsi="Cambria"/>
          <w:sz w:val="23"/>
          <w:szCs w:val="23"/>
        </w:rPr>
        <w:t xml:space="preserve"> architecture. Unlike Bresnahan and Trajtenberg’s (1995) general-purpose technology spillovers, where a technology enables applications across sectors, this mechanism enables the technology’s own </w:t>
      </w:r>
      <w:r>
        <w:rPr>
          <w:rFonts w:ascii="Cambria" w:cs="Cambria" w:eastAsia="Cambria" w:hAnsi="Cambria"/>
          <w:i/>
          <w:iCs/>
          <w:sz w:val="23"/>
          <w:szCs w:val="23"/>
        </w:rPr>
        <w:t xml:space="preserve">architectural replacement</w:t>
      </w:r>
      <w:r>
        <w:rPr>
          <w:rFonts w:ascii="Cambria" w:cs="Cambria" w:eastAsia="Cambria" w:hAnsi="Cambria"/>
          <w:sz w:val="23"/>
          <w:szCs w:val="23"/>
        </w:rPr>
        <w:t xml:space="preserve">. Unlike Schumpeter’s (1942) creative destruction, where displacement comes from </w:t>
      </w:r>
      <w:r>
        <w:rPr>
          <w:rFonts w:ascii="Cambria" w:cs="Cambria" w:eastAsia="Cambria" w:hAnsi="Cambria"/>
          <w:i/>
          <w:iCs/>
          <w:sz w:val="23"/>
          <w:szCs w:val="23"/>
        </w:rPr>
        <w:t xml:space="preserve">external</w:t>
      </w:r>
      <w:r>
        <w:rPr>
          <w:rFonts w:ascii="Cambria" w:cs="Cambria" w:eastAsia="Cambria" w:hAnsi="Cambria"/>
          <w:sz w:val="23"/>
          <w:szCs w:val="23"/>
        </w:rPr>
        <w:t xml:space="preserve"> entrants, the disruption here is financed </w:t>
      </w:r>
      <w:r>
        <w:rPr>
          <w:rFonts w:ascii="Cambria" w:cs="Cambria" w:eastAsia="Cambria" w:hAnsi="Cambria"/>
          <w:i/>
          <w:iCs/>
          <w:sz w:val="23"/>
          <w:szCs w:val="23"/>
        </w:rPr>
        <w:t xml:space="preserve">by the incumbent’s own investment</w:t>
      </w:r>
      <w:r>
        <w:rPr>
          <w:rFonts w:ascii="Cambria" w:cs="Cambria" w:eastAsia="Cambria" w:hAnsi="Cambria"/>
          <w:sz w:val="23"/>
          <w:szCs w:val="23"/>
        </w:rPr>
        <w:t xml:space="preserve">.</w:t>
      </w:r>
    </w:p>
    <w:p>
      <w:pPr>
        <w:spacing w:after="160" w:line="360"/>
        <w:jc w:val="both"/>
      </w:pPr>
      <w:r>
        <w:rPr>
          <w:rFonts w:ascii="Cambria" w:cs="Cambria" w:eastAsia="Cambria" w:hAnsi="Cambria"/>
          <w:sz w:val="23"/>
          <w:szCs w:val="23"/>
        </w:rPr>
        <w:t xml:space="preserve">The paper is organized as follows. Section 2 develops the theoretical mechanism. Section 3 presents the primary empirical domain—AI semiconductor infrastructure—using 41 years of DRAM learning curve data, HBM cost trajectories, hyperscaler capex records, and a consumer silicon capability timeline. Section 4 validates parameter consistency across historical episodes (mainframe→PC, ARPANET→Internet). Section 5 extends the framework to monetary systems as cross-domain generality evidence. Section 6 presents the formal differential game model. Section 7 offers five falsifiable predictions with timing. Section 8 concludes.</w:t>
      </w:r>
    </w:p>
    <w:p>
      <w:pPr>
        <w:spacing w:after="80"/>
      </w:pPr>
    </w:p>
    <w:p>
      <w:pPr>
        <w:pStyle w:val="Heading1"/>
        <w:spacing w:before="400" w:after="200"/>
      </w:pPr>
      <w:r>
        <w:rPr>
          <w:rFonts w:ascii="Cambria" w:cs="Cambria" w:eastAsia="Cambria" w:hAnsi="Cambria"/>
          <w:b/>
          <w:bCs/>
          <w:sz w:val="32"/>
          <w:szCs w:val="32"/>
        </w:rPr>
        <w:t xml:space="preserve">2. The Endogenous Decentralization Mechanism</w:t>
      </w:r>
    </w:p>
    <w:p>
      <w:pPr>
        <w:pStyle w:val="Heading2"/>
        <w:spacing w:before="300" w:after="160"/>
      </w:pPr>
      <w:r>
        <w:rPr>
          <w:rFonts w:ascii="Cambria" w:cs="Cambria" w:eastAsia="Cambria" w:hAnsi="Cambria"/>
          <w:b/>
          <w:bCs/>
          <w:sz w:val="28"/>
          <w:szCs w:val="28"/>
        </w:rPr>
        <w:t xml:space="preserve">2.1 Three-Stage Structure</w:t>
      </w:r>
    </w:p>
    <w:p>
      <w:pPr>
        <w:spacing w:after="160" w:line="360"/>
        <w:jc w:val="both"/>
      </w:pPr>
      <w:r>
        <w:rPr>
          <w:rFonts w:ascii="Cambria" w:cs="Cambria" w:eastAsia="Cambria" w:hAnsi="Cambria"/>
          <w:sz w:val="23"/>
          <w:szCs w:val="23"/>
        </w:rPr>
        <w:t xml:space="preserve">The mechanism operates through three stages, each producing observable state variables that enable empirical testing.</w:t>
      </w:r>
    </w:p>
    <w:p>
      <w:pPr>
        <w:spacing w:after="160" w:line="360"/>
        <w:jc w:val="both"/>
      </w:pPr>
      <w:r>
        <w:rPr>
          <w:rFonts w:ascii="Cambria" w:cs="Cambria" w:eastAsia="Cambria" w:hAnsi="Cambria"/>
          <w:b/>
          <w:bCs/>
          <w:sz w:val="23"/>
          <w:szCs w:val="23"/>
        </w:rPr>
        <w:t xml:space="preserve">Stage 1: Centralized Investment. </w:t>
      </w:r>
      <w:r>
        <w:rPr>
          <w:rFonts w:ascii="Cambria" w:cs="Cambria" w:eastAsia="Cambria" w:hAnsi="Cambria"/>
          <w:sz w:val="23"/>
          <w:szCs w:val="23"/>
        </w:rPr>
        <w:t xml:space="preserve">Firms with market power invest I(t) in centralized infrastructure to capture scale economies. In the semiconductor domain, this investment produces cumulative DRAM and HBM production Q(t). The investment is motivated by standard rent-seeking: firms expect returns from centralized service provision (cloud inference, API access) that justify the capital outlay. This stage is fully consistent with standard industrial organization—no new theory is required to explain why firms invest.</w:t>
      </w:r>
    </w:p>
    <w:p>
      <w:pPr>
        <w:spacing w:after="160" w:line="360"/>
        <w:jc w:val="both"/>
      </w:pPr>
      <w:r>
        <w:rPr>
          <w:rFonts w:ascii="Cambria" w:cs="Cambria" w:eastAsia="Cambria" w:hAnsi="Cambria"/>
          <w:b/>
          <w:bCs/>
          <w:sz w:val="23"/>
          <w:szCs w:val="23"/>
        </w:rPr>
        <w:t xml:space="preserve">Stage 2: Component Cost Decline. </w:t>
      </w:r>
      <w:r>
        <w:rPr>
          <w:rFonts w:ascii="Cambria" w:cs="Cambria" w:eastAsia="Cambria" w:hAnsi="Cambria"/>
          <w:sz w:val="23"/>
          <w:szCs w:val="23"/>
        </w:rPr>
        <w:t xml:space="preserve">Cumulative production drives unit costs along Wright’s (1936) learning curve:</w:t>
      </w:r>
    </w:p>
    <w:p>
      <w:pPr>
        <w:spacing w:before="200" w:after="200"/>
        <w:jc w:val="center"/>
      </w:pPr>
      <w:r>
        <w:rPr>
          <w:rFonts w:ascii="Cambria Math" w:cs="Cambria Math" w:eastAsia="Cambria Math" w:hAnsi="Cambria Math"/>
          <w:sz w:val="23"/>
          <w:szCs w:val="23"/>
        </w:rPr>
        <w:t xml:space="preserve">c(Q) = c₀ · Q^(–α)</w:t>
      </w:r>
      <w:r>
        <w:rPr>
          <w:rFonts w:ascii="Cambria" w:cs="Cambria" w:eastAsia="Cambria" w:hAnsi="Cambria"/>
          <w:color w:val="666666"/>
          <w:sz w:val="18"/>
          <w:szCs w:val="18"/>
        </w:rPr>
        <w:t xml:space="preserve">     (1)</w:t>
      </w:r>
    </w:p>
    <w:p>
      <w:pPr>
        <w:spacing w:after="160" w:line="360"/>
        <w:jc w:val="both"/>
      </w:pPr>
      <w:r>
        <w:rPr>
          <w:rFonts w:ascii="Cambria" w:cs="Cambria" w:eastAsia="Cambria" w:hAnsi="Cambria"/>
          <w:sz w:val="23"/>
          <w:szCs w:val="23"/>
        </w:rPr>
        <w:t xml:space="preserve">where α is the learning elasticity. For DRAM memory, 41 years of price-quantity data yield α = 0.22 (SE = 0.03, R² = 0.96)—see Section 3.1 and Table 2. The critical property is that α is a </w:t>
      </w:r>
      <w:r>
        <w:rPr>
          <w:rFonts w:ascii="Cambria" w:cs="Cambria" w:eastAsia="Cambria" w:hAnsi="Cambria"/>
          <w:i/>
          <w:iCs/>
          <w:sz w:val="23"/>
          <w:szCs w:val="23"/>
        </w:rPr>
        <w:t xml:space="preserve">technology</w:t>
      </w:r>
      <w:r>
        <w:rPr>
          <w:rFonts w:ascii="Cambria" w:cs="Cambria" w:eastAsia="Cambria" w:hAnsi="Cambria"/>
          <w:sz w:val="23"/>
          <w:szCs w:val="23"/>
        </w:rPr>
        <w:t xml:space="preserve"> parameter, not a </w:t>
      </w:r>
      <w:r>
        <w:rPr>
          <w:rFonts w:ascii="Cambria" w:cs="Cambria" w:eastAsia="Cambria" w:hAnsi="Cambria"/>
          <w:i/>
          <w:iCs/>
          <w:sz w:val="23"/>
          <w:szCs w:val="23"/>
        </w:rPr>
        <w:t xml:space="preserve">firm</w:t>
      </w:r>
      <w:r>
        <w:rPr>
          <w:rFonts w:ascii="Cambria" w:cs="Cambria" w:eastAsia="Cambria" w:hAnsi="Cambria"/>
          <w:sz w:val="23"/>
          <w:szCs w:val="23"/>
        </w:rPr>
        <w:t xml:space="preserve"> parameter: learning embodied in manufacturing process improvements and design knowledge transfers across applications. HBM developed for datacenter GPUs uses the same DRAM die stacking and through-silicon via (TSV) technology that can be adapted for consumer packaging.</w:t>
      </w:r>
    </w:p>
    <w:p>
      <w:pPr>
        <w:spacing w:after="160" w:line="360"/>
        <w:jc w:val="both"/>
      </w:pPr>
      <w:r>
        <w:rPr>
          <w:rFonts w:ascii="Cambria" w:cs="Cambria" w:eastAsia="Cambria" w:hAnsi="Cambria"/>
          <w:b/>
          <w:bCs/>
          <w:sz w:val="23"/>
          <w:szCs w:val="23"/>
        </w:rPr>
        <w:t xml:space="preserve">Stage 3: Architectural Recombination. </w:t>
      </w:r>
      <w:r>
        <w:rPr>
          <w:rFonts w:ascii="Cambria" w:cs="Cambria" w:eastAsia="Cambria" w:hAnsi="Cambria"/>
          <w:sz w:val="23"/>
          <w:szCs w:val="23"/>
        </w:rPr>
        <w:t xml:space="preserve">When component costs cross a threshold c*, the same components can be recombined into distributed architectures. These distributed systems exhibit network externalities:</w:t>
      </w:r>
    </w:p>
    <w:p>
      <w:pPr>
        <w:spacing w:before="200" w:after="200"/>
        <w:jc w:val="center"/>
      </w:pPr>
      <w:r>
        <w:rPr>
          <w:rFonts w:ascii="Cambria Math" w:cs="Cambria Math" w:eastAsia="Cambria Math" w:hAnsi="Cambria Math"/>
          <w:sz w:val="23"/>
          <w:szCs w:val="23"/>
        </w:rPr>
        <w:t xml:space="preserve">V_mesh(n) = v · n^γ,  γ &gt; 1</w:t>
      </w:r>
      <w:r>
        <w:rPr>
          <w:rFonts w:ascii="Cambria" w:cs="Cambria" w:eastAsia="Cambria" w:hAnsi="Cambria"/>
          <w:color w:val="666666"/>
          <w:sz w:val="18"/>
          <w:szCs w:val="18"/>
        </w:rPr>
        <w:t xml:space="preserve">     (2)</w:t>
      </w:r>
    </w:p>
    <w:p>
      <w:pPr>
        <w:spacing w:after="160" w:line="360"/>
        <w:jc w:val="both"/>
      </w:pPr>
      <w:r>
        <w:rPr>
          <w:rFonts w:ascii="Cambria" w:cs="Cambria" w:eastAsia="Cambria" w:hAnsi="Cambria"/>
          <w:sz w:val="23"/>
          <w:szCs w:val="23"/>
        </w:rPr>
        <w:t xml:space="preserve">where n is the number of connected nodes and γ captures the superlinearity of value (Metcalfe scaling implies γ = 2; empirical estimates from PC software ecosystem data suggest γ ≈ 0.99–1.0, approximately linear to weakly superlinear). The centralized system’s value scales at most linearly in capacity. Beyond a crossing time T*, V</w:t>
      </w:r>
      <w:r>
        <w:rPr>
          <w:rFonts w:ascii="Cambria" w:cs="Cambria" w:eastAsia="Cambria" w:hAnsi="Cambria"/>
          <w:sz w:val="23"/>
          <w:szCs w:val="23"/>
          <w:vertAlign w:val="subscript"/>
        </w:rPr>
        <w:t xml:space="preserve">mesh</w:t>
      </w:r>
      <w:r>
        <w:rPr>
          <w:rFonts w:ascii="Cambria" w:cs="Cambria" w:eastAsia="Cambria" w:hAnsi="Cambria"/>
          <w:sz w:val="23"/>
          <w:szCs w:val="23"/>
        </w:rPr>
        <w:t xml:space="preserve"> &gt; V</w:t>
      </w:r>
      <w:r>
        <w:rPr>
          <w:rFonts w:ascii="Cambria" w:cs="Cambria" w:eastAsia="Cambria" w:hAnsi="Cambria"/>
          <w:sz w:val="23"/>
          <w:szCs w:val="23"/>
          <w:vertAlign w:val="subscript"/>
        </w:rPr>
        <w:t xml:space="preserve">centralized</w:t>
      </w:r>
      <w:r>
        <w:rPr>
          <w:rFonts w:ascii="Cambria" w:cs="Cambria" w:eastAsia="Cambria" w:hAnsi="Cambria"/>
          <w:sz w:val="23"/>
          <w:szCs w:val="23"/>
        </w:rPr>
        <w:t xml:space="preserve">, and the distributed paradigm dominates.</w:t>
      </w:r>
    </w:p>
    <w:p>
      <w:pPr>
        <w:pStyle w:val="Heading2"/>
        <w:spacing w:before="300" w:after="160"/>
      </w:pPr>
      <w:r>
        <w:rPr>
          <w:rFonts w:ascii="Cambria" w:cs="Cambria" w:eastAsia="Cambria" w:hAnsi="Cambria"/>
          <w:b/>
          <w:bCs/>
          <w:sz w:val="28"/>
          <w:szCs w:val="28"/>
        </w:rPr>
        <w:t xml:space="preserve">2.2 The Self-Undermining Investment Property</w:t>
      </w:r>
    </w:p>
    <w:p>
      <w:pPr>
        <w:spacing w:after="160" w:line="360"/>
        <w:jc w:val="both"/>
      </w:pPr>
      <w:r>
        <w:rPr>
          <w:rFonts w:ascii="Cambria" w:cs="Cambria" w:eastAsia="Cambria" w:hAnsi="Cambria"/>
          <w:sz w:val="23"/>
          <w:szCs w:val="23"/>
        </w:rPr>
        <w:t xml:space="preserve">The mechanism’s distinctive feature is that each stage </w:t>
      </w:r>
      <w:r>
        <w:rPr>
          <w:rFonts w:ascii="Cambria" w:cs="Cambria" w:eastAsia="Cambria" w:hAnsi="Cambria"/>
          <w:i/>
          <w:iCs/>
          <w:sz w:val="23"/>
          <w:szCs w:val="23"/>
        </w:rPr>
        <w:t xml:space="preserve">causally enables</w:t>
      </w:r>
      <w:r>
        <w:rPr>
          <w:rFonts w:ascii="Cambria" w:cs="Cambria" w:eastAsia="Cambria" w:hAnsi="Cambria"/>
          <w:sz w:val="23"/>
          <w:szCs w:val="23"/>
        </w:rPr>
        <w:t xml:space="preserve"> the next, and the final stage undermines the first. This creates a self-undermining investment property that distinguishes endogenous decentralization from all adjacent theoretical frameworks:</w:t>
      </w:r>
    </w:p>
    <w:p>
      <w:pPr>
        <w:spacing w:after="160" w:line="360"/>
        <w:jc w:val="both"/>
      </w:pPr>
      <w:r>
        <w:rPr>
          <w:rFonts w:ascii="Cambria" w:cs="Cambria" w:eastAsia="Cambria" w:hAnsi="Cambria"/>
          <w:sz w:val="23"/>
          <w:szCs w:val="23"/>
        </w:rPr>
        <w:t xml:space="preserve">Define the crossing time T* as the first date at which distributed architecture cost-performance matches centralized provision for the marginal user. Then:</w:t>
      </w:r>
    </w:p>
    <w:p>
      <w:pPr>
        <w:spacing w:before="200" w:after="200"/>
        <w:jc w:val="center"/>
      </w:pPr>
      <w:r>
        <w:rPr>
          <w:rFonts w:ascii="Cambria Math" w:cs="Cambria Math" w:eastAsia="Cambria Math" w:hAnsi="Cambria Math"/>
          <w:sz w:val="23"/>
          <w:szCs w:val="23"/>
        </w:rPr>
        <w:t xml:space="preserve">∂T*/∂I &lt; 0</w:t>
      </w:r>
      <w:r>
        <w:rPr>
          <w:rFonts w:ascii="Cambria" w:cs="Cambria" w:eastAsia="Cambria" w:hAnsi="Cambria"/>
          <w:color w:val="666666"/>
          <w:sz w:val="18"/>
          <w:szCs w:val="18"/>
        </w:rPr>
        <w:t xml:space="preserve">     (3)</w:t>
      </w:r>
    </w:p>
    <w:p>
      <w:pPr>
        <w:spacing w:after="160" w:line="360"/>
        <w:jc w:val="both"/>
      </w:pPr>
      <w:r>
        <w:rPr>
          <w:rFonts w:ascii="Cambria" w:cs="Cambria" w:eastAsia="Cambria" w:hAnsi="Cambria"/>
          <w:sz w:val="23"/>
          <w:szCs w:val="23"/>
        </w:rPr>
        <w:t xml:space="preserve">Increased centralized investment </w:t>
      </w:r>
      <w:r>
        <w:rPr>
          <w:rFonts w:ascii="Cambria" w:cs="Cambria" w:eastAsia="Cambria" w:hAnsi="Cambria"/>
          <w:i/>
          <w:iCs/>
          <w:sz w:val="23"/>
          <w:szCs w:val="23"/>
        </w:rPr>
        <w:t xml:space="preserve">accelerates</w:t>
      </w:r>
      <w:r>
        <w:rPr>
          <w:rFonts w:ascii="Cambria" w:cs="Cambria" w:eastAsia="Cambria" w:hAnsi="Cambria"/>
          <w:sz w:val="23"/>
          <w:szCs w:val="23"/>
        </w:rPr>
        <w:t xml:space="preserve"> the date of the centralized paradigm’s own displacement. This is the paper’s core result. It is not a paradox—it follows directly from the learning curve’s dependence on cumulative production—but it has not been formalized in the existing literature.</w:t>
      </w:r>
    </w:p>
    <w:p>
      <w:pPr>
        <w:pStyle w:val="Heading2"/>
        <w:spacing w:before="300" w:after="160"/>
      </w:pPr>
      <w:r>
        <w:rPr>
          <w:rFonts w:ascii="Cambria" w:cs="Cambria" w:eastAsia="Cambria" w:hAnsi="Cambria"/>
          <w:b/>
          <w:bCs/>
          <w:sz w:val="28"/>
          <w:szCs w:val="28"/>
        </w:rPr>
        <w:t xml:space="preserve">2.3 Distinction from Adjacent Theory</w:t>
      </w:r>
    </w:p>
    <w:p>
      <w:pPr>
        <w:spacing w:after="160" w:line="360"/>
        <w:jc w:val="both"/>
      </w:pPr>
      <w:r>
        <w:rPr>
          <w:rFonts w:ascii="Cambria" w:cs="Cambria" w:eastAsia="Cambria" w:hAnsi="Cambria"/>
          <w:sz w:val="23"/>
          <w:szCs w:val="23"/>
        </w:rPr>
        <w:t xml:space="preserve">Table 1 summarizes how endogenous decentralization relates to the four most relevant theoretical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920"/>
        <w:gridCol w:w="2040"/>
      </w:tblGrid>
      <w:tr>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Cambria" w:cs="Cambria" w:eastAsia="Cambria" w:hAnsi="Cambria"/>
                <w:b/>
                <w:bCs/>
                <w:color w:val="FFFFFF"/>
                <w:sz w:val="19"/>
                <w:szCs w:val="19"/>
              </w:rPr>
              <w:t xml:space="preserve">Framework</w:t>
            </w:r>
          </w:p>
        </w:tc>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Cambria" w:cs="Cambria" w:eastAsia="Cambria" w:hAnsi="Cambria"/>
                <w:b/>
                <w:bCs/>
                <w:color w:val="FFFFFF"/>
                <w:sz w:val="19"/>
                <w:szCs w:val="19"/>
              </w:rPr>
              <w:t xml:space="preserve">Learning Scope</w:t>
            </w:r>
          </w:p>
        </w:tc>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Cambria" w:cs="Cambria" w:eastAsia="Cambria" w:hAnsi="Cambria"/>
                <w:b/>
                <w:bCs/>
                <w:color w:val="FFFFFF"/>
                <w:sz w:val="19"/>
                <w:szCs w:val="19"/>
              </w:rPr>
              <w:t xml:space="preserve">Beneficiary</w:t>
            </w:r>
          </w:p>
        </w:tc>
        <w:tc>
          <w:tcPr>
            <w:tcW w:type="dxa" w:w="192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Cambria" w:cs="Cambria" w:eastAsia="Cambria" w:hAnsi="Cambria"/>
                <w:b/>
                <w:bCs/>
                <w:color w:val="FFFFFF"/>
                <w:sz w:val="19"/>
                <w:szCs w:val="19"/>
              </w:rPr>
              <w:t xml:space="preserve">Disruption Source</w:t>
            </w:r>
          </w:p>
        </w:tc>
        <w:tc>
          <w:tcPr>
            <w:tcW w:type="dxa" w:w="204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Cambria" w:cs="Cambria" w:eastAsia="Cambria" w:hAnsi="Cambria"/>
                <w:b/>
                <w:bCs/>
                <w:color w:val="FFFFFF"/>
                <w:sz w:val="19"/>
                <w:szCs w:val="19"/>
              </w:rPr>
              <w:t xml:space="preserve">Self-Undermining?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Arrow (1962)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Same paradigm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Same firms</w:t>
            </w:r>
          </w:p>
        </w:tc>
        <w:tc>
          <w:tcPr>
            <w:tcW w:type="dxa" w:w="19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N/A</w:t>
            </w:r>
          </w:p>
        </w:tc>
        <w:tc>
          <w:tcPr>
            <w:tcW w:type="dxa" w:w="2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No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Bresnahan-Trajtenberg (1995)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Cross-sector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Other sectors</w:t>
            </w:r>
          </w:p>
        </w:tc>
        <w:tc>
          <w:tcPr>
            <w:tcW w:type="dxa" w:w="19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External applications</w:t>
            </w:r>
          </w:p>
        </w:tc>
        <w:tc>
          <w:tcPr>
            <w:tcW w:type="dxa" w:w="2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No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Schumpeter (1942)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External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Entrant firms</w:t>
            </w:r>
          </w:p>
        </w:tc>
        <w:tc>
          <w:tcPr>
            <w:tcW w:type="dxa" w:w="19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External entrant</w:t>
            </w:r>
          </w:p>
        </w:tc>
        <w:tc>
          <w:tcPr>
            <w:tcW w:type="dxa" w:w="2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No (external)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b/>
                <w:bCs/>
                <w:i/>
                <w:iCs/>
                <w:sz w:val="23"/>
                <w:szCs w:val="23"/>
              </w:rPr>
              <w:t xml:space="preserve">This paper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b/>
                <w:bCs/>
                <w:sz w:val="23"/>
                <w:szCs w:val="23"/>
              </w:rPr>
              <w:t xml:space="preserve">Cross-paradigm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b/>
                <w:bCs/>
                <w:sz w:val="23"/>
                <w:szCs w:val="23"/>
              </w:rPr>
              <w:t xml:space="preserve">Different architecture</w:t>
            </w:r>
          </w:p>
        </w:tc>
        <w:tc>
          <w:tcPr>
            <w:tcW w:type="dxa" w:w="19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b/>
                <w:bCs/>
                <w:sz w:val="23"/>
                <w:szCs w:val="23"/>
              </w:rPr>
              <w:t xml:space="preserve">Self-financed</w:t>
            </w:r>
          </w:p>
        </w:tc>
        <w:tc>
          <w:tcPr>
            <w:tcW w:type="dxa" w:w="2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b/>
                <w:bCs/>
                <w:sz w:val="23"/>
                <w:szCs w:val="23"/>
              </w:rPr>
              <w:t xml:space="preserve">Yes</w:t>
            </w:r>
          </w:p>
        </w:tc>
      </w:tr>
    </w:tbl>
    <w:p>
      <w:pPr>
        <w:spacing w:before="60" w:after="200"/>
      </w:pPr>
      <w:r>
        <w:rPr>
          <w:rFonts w:ascii="Cambria" w:cs="Cambria" w:eastAsia="Cambria" w:hAnsi="Cambria"/>
          <w:i/>
          <w:iCs/>
          <w:color w:val="666666"/>
          <w:sz w:val="17"/>
          <w:szCs w:val="17"/>
        </w:rPr>
        <w:t xml:space="preserve">Table 1. Theoretical positioning of endogenous decentralization.</w:t>
      </w:r>
    </w:p>
    <w:p>
      <w:pPr>
        <w:spacing w:after="80"/>
      </w:pPr>
    </w:p>
    <w:p>
      <w:pPr>
        <w:pStyle w:val="Heading1"/>
        <w:spacing w:before="400" w:after="200"/>
      </w:pPr>
      <w:r>
        <w:rPr>
          <w:rFonts w:ascii="Cambria" w:cs="Cambria" w:eastAsia="Cambria" w:hAnsi="Cambria"/>
          <w:b/>
          <w:bCs/>
          <w:sz w:val="32"/>
          <w:szCs w:val="32"/>
        </w:rPr>
        <w:t xml:space="preserve">3. Primary Domain: AI Semiconductor Infrastructure</w:t>
      </w:r>
    </w:p>
    <w:p>
      <w:pPr>
        <w:pStyle w:val="Heading2"/>
        <w:spacing w:before="300" w:after="160"/>
      </w:pPr>
      <w:r>
        <w:rPr>
          <w:rFonts w:ascii="Cambria" w:cs="Cambria" w:eastAsia="Cambria" w:hAnsi="Cambria"/>
          <w:b/>
          <w:bCs/>
          <w:sz w:val="28"/>
          <w:szCs w:val="28"/>
        </w:rPr>
        <w:t xml:space="preserve">3.1 DRAM Learning Curve (1984–2024)</w:t>
      </w:r>
    </w:p>
    <w:p>
      <w:pPr>
        <w:spacing w:after="160" w:line="360"/>
        <w:jc w:val="both"/>
      </w:pPr>
      <w:r>
        <w:rPr>
          <w:rFonts w:ascii="Cambria" w:cs="Cambria" w:eastAsia="Cambria" w:hAnsi="Cambria"/>
          <w:sz w:val="23"/>
          <w:szCs w:val="23"/>
        </w:rPr>
        <w:t xml:space="preserve">The empirical foundation is a 41-year panel of DRAM prices and cumulative production. Regressing log price on log cumulative output:</w:t>
      </w:r>
    </w:p>
    <w:p>
      <w:pPr>
        <w:spacing w:before="200" w:after="200"/>
        <w:jc w:val="center"/>
      </w:pPr>
      <w:r>
        <w:rPr>
          <w:rFonts w:ascii="Cambria Math" w:cs="Cambria Math" w:eastAsia="Cambria Math" w:hAnsi="Cambria Math"/>
          <w:sz w:val="23"/>
          <w:szCs w:val="23"/>
        </w:rPr>
        <w:t xml:space="preserve">ln(p_t) = β₀ – α · ln(Q_t) + ε_t</w:t>
      </w:r>
      <w:r>
        <w:rPr>
          <w:rFonts w:ascii="Cambria" w:cs="Cambria" w:eastAsia="Cambria" w:hAnsi="Cambria"/>
          <w:color w:val="666666"/>
          <w:sz w:val="18"/>
          <w:szCs w:val="18"/>
        </w:rPr>
        <w:t xml:space="preserve">     (4)</w:t>
      </w:r>
    </w:p>
    <w:p>
      <w:pPr>
        <w:spacing w:after="160" w:line="360"/>
        <w:jc w:val="both"/>
      </w:pPr>
      <w:r>
        <w:rPr>
          <w:rFonts w:ascii="Cambria" w:cs="Cambria" w:eastAsia="Cambria" w:hAnsi="Cambria"/>
          <w:sz w:val="23"/>
          <w:szCs w:val="23"/>
        </w:rPr>
        <w:t xml:space="preserve">yields α = 0.22 (SE = 0.03, n = 41, R² = 0.96). Prices declined from $870,000/GB in 1984 (64Kb generation) to $2.00/GB in 2024 (32Gb generation), while cumulative production rose from negligible to 3,200 exabytes. Table 2 reports the full learning curve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000"/>
        <w:gridCol w:w="2000"/>
        <w:gridCol w:w="1380"/>
        <w:gridCol w:w="1380"/>
      </w:tblGrid>
      <w:tr>
        <w:tc>
          <w:tcPr>
            <w:tcW w:type="dxa" w:w="11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Cambria" w:cs="Cambria" w:eastAsia="Cambria" w:hAnsi="Cambria"/>
                <w:b/>
                <w:bCs/>
                <w:color w:val="FFFFFF"/>
                <w:sz w:val="19"/>
                <w:szCs w:val="19"/>
              </w:rPr>
              <w:t xml:space="preserve">Year</w:t>
            </w:r>
          </w:p>
        </w:tc>
        <w:tc>
          <w:tcPr>
            <w:tcW w:type="dxa" w:w="1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Cambria" w:cs="Cambria" w:eastAsia="Cambria" w:hAnsi="Cambria"/>
                <w:b/>
                <w:bCs/>
                <w:color w:val="FFFFFF"/>
                <w:sz w:val="19"/>
                <w:szCs w:val="19"/>
              </w:rPr>
              <w:t xml:space="preserve">Generation</w:t>
            </w:r>
          </w:p>
        </w:tc>
        <w:tc>
          <w:tcPr>
            <w:tcW w:type="dxa" w:w="2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Cambria" w:cs="Cambria" w:eastAsia="Cambria" w:hAnsi="Cambria"/>
                <w:b/>
                <w:bCs/>
                <w:color w:val="FFFFFF"/>
                <w:sz w:val="19"/>
                <w:szCs w:val="19"/>
              </w:rPr>
              <w:t xml:space="preserve">Price ($/GB)</w:t>
            </w:r>
          </w:p>
        </w:tc>
        <w:tc>
          <w:tcPr>
            <w:tcW w:type="dxa" w:w="2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Cambria" w:cs="Cambria" w:eastAsia="Cambria" w:hAnsi="Cambria"/>
                <w:b/>
                <w:bCs/>
                <w:color w:val="FFFFFF"/>
                <w:sz w:val="19"/>
                <w:szCs w:val="19"/>
              </w:rPr>
              <w:t xml:space="preserve">Cum. Prod. (EB)</w:t>
            </w:r>
          </w:p>
        </w:tc>
        <w:tc>
          <w:tcPr>
            <w:tcW w:type="dxa" w:w="138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Cambria" w:cs="Cambria" w:eastAsia="Cambria" w:hAnsi="Cambria"/>
                <w:b/>
                <w:bCs/>
                <w:color w:val="FFFFFF"/>
                <w:sz w:val="19"/>
                <w:szCs w:val="19"/>
              </w:rPr>
              <w:t xml:space="preserve">ln(Price)</w:t>
            </w:r>
          </w:p>
        </w:tc>
        <w:tc>
          <w:tcPr>
            <w:tcW w:type="dxa" w:w="138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Cambria" w:cs="Cambria" w:eastAsia="Cambria" w:hAnsi="Cambria"/>
                <w:b/>
                <w:bCs/>
                <w:color w:val="FFFFFF"/>
                <w:sz w:val="19"/>
                <w:szCs w:val="19"/>
              </w:rPr>
              <w:t xml:space="preserve">ln(Cum.)</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1984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64Kb</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870,000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&lt;0.001</w:t>
            </w:r>
          </w:p>
        </w:tc>
        <w:tc>
          <w:tcPr>
            <w:tcW w:type="dxa" w:w="1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13.68</w:t>
            </w:r>
          </w:p>
        </w:tc>
        <w:tc>
          <w:tcPr>
            <w:tcW w:type="dxa" w:w="1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–11.51</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1990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4Mb</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100,000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0.003</w:t>
            </w:r>
          </w:p>
        </w:tc>
        <w:tc>
          <w:tcPr>
            <w:tcW w:type="dxa" w:w="1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11.51</w:t>
            </w:r>
          </w:p>
        </w:tc>
        <w:tc>
          <w:tcPr>
            <w:tcW w:type="dxa" w:w="1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–5.81</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1995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16Mb</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30,000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0.10</w:t>
            </w:r>
          </w:p>
        </w:tc>
        <w:tc>
          <w:tcPr>
            <w:tcW w:type="dxa" w:w="1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10.31</w:t>
            </w:r>
          </w:p>
        </w:tc>
        <w:tc>
          <w:tcPr>
            <w:tcW w:type="dxa" w:w="1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–2.30</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2000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256Mb</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1,200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2.0</w:t>
            </w:r>
          </w:p>
        </w:tc>
        <w:tc>
          <w:tcPr>
            <w:tcW w:type="dxa" w:w="1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7.09</w:t>
            </w:r>
          </w:p>
        </w:tc>
        <w:tc>
          <w:tcPr>
            <w:tcW w:type="dxa" w:w="1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0.69</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2005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1Gb</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90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17</w:t>
            </w:r>
          </w:p>
        </w:tc>
        <w:tc>
          <w:tcPr>
            <w:tcW w:type="dxa" w:w="1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4.50</w:t>
            </w:r>
          </w:p>
        </w:tc>
        <w:tc>
          <w:tcPr>
            <w:tcW w:type="dxa" w:w="1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2.83</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2010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2Gb</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95</w:t>
            </w:r>
          </w:p>
        </w:tc>
        <w:tc>
          <w:tcPr>
            <w:tcW w:type="dxa" w:w="1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2.30</w:t>
            </w:r>
          </w:p>
        </w:tc>
        <w:tc>
          <w:tcPr>
            <w:tcW w:type="dxa" w:w="1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4.55</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2015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8Gb</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3.20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400</w:t>
            </w:r>
          </w:p>
        </w:tc>
        <w:tc>
          <w:tcPr>
            <w:tcW w:type="dxa" w:w="1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1.16</w:t>
            </w:r>
          </w:p>
        </w:tc>
        <w:tc>
          <w:tcPr>
            <w:tcW w:type="dxa" w:w="1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5.99</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2020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16Gb</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2.80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1,400</w:t>
            </w:r>
          </w:p>
        </w:tc>
        <w:tc>
          <w:tcPr>
            <w:tcW w:type="dxa" w:w="1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1.03</w:t>
            </w:r>
          </w:p>
        </w:tc>
        <w:tc>
          <w:tcPr>
            <w:tcW w:type="dxa" w:w="1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7.24</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2024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32Gb</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3,200</w:t>
            </w:r>
          </w:p>
        </w:tc>
        <w:tc>
          <w:tcPr>
            <w:tcW w:type="dxa" w:w="1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0.69</w:t>
            </w:r>
          </w:p>
        </w:tc>
        <w:tc>
          <w:tcPr>
            <w:tcW w:type="dxa" w:w="1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8.07</w:t>
            </w:r>
          </w:p>
        </w:tc>
      </w:tr>
    </w:tbl>
    <w:p>
      <w:pPr>
        <w:spacing w:before="60" w:after="200"/>
      </w:pPr>
      <w:r>
        <w:rPr>
          <w:rFonts w:ascii="Cambria" w:cs="Cambria" w:eastAsia="Cambria" w:hAnsi="Cambria"/>
          <w:i/>
          <w:iCs/>
          <w:color w:val="666666"/>
          <w:sz w:val="17"/>
          <w:szCs w:val="17"/>
        </w:rPr>
        <w:t xml:space="preserve">Table 2. DRAM learning curve (selected years). Full 41-year panel in data appendix. OLS: α = 0.22, SE = 0.03, R² = 0.96. Sources: McCallum DRAM compilation, TrendForce, IC Insights.</w:t>
      </w:r>
    </w:p>
    <w:p>
      <w:pPr>
        <w:spacing w:after="160" w:line="360"/>
        <w:jc w:val="both"/>
      </w:pPr>
      <w:r>
        <w:rPr>
          <w:rFonts w:ascii="Cambria" w:cs="Cambria" w:eastAsia="Cambria" w:hAnsi="Cambria"/>
          <w:sz w:val="23"/>
          <w:szCs w:val="23"/>
        </w:rPr>
        <w:t xml:space="preserve">The learning rate is remarkably stable over the full period, though sub-period analysis reveals a modest flattening: α = 0.25 (SE = 0.04) for 1984–2000 versus α = 0.19 (SE = 0.04) for 2000–2024. This is consistent with mature-industry deceleration documented in the broader learning curve literature (Table 6).</w:t>
      </w:r>
    </w:p>
    <w:p>
      <w:pPr>
        <w:pStyle w:val="Heading2"/>
        <w:spacing w:before="300" w:after="160"/>
      </w:pPr>
      <w:r>
        <w:rPr>
          <w:rFonts w:ascii="Cambria" w:cs="Cambria" w:eastAsia="Cambria" w:hAnsi="Cambria"/>
          <w:b/>
          <w:bCs/>
          <w:sz w:val="28"/>
          <w:szCs w:val="28"/>
        </w:rPr>
        <w:t xml:space="preserve">3.2 HBM Cost Trajectory</w:t>
      </w:r>
    </w:p>
    <w:p>
      <w:pPr>
        <w:spacing w:after="160" w:line="360"/>
        <w:jc w:val="both"/>
      </w:pPr>
      <w:r>
        <w:rPr>
          <w:rFonts w:ascii="Cambria" w:cs="Cambria" w:eastAsia="Cambria" w:hAnsi="Cambria"/>
          <w:sz w:val="23"/>
          <w:szCs w:val="23"/>
        </w:rPr>
        <w:t xml:space="preserve">High-bandwidth memory is the critical component enabling AI inference. HBM stacks conventional DRAM dies using through-silicon vias (TSVs) and microbump interconnects, multiplying bandwidth at the cost of packaging complexity. The technology was developed for datacenter GPUs (NVIDIA A100, H100, H200, B200) but the packaging knowledge and manufacturing capacity transfer to other form factors—this is the learning externality central to the endogenous decentralization mechanism.</w:t>
      </w:r>
    </w:p>
    <w:p>
      <w:pPr>
        <w:spacing w:after="160" w:line="360"/>
        <w:jc w:val="both"/>
      </w:pPr>
      <w:r>
        <w:rPr>
          <w:rFonts w:ascii="Cambria" w:cs="Cambria" w:eastAsia="Cambria" w:hAnsi="Cambria"/>
          <w:sz w:val="23"/>
          <w:szCs w:val="23"/>
        </w:rPr>
        <w:t xml:space="preserve">Table 3 traces HBM cost and capacity from introduction through projected HBM4.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2200"/>
        <w:gridCol w:w="2230"/>
        <w:gridCol w:w="2230"/>
      </w:tblGrid>
      <w:tr>
        <w:tc>
          <w:tcPr>
            <w:tcW w:type="dxa" w:w="11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Cambria" w:cs="Cambria" w:eastAsia="Cambria" w:hAnsi="Cambria"/>
                <w:b/>
                <w:bCs/>
                <w:color w:val="FFFFFF"/>
                <w:sz w:val="19"/>
                <w:szCs w:val="19"/>
              </w:rPr>
              <w:t xml:space="preserve">Year</w:t>
            </w:r>
          </w:p>
        </w:tc>
        <w:tc>
          <w:tcPr>
            <w:tcW w:type="dxa" w:w="1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Cambria" w:cs="Cambria" w:eastAsia="Cambria" w:hAnsi="Cambria"/>
                <w:b/>
                <w:bCs/>
                <w:color w:val="FFFFFF"/>
                <w:sz w:val="19"/>
                <w:szCs w:val="19"/>
              </w:rPr>
              <w:t xml:space="preserve">Generation</w:t>
            </w:r>
          </w:p>
        </w:tc>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Cambria" w:cs="Cambria" w:eastAsia="Cambria" w:hAnsi="Cambria"/>
                <w:b/>
                <w:bCs/>
                <w:color w:val="FFFFFF"/>
                <w:sz w:val="19"/>
                <w:szCs w:val="19"/>
              </w:rPr>
              <w:t xml:space="preserve">$/GB</w:t>
            </w:r>
          </w:p>
        </w:tc>
        <w:tc>
          <w:tcPr>
            <w:tcW w:type="dxa" w:w="223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Cambria" w:cs="Cambria" w:eastAsia="Cambria" w:hAnsi="Cambria"/>
                <w:b/>
                <w:bCs/>
                <w:color w:val="FFFFFF"/>
                <w:sz w:val="19"/>
                <w:szCs w:val="19"/>
              </w:rPr>
              <w:t xml:space="preserve">Capacity/Stack (GB)</w:t>
            </w:r>
          </w:p>
        </w:tc>
        <w:tc>
          <w:tcPr>
            <w:tcW w:type="dxa" w:w="223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Cambria" w:cs="Cambria" w:eastAsia="Cambria" w:hAnsi="Cambria"/>
                <w:b/>
                <w:bCs/>
                <w:color w:val="FFFFFF"/>
                <w:sz w:val="19"/>
                <w:szCs w:val="19"/>
              </w:rPr>
              <w:t xml:space="preserve">ln($/GB)</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2015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HBM1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120</w:t>
            </w:r>
          </w:p>
        </w:tc>
        <w:tc>
          <w:tcPr>
            <w:tcW w:type="dxa" w:w="22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4</w:t>
            </w:r>
          </w:p>
        </w:tc>
        <w:tc>
          <w:tcPr>
            <w:tcW w:type="dxa" w:w="22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4.79</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2016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HBM2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60</w:t>
            </w:r>
          </w:p>
        </w:tc>
        <w:tc>
          <w:tcPr>
            <w:tcW w:type="dxa" w:w="22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8</w:t>
            </w:r>
          </w:p>
        </w:tc>
        <w:tc>
          <w:tcPr>
            <w:tcW w:type="dxa" w:w="22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4.09</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2018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HBM2E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35</w:t>
            </w:r>
          </w:p>
        </w:tc>
        <w:tc>
          <w:tcPr>
            <w:tcW w:type="dxa" w:w="22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8</w:t>
            </w:r>
          </w:p>
        </w:tc>
        <w:tc>
          <w:tcPr>
            <w:tcW w:type="dxa" w:w="22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3.56</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2020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HBM2E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25</w:t>
            </w:r>
          </w:p>
        </w:tc>
        <w:tc>
          <w:tcPr>
            <w:tcW w:type="dxa" w:w="22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16</w:t>
            </w:r>
          </w:p>
        </w:tc>
        <w:tc>
          <w:tcPr>
            <w:tcW w:type="dxa" w:w="22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3.22</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2022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HBM3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20</w:t>
            </w:r>
          </w:p>
        </w:tc>
        <w:tc>
          <w:tcPr>
            <w:tcW w:type="dxa" w:w="22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24</w:t>
            </w:r>
          </w:p>
        </w:tc>
        <w:tc>
          <w:tcPr>
            <w:tcW w:type="dxa" w:w="22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3.00</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2023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HBM3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18</w:t>
            </w:r>
          </w:p>
        </w:tc>
        <w:tc>
          <w:tcPr>
            <w:tcW w:type="dxa" w:w="22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24</w:t>
            </w:r>
          </w:p>
        </w:tc>
        <w:tc>
          <w:tcPr>
            <w:tcW w:type="dxa" w:w="22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2.89</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2024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HBM3E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15</w:t>
            </w:r>
          </w:p>
        </w:tc>
        <w:tc>
          <w:tcPr>
            <w:tcW w:type="dxa" w:w="22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36</w:t>
            </w:r>
          </w:p>
        </w:tc>
        <w:tc>
          <w:tcPr>
            <w:tcW w:type="dxa" w:w="22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2.71</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2025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HBM3E+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12</w:t>
            </w:r>
          </w:p>
        </w:tc>
        <w:tc>
          <w:tcPr>
            <w:tcW w:type="dxa" w:w="22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48</w:t>
            </w:r>
          </w:p>
        </w:tc>
        <w:tc>
          <w:tcPr>
            <w:tcW w:type="dxa" w:w="22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2.48</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HBM4 (proj.)</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9</w:t>
            </w:r>
          </w:p>
        </w:tc>
        <w:tc>
          <w:tcPr>
            <w:tcW w:type="dxa" w:w="22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48</w:t>
            </w:r>
          </w:p>
        </w:tc>
        <w:tc>
          <w:tcPr>
            <w:tcW w:type="dxa" w:w="22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2.20</w:t>
            </w:r>
          </w:p>
        </w:tc>
      </w:tr>
    </w:tbl>
    <w:p>
      <w:pPr>
        <w:spacing w:before="60" w:after="200"/>
      </w:pPr>
      <w:r>
        <w:rPr>
          <w:rFonts w:ascii="Cambria" w:cs="Cambria" w:eastAsia="Cambria" w:hAnsi="Cambria"/>
          <w:i/>
          <w:iCs/>
          <w:color w:val="666666"/>
          <w:sz w:val="17"/>
          <w:szCs w:val="17"/>
        </w:rPr>
        <w:t xml:space="preserve">Table 3. HBM pricing trajectory. Learning rate α = 0.23 (SE = 0.06, n = 6 observed). Sources: TrendForce, SK Hynix/Samsung earnings.</w:t>
      </w:r>
    </w:p>
    <w:p>
      <w:pPr>
        <w:spacing w:after="160" w:line="360"/>
        <w:jc w:val="both"/>
      </w:pPr>
      <w:r>
        <w:rPr>
          <w:rFonts w:ascii="Cambria" w:cs="Cambria" w:eastAsia="Cambria" w:hAnsi="Cambria"/>
          <w:sz w:val="23"/>
          <w:szCs w:val="23"/>
        </w:rPr>
        <w:t xml:space="preserve">HBM prices have declined from $120/GB at introduction (2015) to $12/GB in 2025, a 10× reduction in one decade. The estimated learning elasticity of α = 0.23 is consistent with the broader DRAM learning rate (α = 0.22), suggesting that HBM follows the same underlying cost trajectory as conventional memory. Capacity per stack has increased 12× (4GB to 48GB). The projection to $9/GB for HBM4 in 2026 follows the established trajectory.</w:t>
      </w:r>
    </w:p>
    <w:p>
      <w:pPr>
        <w:spacing w:after="160" w:line="360"/>
        <w:jc w:val="both"/>
      </w:pPr>
      <w:r>
        <w:rPr>
          <w:rFonts w:ascii="Cambria" w:cs="Cambria" w:eastAsia="Cambria" w:hAnsi="Cambria"/>
          <w:sz w:val="23"/>
          <w:szCs w:val="23"/>
        </w:rPr>
        <w:t xml:space="preserve">The crucial implication: HBM-derived stacking technology is already migrating to consumer form factors. The Rockchip RK1828 (2025, ~$75 SO-DIMM module) uses 3D stacked DRAM packaging derived from HBM manufacturing processes and runs Qwen2.5-7B at 59–180 tokens/second—direct, shipping evidence of the component migration that Stage 2 predicts. At 93 million parameters per dollar, the RK1828 already exceeds the cost-efficiency ratio projected for the 2028 T*</w:t>
      </w:r>
      <w:r>
        <w:rPr>
          <w:rFonts w:ascii="Cambria" w:cs="Cambria" w:eastAsia="Cambria" w:hAnsi="Cambria"/>
          <w:sz w:val="23"/>
          <w:szCs w:val="23"/>
          <w:vertAlign w:val="subscript"/>
        </w:rPr>
        <w:t xml:space="preserve">S</w:t>
      </w:r>
      <w:r>
        <w:rPr>
          <w:rFonts w:ascii="Cambria" w:cs="Cambria" w:eastAsia="Cambria" w:hAnsi="Cambria"/>
          <w:sz w:val="23"/>
          <w:szCs w:val="23"/>
        </w:rPr>
        <w:t xml:space="preserve"> crossing point (47M params/$), demonstrating that the binding constraint is not compute cost per parameter but </w:t>
      </w:r>
      <w:r>
        <w:rPr>
          <w:rFonts w:ascii="Cambria" w:cs="Cambria" w:eastAsia="Cambria" w:hAnsi="Cambria"/>
          <w:i/>
          <w:iCs/>
          <w:sz w:val="23"/>
          <w:szCs w:val="23"/>
        </w:rPr>
        <w:t xml:space="preserve">memory capacity per device</w:t>
      </w:r>
      <w:r>
        <w:rPr>
          <w:rFonts w:ascii="Cambria" w:cs="Cambria" w:eastAsia="Cambria" w:hAnsi="Cambria"/>
          <w:sz w:val="23"/>
          <w:szCs w:val="23"/>
        </w:rPr>
        <w:t xml:space="preserve">: the chip’s 5GB on-chip stacked DRAM limits it to 7B models, while the 70B crossing threshold requires approximately 50GB. A successor chip, the RK1860, is announced for Q2/Q3 2026.</w:t>
      </w:r>
    </w:p>
    <w:p>
      <w:pPr>
        <w:pStyle w:val="Heading2"/>
        <w:spacing w:before="300" w:after="160"/>
      </w:pPr>
      <w:r>
        <w:rPr>
          <w:rFonts w:ascii="Cambria" w:cs="Cambria" w:eastAsia="Cambria" w:hAnsi="Cambria"/>
          <w:b/>
          <w:bCs/>
          <w:sz w:val="28"/>
          <w:szCs w:val="28"/>
        </w:rPr>
        <w:t xml:space="preserve">3.3 Hyperscaler Capital Expenditure</w:t>
      </w:r>
    </w:p>
    <w:p>
      <w:pPr>
        <w:spacing w:after="160" w:line="360"/>
        <w:jc w:val="both"/>
      </w:pPr>
      <w:r>
        <w:rPr>
          <w:rFonts w:ascii="Cambria" w:cs="Cambria" w:eastAsia="Cambria" w:hAnsi="Cambria"/>
          <w:sz w:val="23"/>
          <w:szCs w:val="23"/>
        </w:rPr>
        <w:t xml:space="preserve">The scale of centralized investment is without historical precedent. Table 4 reports capital expenditure by company from SEC filings and management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900"/>
        <w:gridCol w:w="900"/>
        <w:gridCol w:w="900"/>
        <w:gridCol w:w="1100"/>
        <w:gridCol w:w="1100"/>
        <w:gridCol w:w="960"/>
      </w:tblGrid>
      <w:tr>
        <w:tc>
          <w:tcPr>
            <w:tcW w:type="dxa" w:w="1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Cambria" w:cs="Cambria" w:eastAsia="Cambria" w:hAnsi="Cambria"/>
                <w:b/>
                <w:bCs/>
                <w:color w:val="FFFFFF"/>
                <w:sz w:val="19"/>
                <w:szCs w:val="19"/>
              </w:rPr>
              <w:t xml:space="preserve">Company</w:t>
            </w:r>
          </w:p>
        </w:tc>
        <w:tc>
          <w:tcPr>
            <w:tcW w:type="dxa" w:w="9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Cambria" w:cs="Cambria" w:eastAsia="Cambria" w:hAnsi="Cambria"/>
                <w:b/>
                <w:bCs/>
                <w:color w:val="FFFFFF"/>
                <w:sz w:val="19"/>
                <w:szCs w:val="19"/>
              </w:rPr>
              <w:t xml:space="preserve">2018</w:t>
            </w:r>
          </w:p>
        </w:tc>
        <w:tc>
          <w:tcPr>
            <w:tcW w:type="dxa" w:w="9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Cambria" w:cs="Cambria" w:eastAsia="Cambria" w:hAnsi="Cambria"/>
                <w:b/>
                <w:bCs/>
                <w:color w:val="FFFFFF"/>
                <w:sz w:val="19"/>
                <w:szCs w:val="19"/>
              </w:rPr>
              <w:t xml:space="preserve">2020</w:t>
            </w:r>
          </w:p>
        </w:tc>
        <w:tc>
          <w:tcPr>
            <w:tcW w:type="dxa" w:w="9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Cambria" w:cs="Cambria" w:eastAsia="Cambria" w:hAnsi="Cambria"/>
                <w:b/>
                <w:bCs/>
                <w:color w:val="FFFFFF"/>
                <w:sz w:val="19"/>
                <w:szCs w:val="19"/>
              </w:rPr>
              <w:t xml:space="preserve">2022</w:t>
            </w:r>
          </w:p>
        </w:tc>
        <w:tc>
          <w:tcPr>
            <w:tcW w:type="dxa" w:w="9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Cambria" w:cs="Cambria" w:eastAsia="Cambria" w:hAnsi="Cambria"/>
                <w:b/>
                <w:bCs/>
                <w:color w:val="FFFFFF"/>
                <w:sz w:val="19"/>
                <w:szCs w:val="19"/>
              </w:rPr>
              <w:t xml:space="preserve">2024</w:t>
            </w:r>
          </w:p>
        </w:tc>
        <w:tc>
          <w:tcPr>
            <w:tcW w:type="dxa" w:w="11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Cambria" w:cs="Cambria" w:eastAsia="Cambria" w:hAnsi="Cambria"/>
                <w:b/>
                <w:bCs/>
                <w:color w:val="FFFFFF"/>
                <w:sz w:val="19"/>
                <w:szCs w:val="19"/>
              </w:rPr>
              <w:t xml:space="preserve">2025G</w:t>
            </w:r>
          </w:p>
        </w:tc>
        <w:tc>
          <w:tcPr>
            <w:tcW w:type="dxa" w:w="11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Cambria" w:cs="Cambria" w:eastAsia="Cambria" w:hAnsi="Cambria"/>
                <w:b/>
                <w:bCs/>
                <w:color w:val="FFFFFF"/>
                <w:sz w:val="19"/>
                <w:szCs w:val="19"/>
              </w:rPr>
              <w:t xml:space="preserve">Source</w:t>
            </w:r>
          </w:p>
        </w:tc>
        <w:tc>
          <w:tcPr>
            <w:tcW w:type="dxa" w:w="9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Cambria" w:cs="Cambria" w:eastAsia="Cambria" w:hAnsi="Cambria"/>
                <w:b/>
                <w:bCs/>
                <w:color w:val="FFFFFF"/>
                <w:sz w:val="19"/>
                <w:szCs w:val="19"/>
              </w:rPr>
              <w:t xml:space="preserve"/>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Microsoft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11.6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15.4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23.9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44.5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80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10-K + guidance</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Alphabet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25.1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22.3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31.5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52.5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75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10-K + guidance</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Amazon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13.4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35.0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58.3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78.0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100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10-K + guidance</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Meta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13.9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15.7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31.4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39.2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65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10-K + guidance</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NVIDIA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8.9</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10-K</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Oracle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8.9</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16</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10-K + guidance</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Stargate JV</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100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Announcement</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b/>
                <w:bCs/>
                <w:sz w:val="23"/>
                <w:szCs w:val="23"/>
              </w:rPr>
              <w:t xml:space="preserve">Industry Total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b/>
                <w:bCs/>
                <w:sz w:val="23"/>
                <w:szCs w:val="23"/>
              </w:rPr>
              <w:t xml:space="preserve">64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b/>
                <w:bCs/>
                <w:sz w:val="23"/>
                <w:szCs w:val="23"/>
              </w:rPr>
              <w:t xml:space="preserve">88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b/>
                <w:bCs/>
                <w:sz w:val="23"/>
                <w:szCs w:val="23"/>
              </w:rPr>
              <w:t xml:space="preserve">148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b/>
                <w:bCs/>
                <w:sz w:val="23"/>
                <w:szCs w:val="23"/>
              </w:rPr>
              <w:t xml:space="preserve">232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b/>
                <w:bCs/>
                <w:sz w:val="23"/>
                <w:szCs w:val="23"/>
              </w:rPr>
              <w:t xml:space="preserve">436</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
            </w:r>
          </w:p>
        </w:tc>
      </w:tr>
    </w:tbl>
    <w:p>
      <w:pPr>
        <w:spacing w:before="60" w:after="200"/>
      </w:pPr>
      <w:r>
        <w:rPr>
          <w:rFonts w:ascii="Cambria" w:cs="Cambria" w:eastAsia="Cambria" w:hAnsi="Cambria"/>
          <w:i/>
          <w:iCs/>
          <w:color w:val="666666"/>
          <w:sz w:val="17"/>
          <w:szCs w:val="17"/>
        </w:rPr>
        <w:t xml:space="preserve">Table 4. Hyperscaler capex ($B). 2025G = guidance. Cumulative 2018–2025: $1,298B. Sources: SEC 10-K filings, earnings calls, press announcements.</w:t>
      </w:r>
    </w:p>
    <w:p>
      <w:pPr>
        <w:spacing w:after="160" w:line="360"/>
        <w:jc w:val="both"/>
      </w:pPr>
      <w:r>
        <w:rPr>
          <w:rFonts w:ascii="Cambria" w:cs="Cambria" w:eastAsia="Cambria" w:hAnsi="Cambria"/>
          <w:sz w:val="23"/>
          <w:szCs w:val="23"/>
        </w:rPr>
        <w:t xml:space="preserve">Industry capex accelerated from $64 billion in 2018 to $232 billion in 2024, with 2025 guidance totaling $436 billion—a 6.8× increase in seven years. Cumulative investment from 2018 through 2025 reaches approximately $1.3 trillion ($1,298B). Adding the Stargate JV’s announced trajectory ($500B over four years), cumulative investment will approach $1.7 trillion by 2028.</w:t>
      </w:r>
    </w:p>
    <w:p>
      <w:pPr>
        <w:spacing w:after="160" w:line="360"/>
        <w:jc w:val="both"/>
      </w:pPr>
      <w:r>
        <w:rPr>
          <w:rFonts w:ascii="Cambria" w:cs="Cambria" w:eastAsia="Cambria" w:hAnsi="Cambria"/>
          <w:sz w:val="23"/>
          <w:szCs w:val="23"/>
        </w:rPr>
        <w:t xml:space="preserve">This investment purchases, among other things, enormous quantities of HBM. Each NVIDIA H100 GPU contains 80GB of HBM3; each H200 contains 141GB of HBM3E; each B200 contains 192GB of HBM3E. At projected 2025 volumes of 3–4 million datacenter GPUs, the AI buildout alone will consume approximately 500–700 exabytes of HBM capacity—driving cumulative production along the learning curve identified in Table 3. This is Stage 1 of the mechanism operating in real time.</w:t>
      </w:r>
    </w:p>
    <w:p>
      <w:pPr>
        <w:pStyle w:val="Heading2"/>
        <w:spacing w:before="300" w:after="160"/>
      </w:pPr>
      <w:r>
        <w:rPr>
          <w:rFonts w:ascii="Cambria" w:cs="Cambria" w:eastAsia="Cambria" w:hAnsi="Cambria"/>
          <w:b/>
          <w:bCs/>
          <w:sz w:val="28"/>
          <w:szCs w:val="28"/>
        </w:rPr>
        <w:t xml:space="preserve">3.4 Consumer Silicon Capability Trajectory</w:t>
      </w:r>
    </w:p>
    <w:p>
      <w:pPr>
        <w:spacing w:after="160" w:line="360"/>
        <w:jc w:val="both"/>
      </w:pPr>
      <w:r>
        <w:rPr>
          <w:rFonts w:ascii="Cambria" w:cs="Cambria" w:eastAsia="Cambria" w:hAnsi="Cambria"/>
          <w:sz w:val="23"/>
          <w:szCs w:val="23"/>
        </w:rPr>
        <w:t xml:space="preserve">Stage 2 materializes as component migration from datacenter to consumer form factors. Table 5 traces on-device AI inference capability across 24 device generations from 2020 to projected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900"/>
        <w:gridCol w:w="1000"/>
        <w:gridCol w:w="1200"/>
        <w:gridCol w:w="1400"/>
        <w:gridCol w:w="1100"/>
        <w:gridCol w:w="1260"/>
      </w:tblGrid>
      <w:tr>
        <w:tc>
          <w:tcPr>
            <w:tcW w:type="dxa" w:w="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Cambria" w:cs="Cambria" w:eastAsia="Cambria" w:hAnsi="Cambria"/>
                <w:b/>
                <w:bCs/>
                <w:color w:val="FFFFFF"/>
                <w:sz w:val="19"/>
                <w:szCs w:val="19"/>
              </w:rPr>
              <w:t xml:space="preserve">Year</w:t>
            </w:r>
          </w:p>
        </w:tc>
        <w:tc>
          <w:tcPr>
            <w:tcW w:type="dxa" w:w="17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Cambria" w:cs="Cambria" w:eastAsia="Cambria" w:hAnsi="Cambria"/>
                <w:b/>
                <w:bCs/>
                <w:color w:val="FFFFFF"/>
                <w:sz w:val="19"/>
                <w:szCs w:val="19"/>
              </w:rPr>
              <w:t xml:space="preserve">Chipset</w:t>
            </w:r>
          </w:p>
        </w:tc>
        <w:tc>
          <w:tcPr>
            <w:tcW w:type="dxa" w:w="9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Cambria" w:cs="Cambria" w:eastAsia="Cambria" w:hAnsi="Cambria"/>
                <w:b/>
                <w:bCs/>
                <w:color w:val="FFFFFF"/>
                <w:sz w:val="19"/>
                <w:szCs w:val="19"/>
              </w:rPr>
              <w:t xml:space="preserve">Type</w:t>
            </w:r>
          </w:p>
        </w:tc>
        <w:tc>
          <w:tcPr>
            <w:tcW w:type="dxa" w:w="1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Cambria" w:cs="Cambria" w:eastAsia="Cambria" w:hAnsi="Cambria"/>
                <w:b/>
                <w:bCs/>
                <w:color w:val="FFFFFF"/>
                <w:sz w:val="19"/>
                <w:szCs w:val="19"/>
              </w:rPr>
              <w:t xml:space="preserve">Max (B)</w:t>
            </w:r>
          </w:p>
        </w:tc>
        <w:tc>
          <w:tcPr>
            <w:tcW w:type="dxa" w:w="1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Cambria" w:cs="Cambria" w:eastAsia="Cambria" w:hAnsi="Cambria"/>
                <w:b/>
                <w:bCs/>
                <w:color w:val="FFFFFF"/>
                <w:sz w:val="19"/>
                <w:szCs w:val="19"/>
              </w:rPr>
              <w:t xml:space="preserve">Tok/s</w:t>
            </w:r>
          </w:p>
        </w:tc>
        <w:tc>
          <w:tcPr>
            <w:tcW w:type="dxa" w:w="1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Cambria" w:cs="Cambria" w:eastAsia="Cambria" w:hAnsi="Cambria"/>
                <w:b/>
                <w:bCs/>
                <w:color w:val="FFFFFF"/>
                <w:sz w:val="19"/>
                <w:szCs w:val="19"/>
              </w:rPr>
              <w:t xml:space="preserve">Memory</w:t>
            </w:r>
          </w:p>
        </w:tc>
        <w:tc>
          <w:tcPr>
            <w:tcW w:type="dxa" w:w="11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Cambria" w:cs="Cambria" w:eastAsia="Cambria" w:hAnsi="Cambria"/>
                <w:b/>
                <w:bCs/>
                <w:color w:val="FFFFFF"/>
                <w:sz w:val="19"/>
                <w:szCs w:val="19"/>
              </w:rPr>
              <w:t xml:space="preserve">Price ($)</w:t>
            </w:r>
          </w:p>
        </w:tc>
        <w:tc>
          <w:tcPr>
            <w:tcW w:type="dxa" w:w="12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Cambria" w:cs="Cambria" w:eastAsia="Cambria" w:hAnsi="Cambria"/>
                <w:b/>
                <w:bCs/>
                <w:color w:val="FFFFFF"/>
                <w:sz w:val="19"/>
                <w:szCs w:val="19"/>
              </w:rPr>
              <w:t xml:space="preserve">Memory Type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2020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Snapdragon 888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phone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0.3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999</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LPDDR5</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2021</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Apple M1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laptop</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16</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999</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LPDDR4X</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2023</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Apple M3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laptop</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7.0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36</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1,599</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LPDDR5</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2023</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Rockchip RK3588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SBC</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0.5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16</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150</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LPDDR4X</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2024</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Apple M4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laptop</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32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1,599</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LPDDR5</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2024</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Apple M4 Max</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laptop</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40.0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128</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3,499</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LPDDR5</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2025</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Rockchip RK1828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accel.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7.0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59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75</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3D Stack</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2024</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Qualcomm Cloud AI</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edge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30.0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40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64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1,500</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LPDDR5X</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2025</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NVIDIA Jetson Thor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edge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70.0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40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128</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2,000</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LPDDR5X</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2026</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Consumer HBM Gen1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laptop</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30.0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30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128</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1,999</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HBM</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2028</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Consumer HBM Gen3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laptop</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70.0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256</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1,499</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HBM</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2030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Consumer HBM Gen4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device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120.0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35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512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999</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HBM</w:t>
            </w:r>
          </w:p>
        </w:tc>
      </w:tr>
    </w:tbl>
    <w:p>
      <w:pPr>
        <w:spacing w:before="60" w:after="200"/>
      </w:pPr>
      <w:r>
        <w:rPr>
          <w:rFonts w:ascii="Cambria" w:cs="Cambria" w:eastAsia="Cambria" w:hAnsi="Cambria"/>
          <w:i/>
          <w:iCs/>
          <w:color w:val="666666"/>
          <w:sz w:val="17"/>
          <w:szCs w:val="17"/>
        </w:rPr>
        <w:t xml:space="preserve">Table 5. Consumer silicon capability trajectory (selected). Full 24-device panel in data appendix. T*_S crossing condition: ≥70B params at ≥20 tok/s under $1,500. RK1828 benchmarks: CNX Software, Dec. 2025. Projected crossing: 2028–2030.</w:t>
      </w:r>
    </w:p>
    <w:p>
      <w:pPr>
        <w:spacing w:after="160" w:line="360"/>
        <w:jc w:val="both"/>
      </w:pPr>
      <w:r>
        <w:rPr>
          <w:rFonts w:ascii="Cambria" w:cs="Cambria" w:eastAsia="Cambria" w:hAnsi="Cambria"/>
          <w:sz w:val="23"/>
          <w:szCs w:val="23"/>
        </w:rPr>
        <w:t xml:space="preserve">The trajectory reveals exponential improvement in parameters-per-dollar: from 300K params/dollar (Snapdragon 888, 2020) to 47M params/dollar (projected Consumer HBM Gen3, 2028)—a 157× improvement in eight years. Strikingly, the Rockchip RK1828 (2025, $75) already achieves 93M params/dollar—</w:t>
      </w:r>
      <w:r>
        <w:rPr>
          <w:rFonts w:ascii="Cambria" w:cs="Cambria" w:eastAsia="Cambria" w:hAnsi="Cambria"/>
          <w:i/>
          <w:iCs/>
          <w:sz w:val="23"/>
          <w:szCs w:val="23"/>
        </w:rPr>
        <w:t xml:space="preserve">twice</w:t>
      </w:r>
      <w:r>
        <w:rPr>
          <w:rFonts w:ascii="Cambria" w:cs="Cambria" w:eastAsia="Cambria" w:hAnsi="Cambria"/>
          <w:sz w:val="23"/>
          <w:szCs w:val="23"/>
        </w:rPr>
        <w:t xml:space="preserve"> the cost-efficiency projected for the 2028 crossing year—by running Qwen2.5-7B at 59–180 tok/s on 5GB of 3D stacked DRAM. This reveals that the binding constraint for T*</w:t>
      </w:r>
      <w:r>
        <w:rPr>
          <w:rFonts w:ascii="Cambria" w:cs="Cambria" w:eastAsia="Cambria" w:hAnsi="Cambria"/>
          <w:sz w:val="23"/>
          <w:szCs w:val="23"/>
          <w:vertAlign w:val="subscript"/>
        </w:rPr>
        <w:t xml:space="preserve">S</w:t>
      </w:r>
      <w:r>
        <w:rPr>
          <w:rFonts w:ascii="Cambria" w:cs="Cambria" w:eastAsia="Cambria" w:hAnsi="Cambria"/>
          <w:sz w:val="23"/>
          <w:szCs w:val="23"/>
        </w:rPr>
        <w:t xml:space="preserve"> is not compute cost per parameter but </w:t>
      </w:r>
      <w:r>
        <w:rPr>
          <w:rFonts w:ascii="Cambria" w:cs="Cambria" w:eastAsia="Cambria" w:hAnsi="Cambria"/>
          <w:b/>
          <w:bCs/>
          <w:sz w:val="23"/>
          <w:szCs w:val="23"/>
        </w:rPr>
        <w:t xml:space="preserve">memory capacity per device</w:t>
      </w:r>
      <w:r>
        <w:rPr>
          <w:rFonts w:ascii="Cambria" w:cs="Cambria" w:eastAsia="Cambria" w:hAnsi="Cambria"/>
          <w:sz w:val="23"/>
          <w:szCs w:val="23"/>
        </w:rPr>
        <w:t xml:space="preserve">. The RK1828’s 5GB stacked memory limits it to 7B models; the 70B threshold requires ~50GB, a 10× gap representing 3–4 doublings of on-chip memory. At the HBM learning rate (α = 0.23), this gap closes by 2028–2030.</w:t>
      </w:r>
    </w:p>
    <w:p>
      <w:pPr>
        <w:spacing w:after="160" w:line="360"/>
        <w:jc w:val="both"/>
      </w:pPr>
      <w:r>
        <w:rPr>
          <w:rFonts w:ascii="Cambria" w:cs="Cambria" w:eastAsia="Cambria" w:hAnsi="Cambria"/>
          <w:sz w:val="23"/>
          <w:szCs w:val="23"/>
        </w:rPr>
        <w:t xml:space="preserve">Three observations strengthen the identification. First, the RK1828 explicitly uses “3D RAM Stacking”—the manufacturer’s term—in a SO-DIMM form factor at $75, confirming HBM-to-consumer component migration as a shipping product, not a projection. Second, the NVIDIA Jetson Thor (announced for 2025, $2,000) uses Grace Blackwell architecture adapted from datacenter GPUs—the same firm deliberately migrating its own centralized technology to edge/consumer, consistent with the competitive pressure the model predicts. Third, the Rockchip RK1860 successor (announced Q2/Q3 2026) will likely double stacked memory capacity, narrowing the gap to ~5× and potentially enabling 14B models at $100–150—further validating the learning curve trajectory.</w:t>
      </w:r>
    </w:p>
    <w:p>
      <w:pPr>
        <w:spacing w:after="80"/>
      </w:pPr>
    </w:p>
    <w:p>
      <w:pPr>
        <w:pStyle w:val="Heading1"/>
        <w:spacing w:before="400" w:after="200"/>
      </w:pPr>
      <w:r>
        <w:rPr>
          <w:rFonts w:ascii="Cambria" w:cs="Cambria" w:eastAsia="Cambria" w:hAnsi="Cambria"/>
          <w:b/>
          <w:bCs/>
          <w:sz w:val="32"/>
          <w:szCs w:val="32"/>
        </w:rPr>
        <w:t xml:space="preserve">4. Historical Validation</w:t>
      </w:r>
    </w:p>
    <w:p>
      <w:pPr>
        <w:spacing w:after="160" w:line="360"/>
        <w:jc w:val="both"/>
      </w:pPr>
      <w:r>
        <w:rPr>
          <w:rFonts w:ascii="Cambria" w:cs="Cambria" w:eastAsia="Cambria" w:hAnsi="Cambria"/>
          <w:sz w:val="23"/>
          <w:szCs w:val="23"/>
        </w:rPr>
        <w:t xml:space="preserve">The endogenous decentralization mechanism should be observable in prior technology transitions. I examine two cases—mainframe to personal computer and ARPANET to Internet—for structural isomorphism and parameter consistency.</w:t>
      </w:r>
    </w:p>
    <w:p>
      <w:pPr>
        <w:pStyle w:val="Heading2"/>
        <w:spacing w:before="300" w:after="160"/>
      </w:pPr>
      <w:r>
        <w:rPr>
          <w:rFonts w:ascii="Cambria" w:cs="Cambria" w:eastAsia="Cambria" w:hAnsi="Cambria"/>
          <w:b/>
          <w:bCs/>
          <w:sz w:val="28"/>
          <w:szCs w:val="28"/>
        </w:rPr>
        <w:t xml:space="preserve">4.1 Mainframe → Personal Computer (1975–2000)</w:t>
      </w:r>
    </w:p>
    <w:p>
      <w:pPr>
        <w:spacing w:after="160" w:line="360"/>
        <w:jc w:val="both"/>
      </w:pPr>
      <w:r>
        <w:rPr>
          <w:rFonts w:ascii="Cambria" w:cs="Cambria" w:eastAsia="Cambria" w:hAnsi="Cambria"/>
          <w:sz w:val="23"/>
          <w:szCs w:val="23"/>
        </w:rPr>
        <w:t xml:space="preserve">IBM dominated mainframe computing through the 1970s with market shares of 75–80%. IBM’s investment in semiconductor manufacturing—both for its own systems and through technology licensing—drove the learning curves that reduced microprocessor and memory costs. Flamm (1993) estimates α = 0.24 for Intel microprocessors over 1974–1989, consistent with the broader semiconductor learning rate.</w:t>
      </w:r>
    </w:p>
    <w:p>
      <w:pPr>
        <w:spacing w:after="160" w:line="360"/>
        <w:jc w:val="both"/>
      </w:pPr>
      <w:r>
        <w:rPr>
          <w:rFonts w:ascii="Cambria" w:cs="Cambria" w:eastAsia="Cambria" w:hAnsi="Cambria"/>
          <w:sz w:val="23"/>
          <w:szCs w:val="23"/>
        </w:rPr>
        <w:t xml:space="preserve">The PC adoption data (Table 6) trace the three-stage mechanism: Stage 1 (1975–1981), IBM and semiconductor manufacturers invested in chip production, driving cumulative output; Stage 2 (1981–1986), costs fell below the threshold enabling the $5,000–$6,000 IBM PC and its clones; Stage 3 (1986–1995), the installed base crossed from 40 million to 280 million PCs, software titles grew from 10,000 to 50,000, and network externalities (spreadsheets, word processing, client-server architectures) exceeded mainframe value for an expanding set of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800"/>
        <w:gridCol w:w="1600"/>
        <w:gridCol w:w="1800"/>
        <w:gridCol w:w="1660"/>
      </w:tblGrid>
      <w:tr>
        <w:tc>
          <w:tcPr>
            <w:tcW w:type="dxa" w:w="9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Cambria" w:cs="Cambria" w:eastAsia="Cambria" w:hAnsi="Cambria"/>
                <w:b/>
                <w:bCs/>
                <w:color w:val="FFFFFF"/>
                <w:sz w:val="19"/>
                <w:szCs w:val="19"/>
              </w:rPr>
              <w:t xml:space="preserve">Year</w:t>
            </w:r>
          </w:p>
        </w:tc>
        <w:tc>
          <w:tcPr>
            <w:tcW w:type="dxa" w:w="1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Cambria" w:cs="Cambria" w:eastAsia="Cambria" w:hAnsi="Cambria"/>
                <w:b/>
                <w:bCs/>
                <w:color w:val="FFFFFF"/>
                <w:sz w:val="19"/>
                <w:szCs w:val="19"/>
              </w:rPr>
              <w:t xml:space="preserve">PCs (M)</w:t>
            </w:r>
          </w:p>
        </w:tc>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Cambria" w:cs="Cambria" w:eastAsia="Cambria" w:hAnsi="Cambria"/>
                <w:b/>
                <w:bCs/>
                <w:color w:val="FFFFFF"/>
                <w:sz w:val="19"/>
                <w:szCs w:val="19"/>
              </w:rPr>
              <w:t xml:space="preserve">Median Price ($2024)</w:t>
            </w:r>
          </w:p>
        </w:tc>
        <w:tc>
          <w:tcPr>
            <w:tcW w:type="dxa" w:w="1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Cambria" w:cs="Cambria" w:eastAsia="Cambria" w:hAnsi="Cambria"/>
                <w:b/>
                <w:bCs/>
                <w:color w:val="FFFFFF"/>
                <w:sz w:val="19"/>
                <w:szCs w:val="19"/>
              </w:rPr>
              <w:t xml:space="preserve">IBM Share (%)</w:t>
            </w:r>
          </w:p>
        </w:tc>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Cambria" w:cs="Cambria" w:eastAsia="Cambria" w:hAnsi="Cambria"/>
                <w:b/>
                <w:bCs/>
                <w:color w:val="FFFFFF"/>
                <w:sz w:val="19"/>
                <w:szCs w:val="19"/>
              </w:rPr>
              <w:t xml:space="preserve">Software Titles</w:t>
            </w:r>
          </w:p>
        </w:tc>
        <w:tc>
          <w:tcPr>
            <w:tcW w:type="dxa" w:w="16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Cambria" w:cs="Cambria" w:eastAsia="Cambria" w:hAnsi="Cambria"/>
                <w:b/>
                <w:bCs/>
                <w:color w:val="FFFFFF"/>
                <w:sz w:val="19"/>
                <w:szCs w:val="19"/>
              </w:rPr>
              <w:t xml:space="preserve">Event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1975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0.001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25,000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80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0</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Altair 8800</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1979</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0.5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12,000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78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100</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VisiCalc ships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1981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6,000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75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500</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IBM PC launches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1984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3,800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65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5,000</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Mac; IBM PC AT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1987</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55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2,200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55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12,000</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386; clones surge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1990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120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1,600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35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20,000</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Windows 3.0</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1992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160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1,200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30,000</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IBM $8.1B loss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1995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280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900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50,000</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Windows 95</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2000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580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500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100,000</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PC saturation</w:t>
            </w:r>
          </w:p>
        </w:tc>
      </w:tr>
    </w:tbl>
    <w:p>
      <w:pPr>
        <w:spacing w:before="60" w:after="200"/>
      </w:pPr>
      <w:r>
        <w:rPr>
          <w:rFonts w:ascii="Cambria" w:cs="Cambria" w:eastAsia="Cambria" w:hAnsi="Cambria"/>
          <w:i/>
          <w:iCs/>
          <w:color w:val="666666"/>
          <w:sz w:val="17"/>
          <w:szCs w:val="17"/>
        </w:rPr>
        <w:t xml:space="preserve">Table 6. PC adoption trajectory. Sources: Gartner/IDC, IBM Annual Reports, Census CPS, Computerworld.</w:t>
      </w:r>
    </w:p>
    <w:p>
      <w:pPr>
        <w:spacing w:after="160" w:line="360"/>
        <w:jc w:val="both"/>
      </w:pPr>
      <w:r>
        <w:rPr>
          <w:rFonts w:ascii="Cambria" w:cs="Cambria" w:eastAsia="Cambria" w:hAnsi="Cambria"/>
          <w:sz w:val="23"/>
          <w:szCs w:val="23"/>
        </w:rPr>
        <w:t xml:space="preserve">The structural isomorphism is precise: IBM’s mainframe revenues financed semiconductor R&amp;D (→ Stage 1), semiconductor learning curves reduced component costs from $25,000 to $500 per machine in constant dollars (→ Stage 2), and network externalities from software ecosystem growth exceeded mainframe value for most commercial applications (→ Stage 3). IBM’s mainframe market share fell from 80% (1975) to 15% (2000). The company posted an $8.1 billion loss in 1992—the largest corporate loss in American history at the time—directly attributable to the transition.</w:t>
      </w:r>
    </w:p>
    <w:p>
      <w:pPr>
        <w:spacing w:after="160" w:line="360"/>
        <w:jc w:val="both"/>
      </w:pPr>
      <w:r>
        <w:rPr>
          <w:rFonts w:ascii="Cambria" w:cs="Cambria" w:eastAsia="Cambria" w:hAnsi="Cambria"/>
          <w:sz w:val="23"/>
          <w:szCs w:val="23"/>
        </w:rPr>
        <w:t xml:space="preserve">The learning parameter for PC-era semiconductors (α = 0.24, Flamm 1993) is statistically indistinguishable from the full DRAM panel (α = 0.22). This parameter consistency across a 50-year span suggests a structural property of semiconductor manufacturing, not a coincidence.</w:t>
      </w:r>
    </w:p>
    <w:p>
      <w:pPr>
        <w:pStyle w:val="Heading2"/>
        <w:spacing w:before="300" w:after="160"/>
      </w:pPr>
      <w:r>
        <w:rPr>
          <w:rFonts w:ascii="Cambria" w:cs="Cambria" w:eastAsia="Cambria" w:hAnsi="Cambria"/>
          <w:b/>
          <w:bCs/>
          <w:sz w:val="28"/>
          <w:szCs w:val="28"/>
        </w:rPr>
        <w:t xml:space="preserve">4.2 ARPANET → Commercial Internet (1969–2000)</w:t>
      </w:r>
    </w:p>
    <w:p>
      <w:pPr>
        <w:spacing w:after="160" w:line="360"/>
        <w:jc w:val="both"/>
      </w:pPr>
      <w:r>
        <w:rPr>
          <w:rFonts w:ascii="Cambria" w:cs="Cambria" w:eastAsia="Cambria" w:hAnsi="Cambria"/>
          <w:sz w:val="23"/>
          <w:szCs w:val="23"/>
        </w:rPr>
        <w:t xml:space="preserve">The ARPANET–to–Internet transition provides a second test case with a different financing structure (government rather than corporate) but identical mechanism.</w:t>
      </w:r>
    </w:p>
    <w:p>
      <w:pPr>
        <w:spacing w:after="160" w:line="360"/>
        <w:jc w:val="both"/>
      </w:pPr>
      <w:r>
        <w:rPr>
          <w:rFonts w:ascii="Cambria" w:cs="Cambria" w:eastAsia="Cambria" w:hAnsi="Cambria"/>
          <w:sz w:val="23"/>
          <w:szCs w:val="23"/>
        </w:rPr>
        <w:t xml:space="preserve">ARPA and NSF invested in centralized network infrastructure: the original four-node ARPANET (1969), expansion to 562 hosts by 1983 when TCP/IP was mandated, and the NSFNET backbone (1985–1995). This investment drove development of TCP/IP protocols, router technology, and networking standards—the components of Stage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500"/>
        <w:gridCol w:w="1800"/>
        <w:gridCol w:w="1800"/>
        <w:gridCol w:w="1860"/>
      </w:tblGrid>
      <w:tr>
        <w:tc>
          <w:tcPr>
            <w:tcW w:type="dxa" w:w="9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Cambria" w:cs="Cambria" w:eastAsia="Cambria" w:hAnsi="Cambria"/>
                <w:b/>
                <w:bCs/>
                <w:color w:val="FFFFFF"/>
                <w:sz w:val="19"/>
                <w:szCs w:val="19"/>
              </w:rPr>
              <w:t xml:space="preserve">Year</w:t>
            </w:r>
          </w:p>
        </w:tc>
        <w:tc>
          <w:tcPr>
            <w:tcW w:type="dxa" w:w="1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Cambria" w:cs="Cambria" w:eastAsia="Cambria" w:hAnsi="Cambria"/>
                <w:b/>
                <w:bCs/>
                <w:color w:val="FFFFFF"/>
                <w:sz w:val="19"/>
                <w:szCs w:val="19"/>
              </w:rPr>
              <w:t xml:space="preserve">Hosts</w:t>
            </w:r>
          </w:p>
        </w:tc>
        <w:tc>
          <w:tcPr>
            <w:tcW w:type="dxa" w:w="1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Cambria" w:cs="Cambria" w:eastAsia="Cambria" w:hAnsi="Cambria"/>
                <w:b/>
                <w:bCs/>
                <w:color w:val="FFFFFF"/>
                <w:sz w:val="19"/>
                <w:szCs w:val="19"/>
              </w:rPr>
              <w:t xml:space="preserve">US Adult %</w:t>
            </w:r>
          </w:p>
        </w:tc>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Cambria" w:cs="Cambria" w:eastAsia="Cambria" w:hAnsi="Cambria"/>
                <w:b/>
                <w:bCs/>
                <w:color w:val="FFFFFF"/>
                <w:sz w:val="19"/>
                <w:szCs w:val="19"/>
              </w:rPr>
              <w:t xml:space="preserve">Proprietary %</w:t>
            </w:r>
          </w:p>
        </w:tc>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Cambria" w:cs="Cambria" w:eastAsia="Cambria" w:hAnsi="Cambria"/>
                <w:b/>
                <w:bCs/>
                <w:color w:val="FFFFFF"/>
                <w:sz w:val="19"/>
                <w:szCs w:val="19"/>
              </w:rPr>
              <w:t xml:space="preserve">Traffic (PB)</w:t>
            </w:r>
          </w:p>
        </w:tc>
        <w:tc>
          <w:tcPr>
            <w:tcW w:type="dxa" w:w="18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Cambria" w:cs="Cambria" w:eastAsia="Cambria" w:hAnsi="Cambria"/>
                <w:b/>
                <w:bCs/>
                <w:color w:val="FFFFFF"/>
                <w:sz w:val="19"/>
                <w:szCs w:val="19"/>
              </w:rPr>
              <w:t xml:space="preserve">Event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1969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&lt;0.001</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ARPANET: 4 nodes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1983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562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0.005</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TCP/IP mandated</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1985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1,961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0.01</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NSFNET funded</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1989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159,000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60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0.2</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AOL; WWW proposed</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1993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2.1M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45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8</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Mosaic browser</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1995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6.6M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50</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Netscape IPO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1997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19.5M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36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300</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Amazon IPO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2000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93M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52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3,000</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Dot-com peak</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2005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394M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68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0.2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50,000</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YouTube; Web 2.0</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2020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1.2B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90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0.02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5,000,000</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COVID digital</w:t>
            </w:r>
          </w:p>
        </w:tc>
      </w:tr>
    </w:tbl>
    <w:p>
      <w:pPr>
        <w:spacing w:before="60" w:after="200"/>
      </w:pPr>
      <w:r>
        <w:rPr>
          <w:rFonts w:ascii="Cambria" w:cs="Cambria" w:eastAsia="Cambria" w:hAnsi="Cambria"/>
          <w:i/>
          <w:iCs/>
          <w:color w:val="666666"/>
          <w:sz w:val="17"/>
          <w:szCs w:val="17"/>
        </w:rPr>
        <w:t xml:space="preserve">Table 7. Internet adoption trajectory. Sources: ISC domain survey, Pew Research, Census CPS, NSF archives.</w:t>
      </w:r>
    </w:p>
    <w:p>
      <w:pPr>
        <w:spacing w:after="160" w:line="360"/>
        <w:jc w:val="both"/>
      </w:pPr>
      <w:r>
        <w:rPr>
          <w:rFonts w:ascii="Cambria" w:cs="Cambria" w:eastAsia="Cambria" w:hAnsi="Cambria"/>
          <w:sz w:val="23"/>
          <w:szCs w:val="23"/>
        </w:rPr>
        <w:t xml:space="preserve">Stage 2 materialized as protocol costs fell: once TCP/IP was standardized and router hardware commoditized, the cost of adding a network node dropped precipitously. Stage 3 arrived when commercial ISPs, enabled by these cheap components, created a mesh network whose value (e-commerce, email, web) exceeded the centralized alternatives (CompuServe, Prodigy, AOL’s proprietary service). Proprietary online service market share collapsed from 60% (1989) to 2% (2000).</w:t>
      </w:r>
    </w:p>
    <w:p>
      <w:pPr>
        <w:spacing w:after="160" w:line="360"/>
        <w:jc w:val="both"/>
      </w:pPr>
      <w:r>
        <w:rPr>
          <w:rFonts w:ascii="Cambria" w:cs="Cambria" w:eastAsia="Cambria" w:hAnsi="Cambria"/>
          <w:sz w:val="23"/>
          <w:szCs w:val="23"/>
        </w:rPr>
        <w:t xml:space="preserve">Cloud compute learning rates (α = 0.25, AWS EC2 pricing 2006–2023) and web hosting costs (α = 0.28, 1998–2020) are broadly consistent with the semiconductor range, reflecting the shared hardware foundation.</w:t>
      </w:r>
    </w:p>
    <w:p>
      <w:pPr>
        <w:pStyle w:val="Heading2"/>
        <w:spacing w:before="300" w:after="160"/>
      </w:pPr>
      <w:r>
        <w:rPr>
          <w:rFonts w:ascii="Cambria" w:cs="Cambria" w:eastAsia="Cambria" w:hAnsi="Cambria"/>
          <w:b/>
          <w:bCs/>
          <w:sz w:val="28"/>
          <w:szCs w:val="28"/>
        </w:rPr>
        <w:t xml:space="preserve">4.3 Cross-Domain Learning Rate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200"/>
        <w:gridCol w:w="1200"/>
        <w:gridCol w:w="1960"/>
      </w:tblGrid>
      <w:tr>
        <w:tc>
          <w:tcPr>
            <w:tcW w:type="dxa" w:w="2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Cambria" w:cs="Cambria" w:eastAsia="Cambria" w:hAnsi="Cambria"/>
                <w:b/>
                <w:bCs/>
                <w:color w:val="FFFFFF"/>
                <w:sz w:val="19"/>
                <w:szCs w:val="19"/>
              </w:rPr>
              <w:t xml:space="preserve">Industry</w:t>
            </w:r>
          </w:p>
        </w:tc>
        <w:tc>
          <w:tcPr>
            <w:tcW w:type="dxa" w:w="3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Cambria" w:cs="Cambria" w:eastAsia="Cambria" w:hAnsi="Cambria"/>
                <w:b/>
                <w:bCs/>
                <w:color w:val="FFFFFF"/>
                <w:sz w:val="19"/>
                <w:szCs w:val="19"/>
              </w:rPr>
              <w:t xml:space="preserve">Product</w:t>
            </w:r>
          </w:p>
        </w:tc>
        <w:tc>
          <w:tcPr>
            <w:tcW w:type="dxa" w:w="1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Cambria" w:cs="Cambria" w:eastAsia="Cambria" w:hAnsi="Cambria"/>
                <w:b/>
                <w:bCs/>
                <w:color w:val="FFFFFF"/>
                <w:sz w:val="19"/>
                <w:szCs w:val="19"/>
              </w:rPr>
              <w:t xml:space="preserve">α</w:t>
            </w:r>
          </w:p>
        </w:tc>
        <w:tc>
          <w:tcPr>
            <w:tcW w:type="dxa" w:w="1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Cambria" w:cs="Cambria" w:eastAsia="Cambria" w:hAnsi="Cambria"/>
                <w:b/>
                <w:bCs/>
                <w:color w:val="FFFFFF"/>
                <w:sz w:val="19"/>
                <w:szCs w:val="19"/>
              </w:rPr>
              <w:t xml:space="preserve">SE</w:t>
            </w:r>
          </w:p>
        </w:tc>
        <w:tc>
          <w:tcPr>
            <w:tcW w:type="dxa" w:w="19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Cambria" w:cs="Cambria" w:eastAsia="Cambria" w:hAnsi="Cambria"/>
                <w:b/>
                <w:bCs/>
                <w:color w:val="FFFFFF"/>
                <w:sz w:val="19"/>
                <w:szCs w:val="19"/>
              </w:rPr>
              <w:t xml:space="preserve">Period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Semiconductor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DRAM (full panel)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0.22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0.03</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1984–2024</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Semiconductor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HBM (stacked memory)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0.23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0.06</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2015–2024</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Semiconductor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Intel microprocessors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0.24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0.04</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1974–1989</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Semiconductor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NAND Flash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0.24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0.05</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2003–2023</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Semiconductor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Solar PV cells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0.23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0.02</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1976–2023</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Energy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Lithium-ion batteries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0.21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0.03</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1995–2023</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Financial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Mobile money (M-Pesa)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0.19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2007–2020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Internet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Cloud compute (AWS)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0.25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0.03</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2006–2023</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Internet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Web hosting ($/GB)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0.28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0.04</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1998–2020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Aerospace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Wright (aircraft)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0.20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1936</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Automotive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Ford Model 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0.14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1909–1926</w:t>
            </w:r>
          </w:p>
        </w:tc>
      </w:tr>
    </w:tbl>
    <w:p>
      <w:pPr>
        <w:spacing w:before="60" w:after="200"/>
      </w:pPr>
      <w:r>
        <w:rPr>
          <w:rFonts w:ascii="Cambria" w:cs="Cambria" w:eastAsia="Cambria" w:hAnsi="Cambria"/>
          <w:i/>
          <w:iCs/>
          <w:color w:val="666666"/>
          <w:sz w:val="17"/>
          <w:szCs w:val="17"/>
        </w:rPr>
        <w:t xml:space="preserve">Table 8. Cross-domain learning rates. Semiconductor products cluster at α ∈ [0.19, 0.25] (mean 0.23). Sources: see data appendix.</w:t>
      </w:r>
    </w:p>
    <w:p>
      <w:pPr>
        <w:spacing w:after="160" w:line="360"/>
        <w:jc w:val="both"/>
      </w:pPr>
      <w:r>
        <w:rPr>
          <w:rFonts w:ascii="Cambria" w:cs="Cambria" w:eastAsia="Cambria" w:hAnsi="Cambria"/>
          <w:sz w:val="23"/>
          <w:szCs w:val="23"/>
        </w:rPr>
        <w:t xml:space="preserve">The semiconductor learning rates cluster tightly at α ∈ [0.19, 0.25] with a mean of 0.23. This consistency across products, firms, and decades suggests a structural property of semiconductor manufacturing—not a parameter that varies freely across applications. The implication for forecasting is important: the HBM learning rate can be reasonably projected forward using the same parameters that governed DRAM cost decline for 40 years.</w:t>
      </w:r>
    </w:p>
    <w:p>
      <w:pPr>
        <w:spacing w:after="80"/>
      </w:pPr>
    </w:p>
    <w:p>
      <w:pPr>
        <w:pStyle w:val="Heading1"/>
        <w:spacing w:before="400" w:after="200"/>
      </w:pPr>
      <w:r>
        <w:rPr>
          <w:rFonts w:ascii="Cambria" w:cs="Cambria" w:eastAsia="Cambria" w:hAnsi="Cambria"/>
          <w:b/>
          <w:bCs/>
          <w:sz w:val="32"/>
          <w:szCs w:val="32"/>
        </w:rPr>
        <w:t xml:space="preserve">5. Cross-Domain Generality: Monetary Systems</w:t>
      </w:r>
    </w:p>
    <w:p>
      <w:pPr>
        <w:spacing w:after="160" w:line="360"/>
        <w:jc w:val="both"/>
      </w:pPr>
      <w:r>
        <w:rPr>
          <w:rFonts w:ascii="Cambria" w:cs="Cambria" w:eastAsia="Cambria" w:hAnsi="Cambria"/>
          <w:sz w:val="23"/>
          <w:szCs w:val="23"/>
        </w:rPr>
        <w:t xml:space="preserve">If endogenous decentralization is a general mechanism rather than a technology-specific observation, it should be identifiable in domains beyond semiconductors. The monetary system provides a particularly informative test case because the “components” (digital payment rails, programmable custody, tokenized assets) and the “centralized investment” (banking infrastructure, government bond markets) are qualitatively different from silicon, yet the three-stage structure is observable.</w:t>
      </w:r>
    </w:p>
    <w:p>
      <w:pPr>
        <w:pStyle w:val="Heading2"/>
        <w:spacing w:before="300" w:after="160"/>
      </w:pPr>
      <w:r>
        <w:rPr>
          <w:rFonts w:ascii="Cambria" w:cs="Cambria" w:eastAsia="Cambria" w:hAnsi="Cambria"/>
          <w:b/>
          <w:bCs/>
          <w:sz w:val="28"/>
          <w:szCs w:val="28"/>
        </w:rPr>
        <w:t xml:space="preserve">5.1 Stablecoin Settlement as Stage 2 Evidence</w:t>
      </w:r>
    </w:p>
    <w:p>
      <w:pPr>
        <w:spacing w:after="160" w:line="360"/>
        <w:jc w:val="both"/>
      </w:pPr>
      <w:r>
        <w:rPr>
          <w:rFonts w:ascii="Cambria" w:cs="Cambria" w:eastAsia="Cambria" w:hAnsi="Cambria"/>
          <w:sz w:val="23"/>
          <w:szCs w:val="23"/>
        </w:rPr>
        <w:t xml:space="preserve">Stablecoin transaction volumes provide the clearest monetary-domain signal. Adjusted settlement volumes grew from $70 billion (2020-Q1) to $3.9 trillion (2025-Q1)—a 56× increase in five years. Crucially, this growth persisted through the Terra/Luna collapse (2022-Q2), the FTX collapse (2022-Q4), and aggressive regulatory action—consistent with utility-driven adoption rather than speculative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360"/>
      </w:tblGrid>
      <w:tr>
        <w:tc>
          <w:tcPr>
            <w:tcW w:type="dxa" w:w="1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Cambria" w:cs="Cambria" w:eastAsia="Cambria" w:hAnsi="Cambria"/>
                <w:b/>
                <w:bCs/>
                <w:color w:val="FFFFFF"/>
                <w:sz w:val="19"/>
                <w:szCs w:val="19"/>
              </w:rPr>
              <w:t xml:space="preserve">Quarter</w:t>
            </w:r>
          </w:p>
        </w:tc>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Cambria" w:cs="Cambria" w:eastAsia="Cambria" w:hAnsi="Cambria"/>
                <w:b/>
                <w:bCs/>
                <w:color w:val="FFFFFF"/>
                <w:sz w:val="19"/>
                <w:szCs w:val="19"/>
              </w:rPr>
              <w:t xml:space="preserve">Raw Vol. ($B)</w:t>
            </w:r>
          </w:p>
        </w:tc>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Cambria" w:cs="Cambria" w:eastAsia="Cambria" w:hAnsi="Cambria"/>
                <w:b/>
                <w:bCs/>
                <w:color w:val="FFFFFF"/>
                <w:sz w:val="19"/>
                <w:szCs w:val="19"/>
              </w:rPr>
              <w:t xml:space="preserve">Adjusted Vol. ($B)</w:t>
            </w:r>
          </w:p>
        </w:tc>
        <w:tc>
          <w:tcPr>
            <w:tcW w:type="dxa" w:w="33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Cambria" w:cs="Cambria" w:eastAsia="Cambria" w:hAnsi="Cambria"/>
                <w:b/>
                <w:bCs/>
                <w:color w:val="FFFFFF"/>
                <w:sz w:val="19"/>
                <w:szCs w:val="19"/>
              </w:rPr>
              <w:t xml:space="preserve">Note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2020-Q1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90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70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Pre-DeFi baseline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2021-Q2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1,400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900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Peak euphoria</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2022-Q4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600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400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FTX collapse — volumes drop less than prices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2023-Q4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1,200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850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BUIDL launch; PayPal PYUSD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2024-Q2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1,400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BUIDL $500M; Stripe stablecoin API</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2024-Q4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3,200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2,200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Post-election regulatory clarity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2025-Q1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4,200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3,900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mbria" w:cs="Cambria" w:eastAsia="Cambria" w:hAnsi="Cambria"/>
                <w:sz w:val="19"/>
                <w:szCs w:val="19"/>
              </w:rPr>
              <w:t xml:space="preserve">$15.6T annualized (Castle Island)</w:t>
            </w:r>
          </w:p>
        </w:tc>
      </w:tr>
    </w:tbl>
    <w:p>
      <w:pPr>
        <w:spacing w:before="60" w:after="200"/>
      </w:pPr>
      <w:r>
        <w:rPr>
          <w:rFonts w:ascii="Cambria" w:cs="Cambria" w:eastAsia="Cambria" w:hAnsi="Cambria"/>
          <w:i/>
          <w:iCs/>
          <w:color w:val="666666"/>
          <w:sz w:val="17"/>
          <w:szCs w:val="17"/>
        </w:rPr>
        <w:t xml:space="preserve">Table 9. Stablecoin quarterly settlement volumes. Sources: Castle Island/Brevan Howard, DefiLlama, on-chain analytics.</w:t>
      </w:r>
    </w:p>
    <w:p>
      <w:pPr>
        <w:spacing w:after="160" w:line="360"/>
        <w:jc w:val="both"/>
      </w:pPr>
      <w:r>
        <w:rPr>
          <w:rFonts w:ascii="Cambria" w:cs="Cambria" w:eastAsia="Cambria" w:hAnsi="Cambria"/>
          <w:sz w:val="23"/>
          <w:szCs w:val="23"/>
        </w:rPr>
        <w:t xml:space="preserve">The reserve composition shift provides a second identification channel. Tether’s U.S. Treasury allocation rose from 2.9% ($1.2B) in March 2021 to 83% ($113.7B) in December 2024. Combined USDT and USDC Treasury holdings now exceed $150 billion—making stablecoin issuers collectively a top-20 holder of U.S. government debt. Total stablecoin market capitalization reached $220 billion by January 2025.</w:t>
      </w:r>
    </w:p>
    <w:p>
      <w:pPr>
        <w:pStyle w:val="Heading2"/>
        <w:spacing w:before="300" w:after="160"/>
      </w:pPr>
      <w:r>
        <w:rPr>
          <w:rFonts w:ascii="Cambria" w:cs="Cambria" w:eastAsia="Cambria" w:hAnsi="Cambria"/>
          <w:b/>
          <w:bCs/>
          <w:sz w:val="28"/>
          <w:szCs w:val="28"/>
        </w:rPr>
        <w:t xml:space="preserve">5.2 Tokenized Securities and the x402 Protocol</w:t>
      </w:r>
    </w:p>
    <w:p>
      <w:pPr>
        <w:spacing w:after="160" w:line="360"/>
        <w:jc w:val="both"/>
      </w:pPr>
      <w:r>
        <w:rPr>
          <w:rFonts w:ascii="Cambria" w:cs="Cambria" w:eastAsia="Cambria" w:hAnsi="Cambria"/>
          <w:sz w:val="23"/>
          <w:szCs w:val="23"/>
        </w:rPr>
        <w:t xml:space="preserve">Tokenized U.S. Treasury AUM grew from $0.1 billion (January 2023, 3 products) to $3.8 billion (January 2025, 32 products). BlackRock’s BUIDL fund, launched March 2024, crossed $500 million within six months—the fastest-growing Treasury product in the firm’s history. Total tokenized real-world assets reached $9.8 billion by December 2024. JPMorgan’s Onyx platform settled $5 billion in tokenized repo by year-end 2024.</w:t>
      </w:r>
    </w:p>
    <w:p>
      <w:pPr>
        <w:spacing w:after="160" w:line="360"/>
        <w:jc w:val="both"/>
      </w:pPr>
      <w:r>
        <w:rPr>
          <w:rFonts w:ascii="Cambria" w:cs="Cambria" w:eastAsia="Cambria" w:hAnsi="Cambria"/>
          <w:sz w:val="23"/>
          <w:szCs w:val="23"/>
        </w:rPr>
        <w:t xml:space="preserve">The x402 protocol—an HTTP-native micropayment standard—exhibits the hockey-stick adoption pattern characteristic of Stage 3 network formation. From its initial deployment in June 2024 (50 million cumulative transactions, $5M weekly volume), it grew to 700 million cumulative transactions and $160M weekly volume by February 2025. The critical inflection was Coinbase’s MPC wallet integration in November 2024, which triggered a 4,300% volume spike—consistent with the network externality threshold the model predicts.</w:t>
      </w:r>
    </w:p>
    <w:p>
      <w:pPr>
        <w:pStyle w:val="Heading2"/>
        <w:spacing w:before="300" w:after="160"/>
      </w:pPr>
      <w:r>
        <w:rPr>
          <w:rFonts w:ascii="Cambria" w:cs="Cambria" w:eastAsia="Cambria" w:hAnsi="Cambria"/>
          <w:b/>
          <w:bCs/>
          <w:sz w:val="28"/>
          <w:szCs w:val="28"/>
        </w:rPr>
        <w:t xml:space="preserve">5.3 The Monetary Mechanism</w:t>
      </w:r>
    </w:p>
    <w:p>
      <w:pPr>
        <w:spacing w:after="160" w:line="360"/>
        <w:jc w:val="both"/>
      </w:pPr>
      <w:r>
        <w:rPr>
          <w:rFonts w:ascii="Cambria" w:cs="Cambria" w:eastAsia="Cambria" w:hAnsi="Cambria"/>
          <w:sz w:val="23"/>
          <w:szCs w:val="23"/>
        </w:rPr>
        <w:t xml:space="preserve">The three-stage structure maps as follows. Stage 1: centralized banking and government bond markets invested in payment infrastructure, settlement systems, and treasury yield curves—the “components” of the financial system. Stage 2: stablecoin and tokenized asset protocols recombine these components (USD stability, Treasury yields, programmable settlement) into distributed architectures at dramatically lower cost. Stage 3: once network externalities in the distributed system exceed value capture by centralized intermediaries, adoption accelerates.</w:t>
      </w:r>
    </w:p>
    <w:p>
      <w:pPr>
        <w:spacing w:after="160" w:line="360"/>
        <w:jc w:val="both"/>
      </w:pPr>
      <w:r>
        <w:rPr>
          <w:rFonts w:ascii="Cambria" w:cs="Cambria" w:eastAsia="Cambria" w:hAnsi="Cambria"/>
          <w:sz w:val="23"/>
          <w:szCs w:val="23"/>
        </w:rPr>
        <w:t xml:space="preserve">The monetary domain introduces a complication absent from semiconductors: the reserve asset problem. Stablecoins backed by Treasury securities create demand for the very government debt that the distributed system partially disintermediates—a modern Triffin dilemma (Triffin, 1960). Formalizing this equilibrium is beyond the scope of this paper; Smirl (2026) develops the full monetary treatment in a companion thesis.</w:t>
      </w:r>
    </w:p>
    <w:p>
      <w:pPr>
        <w:spacing w:after="80"/>
      </w:pPr>
    </w:p>
    <w:p>
      <w:pPr>
        <w:pStyle w:val="Heading1"/>
        <w:spacing w:before="400" w:after="200"/>
      </w:pPr>
      <w:r>
        <w:rPr>
          <w:rFonts w:ascii="Cambria" w:cs="Cambria" w:eastAsia="Cambria" w:hAnsi="Cambria"/>
          <w:b/>
          <w:bCs/>
          <w:sz w:val="32"/>
          <w:szCs w:val="32"/>
        </w:rPr>
        <w:t xml:space="preserve">6. Formal Model: The Differential Game</w:t>
      </w:r>
    </w:p>
    <w:p>
      <w:pPr>
        <w:pStyle w:val="Heading2"/>
        <w:spacing w:before="300" w:after="160"/>
      </w:pPr>
      <w:r>
        <w:rPr>
          <w:rFonts w:ascii="Cambria" w:cs="Cambria" w:eastAsia="Cambria" w:hAnsi="Cambria"/>
          <w:b/>
          <w:bCs/>
          <w:sz w:val="28"/>
          <w:szCs w:val="28"/>
        </w:rPr>
        <w:t xml:space="preserve">6.1 Setup</w:t>
      </w:r>
    </w:p>
    <w:p>
      <w:pPr>
        <w:spacing w:after="160" w:line="360"/>
        <w:jc w:val="both"/>
      </w:pPr>
      <w:r>
        <w:rPr>
          <w:rFonts w:ascii="Cambria" w:cs="Cambria" w:eastAsia="Cambria" w:hAnsi="Cambria"/>
          <w:sz w:val="23"/>
          <w:szCs w:val="23"/>
        </w:rPr>
        <w:t xml:space="preserve">Consider N symmetric centralized firms indexed by i ∈ {1,...,N}, each choosing investment I</w:t>
      </w:r>
      <w:r>
        <w:rPr>
          <w:rFonts w:ascii="Cambria" w:cs="Cambria" w:eastAsia="Cambria" w:hAnsi="Cambria"/>
          <w:sz w:val="23"/>
          <w:szCs w:val="23"/>
          <w:vertAlign w:val="subscript"/>
        </w:rPr>
        <w:t xml:space="preserve">i</w:t>
      </w:r>
      <w:r>
        <w:rPr>
          <w:rFonts w:ascii="Cambria" w:cs="Cambria" w:eastAsia="Cambria" w:hAnsi="Cambria"/>
          <w:sz w:val="23"/>
          <w:szCs w:val="23"/>
        </w:rPr>
        <w:t xml:space="preserve">(t) at each date t. Investment produces centralized capacity K</w:t>
      </w:r>
      <w:r>
        <w:rPr>
          <w:rFonts w:ascii="Cambria" w:cs="Cambria" w:eastAsia="Cambria" w:hAnsi="Cambria"/>
          <w:sz w:val="23"/>
          <w:szCs w:val="23"/>
          <w:vertAlign w:val="subscript"/>
        </w:rPr>
        <w:t xml:space="preserve">i</w:t>
      </w:r>
      <w:r>
        <w:rPr>
          <w:rFonts w:ascii="Cambria" w:cs="Cambria" w:eastAsia="Cambria" w:hAnsi="Cambria"/>
          <w:sz w:val="23"/>
          <w:szCs w:val="23"/>
        </w:rPr>
        <w:t xml:space="preserve">(t) and, as a byproduct, cumulative component production Q(t) = Σ q</w:t>
      </w:r>
      <w:r>
        <w:rPr>
          <w:rFonts w:ascii="Cambria" w:cs="Cambria" w:eastAsia="Cambria" w:hAnsi="Cambria"/>
          <w:sz w:val="23"/>
          <w:szCs w:val="23"/>
          <w:vertAlign w:val="subscript"/>
        </w:rPr>
        <w:t xml:space="preserve">i</w:t>
      </w:r>
      <w:r>
        <w:rPr>
          <w:rFonts w:ascii="Cambria" w:cs="Cambria" w:eastAsia="Cambria" w:hAnsi="Cambria"/>
          <w:sz w:val="23"/>
          <w:szCs w:val="23"/>
        </w:rPr>
        <w:t xml:space="preserve">(t). Each firm earns flow profits π</w:t>
      </w:r>
      <w:r>
        <w:rPr>
          <w:rFonts w:ascii="Cambria" w:cs="Cambria" w:eastAsia="Cambria" w:hAnsi="Cambria"/>
          <w:sz w:val="23"/>
          <w:szCs w:val="23"/>
          <w:vertAlign w:val="subscript"/>
        </w:rPr>
        <w:t xml:space="preserve">i</w:t>
      </w:r>
      <w:r>
        <w:rPr>
          <w:rFonts w:ascii="Cambria" w:cs="Cambria" w:eastAsia="Cambria" w:hAnsi="Cambria"/>
          <w:sz w:val="23"/>
          <w:szCs w:val="23"/>
        </w:rPr>
        <w:t xml:space="preserve">(t) from centralized services (cloud API access, inference-as-a-service) proportional to its capacity share.</w:t>
      </w:r>
    </w:p>
    <w:p>
      <w:pPr>
        <w:spacing w:after="160" w:line="360"/>
        <w:jc w:val="both"/>
      </w:pPr>
      <w:r>
        <w:rPr>
          <w:rFonts w:ascii="Cambria" w:cs="Cambria" w:eastAsia="Cambria" w:hAnsi="Cambria"/>
          <w:sz w:val="23"/>
          <w:szCs w:val="23"/>
        </w:rPr>
        <w:t xml:space="preserve">Cumulative production drives component costs along the learning curve (Equation 1). The distributed paradigm becomes viable when component cost c(Q) falls below threshold c*. Define the crossing time:</w:t>
      </w:r>
    </w:p>
    <w:p>
      <w:pPr>
        <w:spacing w:before="200" w:after="200"/>
        <w:jc w:val="center"/>
      </w:pPr>
      <w:r>
        <w:rPr>
          <w:rFonts w:ascii="Cambria Math" w:cs="Cambria Math" w:eastAsia="Cambria Math" w:hAnsi="Cambria Math"/>
          <w:sz w:val="23"/>
          <w:szCs w:val="23"/>
        </w:rPr>
        <w:t xml:space="preserve">T* = inf{t : c(Q(t)) ≤ c*}</w:t>
      </w:r>
      <w:r>
        <w:rPr>
          <w:rFonts w:ascii="Cambria" w:cs="Cambria" w:eastAsia="Cambria" w:hAnsi="Cambria"/>
          <w:color w:val="666666"/>
          <w:sz w:val="18"/>
          <w:szCs w:val="18"/>
        </w:rPr>
        <w:t xml:space="preserve">     (5)</w:t>
      </w:r>
    </w:p>
    <w:p>
      <w:pPr>
        <w:spacing w:after="160" w:line="360"/>
        <w:jc w:val="both"/>
      </w:pPr>
      <w:r>
        <w:rPr>
          <w:rFonts w:ascii="Cambria" w:cs="Cambria" w:eastAsia="Cambria" w:hAnsi="Cambria"/>
          <w:sz w:val="23"/>
          <w:szCs w:val="23"/>
        </w:rPr>
        <w:t xml:space="preserve">After T*, the distributed paradigm captures an increasing share of the market, reducing each firm’s profits. For simplicity, assume post-crossing profits decay exponentially:</w:t>
      </w:r>
    </w:p>
    <w:p>
      <w:pPr>
        <w:spacing w:before="200" w:after="200"/>
        <w:jc w:val="center"/>
      </w:pPr>
      <w:r>
        <w:rPr>
          <w:rFonts w:ascii="Cambria Math" w:cs="Cambria Math" w:eastAsia="Cambria Math" w:hAnsi="Cambria Math"/>
          <w:sz w:val="23"/>
          <w:szCs w:val="23"/>
        </w:rPr>
        <w:t xml:space="preserve">π_i(t) = π̄_i · exp(–δ(t – T*))  for t &gt; T*</w:t>
      </w:r>
      <w:r>
        <w:rPr>
          <w:rFonts w:ascii="Cambria" w:cs="Cambria" w:eastAsia="Cambria" w:hAnsi="Cambria"/>
          <w:color w:val="666666"/>
          <w:sz w:val="18"/>
          <w:szCs w:val="18"/>
        </w:rPr>
        <w:t xml:space="preserve">     (6)</w:t>
      </w:r>
    </w:p>
    <w:p>
      <w:pPr>
        <w:spacing w:after="160" w:line="360"/>
        <w:jc w:val="both"/>
      </w:pPr>
      <w:r>
        <w:rPr>
          <w:rFonts w:ascii="Cambria" w:cs="Cambria" w:eastAsia="Cambria" w:hAnsi="Cambria"/>
          <w:sz w:val="23"/>
          <w:szCs w:val="23"/>
        </w:rPr>
        <w:t xml:space="preserve">where δ is the displacement rate.</w:t>
      </w:r>
    </w:p>
    <w:p>
      <w:pPr>
        <w:pStyle w:val="Heading2"/>
        <w:spacing w:before="300" w:after="160"/>
      </w:pPr>
      <w:r>
        <w:rPr>
          <w:rFonts w:ascii="Cambria" w:cs="Cambria" w:eastAsia="Cambria" w:hAnsi="Cambria"/>
          <w:b/>
          <w:bCs/>
          <w:sz w:val="28"/>
          <w:szCs w:val="28"/>
        </w:rPr>
        <w:t xml:space="preserve">6.2 The Nash Equilibrium</w:t>
      </w:r>
    </w:p>
    <w:p>
      <w:pPr>
        <w:spacing w:after="160" w:line="360"/>
        <w:jc w:val="both"/>
      </w:pPr>
      <w:r>
        <w:rPr>
          <w:rFonts w:ascii="Cambria" w:cs="Cambria" w:eastAsia="Cambria" w:hAnsi="Cambria"/>
          <w:sz w:val="23"/>
          <w:szCs w:val="23"/>
        </w:rPr>
        <w:t xml:space="preserve">Each firm maximizes discounted profits:</w:t>
      </w:r>
    </w:p>
    <w:p>
      <w:pPr>
        <w:spacing w:before="200" w:after="200"/>
        <w:jc w:val="center"/>
      </w:pPr>
      <w:r>
        <w:rPr>
          <w:rFonts w:ascii="Cambria Math" w:cs="Cambria Math" w:eastAsia="Cambria Math" w:hAnsi="Cambria Math"/>
          <w:sz w:val="23"/>
          <w:szCs w:val="23"/>
        </w:rPr>
        <w:t xml:space="preserve">max_{I_i(t)} ∫_0^∞ e^(–rt) [π_i(t) – I_i(t)] dt</w:t>
      </w:r>
      <w:r>
        <w:rPr>
          <w:rFonts w:ascii="Cambria" w:cs="Cambria" w:eastAsia="Cambria" w:hAnsi="Cambria"/>
          <w:color w:val="666666"/>
          <w:sz w:val="18"/>
          <w:szCs w:val="18"/>
        </w:rPr>
        <w:t xml:space="preserve">     (7)</w:t>
      </w:r>
    </w:p>
    <w:p>
      <w:pPr>
        <w:spacing w:after="160" w:line="360"/>
        <w:jc w:val="both"/>
      </w:pPr>
      <w:r>
        <w:rPr>
          <w:rFonts w:ascii="Cambria" w:cs="Cambria" w:eastAsia="Cambria" w:hAnsi="Cambria"/>
          <w:sz w:val="23"/>
          <w:szCs w:val="23"/>
        </w:rPr>
        <w:t xml:space="preserve">subject to the learning curve dynamics. The key first-order condition:</w:t>
      </w:r>
    </w:p>
    <w:p>
      <w:pPr>
        <w:spacing w:before="200" w:after="200"/>
        <w:jc w:val="center"/>
      </w:pPr>
      <w:r>
        <w:rPr>
          <w:rFonts w:ascii="Cambria Math" w:cs="Cambria Math" w:eastAsia="Cambria Math" w:hAnsi="Cambria Math"/>
          <w:sz w:val="23"/>
          <w:szCs w:val="23"/>
        </w:rPr>
        <w:t xml:space="preserve">r · V_i = π_i – I_i + (∂V_i/∂Q) · Q̇ + (∂V_i/∂K_i) · K̇_i</w:t>
      </w:r>
      <w:r>
        <w:rPr>
          <w:rFonts w:ascii="Cambria" w:cs="Cambria" w:eastAsia="Cambria" w:hAnsi="Cambria"/>
          <w:color w:val="666666"/>
          <w:sz w:val="18"/>
          <w:szCs w:val="18"/>
        </w:rPr>
        <w:t xml:space="preserve">     (8)</w:t>
      </w:r>
    </w:p>
    <w:p>
      <w:pPr>
        <w:spacing w:after="160" w:line="360"/>
        <w:jc w:val="both"/>
      </w:pPr>
      <w:r>
        <w:rPr>
          <w:rFonts w:ascii="Cambria" w:cs="Cambria" w:eastAsia="Cambria" w:hAnsi="Cambria"/>
          <w:sz w:val="23"/>
          <w:szCs w:val="23"/>
        </w:rPr>
        <w:t xml:space="preserve">In Nash equilibrium, each firm ignores its investment’s effect on aggregate Q and hence on T*. The critical externality: firm i’s investment contribution to Q lowers c(Q) for </w:t>
      </w:r>
      <w:r>
        <w:rPr>
          <w:rFonts w:ascii="Cambria" w:cs="Cambria" w:eastAsia="Cambria" w:hAnsi="Cambria"/>
          <w:i/>
          <w:iCs/>
          <w:sz w:val="23"/>
          <w:szCs w:val="23"/>
        </w:rPr>
        <w:t xml:space="preserve">all</w:t>
      </w:r>
      <w:r>
        <w:rPr>
          <w:rFonts w:ascii="Cambria" w:cs="Cambria" w:eastAsia="Cambria" w:hAnsi="Cambria"/>
          <w:sz w:val="23"/>
          <w:szCs w:val="23"/>
        </w:rPr>
        <w:t xml:space="preserve"> firms’ future components, accelerating T* for the entire industry. But firm i captures only 1/N of the value of T* acceleration (through future profit reduction) while paying the full cost of investment.</w:t>
      </w:r>
    </w:p>
    <w:p>
      <w:pPr>
        <w:spacing w:after="160" w:line="360"/>
        <w:jc w:val="both"/>
      </w:pPr>
      <w:r>
        <w:rPr>
          <w:rFonts w:ascii="Cambria" w:cs="Cambria" w:eastAsia="Cambria" w:hAnsi="Cambria"/>
          <w:sz w:val="23"/>
          <w:szCs w:val="23"/>
        </w:rPr>
        <w:t xml:space="preserve">The Nash equilibrium therefore features </w:t>
      </w:r>
      <w:r>
        <w:rPr>
          <w:rFonts w:ascii="Cambria" w:cs="Cambria" w:eastAsia="Cambria" w:hAnsi="Cambria"/>
          <w:b/>
          <w:bCs/>
          <w:sz w:val="23"/>
          <w:szCs w:val="23"/>
        </w:rPr>
        <w:t xml:space="preserve">overinvestment relative to the cooperative optimum</w:t>
      </w:r>
      <w:r>
        <w:rPr>
          <w:rFonts w:ascii="Cambria" w:cs="Cambria" w:eastAsia="Cambria" w:hAnsi="Cambria"/>
          <w:sz w:val="23"/>
          <w:szCs w:val="23"/>
        </w:rPr>
        <w:t xml:space="preserve">. In the cooperative solution, firms internalize the full effect of investment on T* and invest less. The result:</w:t>
      </w:r>
    </w:p>
    <w:p>
      <w:pPr>
        <w:spacing w:before="200" w:after="200"/>
        <w:jc w:val="center"/>
      </w:pPr>
      <w:r>
        <w:rPr>
          <w:rFonts w:ascii="Cambria Math" w:cs="Cambria Math" w:eastAsia="Cambria Math" w:hAnsi="Cambria Math"/>
          <w:sz w:val="23"/>
          <w:szCs w:val="23"/>
        </w:rPr>
        <w:t xml:space="preserve">I_Nash &gt; I_Coop  ⇒  T*_Nash &lt; T*_Coop</w:t>
      </w:r>
      <w:r>
        <w:rPr>
          <w:rFonts w:ascii="Cambria" w:cs="Cambria" w:eastAsia="Cambria" w:hAnsi="Cambria"/>
          <w:color w:val="666666"/>
          <w:sz w:val="18"/>
          <w:szCs w:val="18"/>
        </w:rPr>
        <w:t xml:space="preserve">     (9)</w:t>
      </w:r>
    </w:p>
    <w:p>
      <w:pPr>
        <w:spacing w:after="160" w:line="360"/>
        <w:jc w:val="both"/>
      </w:pPr>
      <w:r>
        <w:rPr>
          <w:rFonts w:ascii="Cambria" w:cs="Cambria" w:eastAsia="Cambria" w:hAnsi="Cambria"/>
          <w:sz w:val="23"/>
          <w:szCs w:val="23"/>
        </w:rPr>
        <w:t xml:space="preserve">Competing centralized firms collectively invest more than a monopolist would, collectively accelerating the crossing time beyond what any firm would individually prefer. The $1.3 trillion hyperscaler buildout may be precisely this Nash equilibrium operating in real time: each firm invests because its rivals are investing, and the collective result is acceleration of the very distributed alternative that will erode their margins.</w:t>
      </w:r>
    </w:p>
    <w:p>
      <w:pPr>
        <w:pStyle w:val="Heading2"/>
        <w:spacing w:before="300" w:after="160"/>
      </w:pPr>
      <w:r>
        <w:rPr>
          <w:rFonts w:ascii="Cambria" w:cs="Cambria" w:eastAsia="Cambria" w:hAnsi="Cambria"/>
          <w:b/>
          <w:bCs/>
          <w:sz w:val="28"/>
          <w:szCs w:val="28"/>
        </w:rPr>
        <w:t xml:space="preserve">6.3 Calibration</w:t>
      </w:r>
    </w:p>
    <w:p>
      <w:pPr>
        <w:spacing w:after="160" w:line="360"/>
        <w:jc w:val="both"/>
      </w:pPr>
      <w:r>
        <w:rPr>
          <w:rFonts w:ascii="Cambria" w:cs="Cambria" w:eastAsia="Cambria" w:hAnsi="Cambria"/>
          <w:sz w:val="23"/>
          <w:szCs w:val="23"/>
        </w:rPr>
        <w:t xml:space="preserve">The model’s parameters can be calibrated from observable data:</w:t>
      </w:r>
    </w:p>
    <w:p>
      <w:pPr>
        <w:spacing w:after="160" w:line="360"/>
        <w:jc w:val="both"/>
      </w:pPr>
      <w:r>
        <w:rPr>
          <w:rFonts w:ascii="Cambria" w:cs="Cambria" w:eastAsia="Cambria" w:hAnsi="Cambria"/>
          <w:sz w:val="23"/>
          <w:szCs w:val="23"/>
        </w:rPr>
        <w:t xml:space="preserve">α = 0.22 (DRAM learning elasticity, Table 2, n = 41, R² = 0.96). I(t) trajectory from Table 4: cumulative $1.3T through 2025, projected $1.7T by 2028. The corrected RK1828 benchmarks (Section 3.4) reveal that c* should be defined in terms of </w:t>
      </w:r>
      <w:r>
        <w:rPr>
          <w:rFonts w:ascii="Cambria" w:cs="Cambria" w:eastAsia="Cambria" w:hAnsi="Cambria"/>
          <w:i/>
          <w:iCs/>
          <w:sz w:val="23"/>
          <w:szCs w:val="23"/>
        </w:rPr>
        <w:t xml:space="preserve">memory capacity</w:t>
      </w:r>
      <w:r>
        <w:rPr>
          <w:rFonts w:ascii="Cambria" w:cs="Cambria" w:eastAsia="Cambria" w:hAnsi="Cambria"/>
          <w:sz w:val="23"/>
          <w:szCs w:val="23"/>
        </w:rPr>
        <w:t xml:space="preserve"> rather than compute cost: the chip already achieves 93M params/$ (exceeding the 2028 crossing projection) but is limited to 7B models by its 5GB stacked DRAM. The binding constraint is therefore on-chip memory ≥ 50GB at consumer price points, corresponding to HBM cost of approximately $5–7/GB (within the HBM4/HBM4E range). At the observed HBM learning rate (α = 0.23), this cost threshold is reached circa 2028–2030, consistent with the consumer silicon trajectory in Table 5.</w:t>
      </w:r>
    </w:p>
    <w:p>
      <w:pPr>
        <w:spacing w:after="160" w:line="360"/>
        <w:jc w:val="both"/>
      </w:pPr>
      <w:r>
        <w:rPr>
          <w:rFonts w:ascii="Cambria" w:cs="Cambria" w:eastAsia="Cambria" w:hAnsi="Cambria"/>
          <w:sz w:val="23"/>
          <w:szCs w:val="23"/>
        </w:rPr>
        <w:t xml:space="preserve">The Nash overinvestment prediction is testable: if firms were cooperating, the 2025 capex guidance of $436B would be lower (the cooperative equilibrium prediction). The fact that each firm’s guidance announcement explicitly referenced competitive pressure from rivals is qualitative evidence of the Nash dynamic.</w:t>
      </w:r>
    </w:p>
    <w:p>
      <w:pPr>
        <w:spacing w:after="80"/>
      </w:pPr>
    </w:p>
    <w:p>
      <w:pPr>
        <w:pStyle w:val="Heading1"/>
        <w:spacing w:before="400" w:after="200"/>
      </w:pPr>
      <w:r>
        <w:rPr>
          <w:rFonts w:ascii="Cambria" w:cs="Cambria" w:eastAsia="Cambria" w:hAnsi="Cambria"/>
          <w:b/>
          <w:bCs/>
          <w:sz w:val="32"/>
          <w:szCs w:val="32"/>
        </w:rPr>
        <w:t xml:space="preserve">7. Falsifiable Predictions</w:t>
      </w:r>
    </w:p>
    <w:p>
      <w:pPr>
        <w:spacing w:after="160" w:line="360"/>
        <w:jc w:val="both"/>
      </w:pPr>
      <w:r>
        <w:rPr>
          <w:rFonts w:ascii="Cambria" w:cs="Cambria" w:eastAsia="Cambria" w:hAnsi="Cambria"/>
          <w:sz w:val="23"/>
          <w:szCs w:val="23"/>
        </w:rPr>
        <w:t xml:space="preserve">The model generates five specific, falsifiable predictions with timing. If these fail, the theory is wrong.</w:t>
      </w:r>
    </w:p>
    <w:p>
      <w:pPr>
        <w:spacing w:after="160" w:line="360"/>
        <w:jc w:val="both"/>
      </w:pPr>
      <w:r>
        <w:rPr>
          <w:rFonts w:ascii="Cambria" w:cs="Cambria" w:eastAsia="Cambria" w:hAnsi="Cambria"/>
          <w:b/>
          <w:bCs/>
          <w:sz w:val="23"/>
          <w:szCs w:val="23"/>
        </w:rPr>
        <w:t xml:space="preserve">Prediction 1: Consumer Stacked Memory ≥ 16GB by 2027. </w:t>
      </w:r>
      <w:r>
        <w:rPr>
          <w:rFonts w:ascii="Cambria" w:cs="Cambria" w:eastAsia="Cambria" w:hAnsi="Cambria"/>
          <w:sz w:val="23"/>
          <w:szCs w:val="23"/>
        </w:rPr>
        <w:t xml:space="preserve">HBM-derived 3D stacking technology will appear in consumer products with ≥16GB on-chip stacked memory at price points below $200 by 2027. The Rockchip RK1828 (2025, $75, 5GB stacked) already </w:t>
      </w:r>
      <w:r>
        <w:rPr>
          <w:rFonts w:ascii="Cambria" w:cs="Cambria" w:eastAsia="Cambria" w:hAnsi="Cambria"/>
          <w:i/>
          <w:iCs/>
          <w:sz w:val="23"/>
          <w:szCs w:val="23"/>
        </w:rPr>
        <w:t xml:space="preserve">confirms</w:t>
      </w:r>
      <w:r>
        <w:rPr>
          <w:rFonts w:ascii="Cambria" w:cs="Cambria" w:eastAsia="Cambria" w:hAnsi="Cambria"/>
          <w:sz w:val="23"/>
          <w:szCs w:val="23"/>
        </w:rPr>
        <w:t xml:space="preserve"> HBM-to-consumer component migration as a shipping product. The prediction is now about capacity scaling, not existence. The RK1860 successor (Q2/Q3 2026) is the next signal: if it doubles to 10GB, the trajectory toward 50GB+ by 2028–2029 is on track. Evidence against: if stacked memory modules remain at ≤8GB through 2028, the capacity learning curve is slower than the HBM trajectory implies.</w:t>
      </w:r>
    </w:p>
    <w:p>
      <w:pPr>
        <w:spacing w:after="160" w:line="360"/>
        <w:jc w:val="both"/>
      </w:pPr>
      <w:r>
        <w:rPr>
          <w:rFonts w:ascii="Cambria" w:cs="Cambria" w:eastAsia="Cambria" w:hAnsi="Cambria"/>
          <w:b/>
          <w:bCs/>
          <w:sz w:val="23"/>
          <w:szCs w:val="23"/>
        </w:rPr>
        <w:t xml:space="preserve">Prediction 2: 70B On-Device by 2028–2030. </w:t>
      </w:r>
      <w:r>
        <w:rPr>
          <w:rFonts w:ascii="Cambria" w:cs="Cambria" w:eastAsia="Cambria" w:hAnsi="Cambria"/>
          <w:sz w:val="23"/>
          <w:szCs w:val="23"/>
        </w:rPr>
        <w:t xml:space="preserve">Consumer devices priced under $1,500 will run 70-billion-parameter language models at ≥20 tokens/second by 2028–2030. This is the T*</w:t>
      </w:r>
      <w:r>
        <w:rPr>
          <w:rFonts w:ascii="Cambria" w:cs="Cambria" w:eastAsia="Cambria" w:hAnsi="Cambria"/>
          <w:sz w:val="23"/>
          <w:szCs w:val="23"/>
          <w:vertAlign w:val="subscript"/>
        </w:rPr>
        <w:t xml:space="preserve">S</w:t>
      </w:r>
      <w:r>
        <w:rPr>
          <w:rFonts w:ascii="Cambria" w:cs="Cambria" w:eastAsia="Cambria" w:hAnsi="Cambria"/>
          <w:sz w:val="23"/>
          <w:szCs w:val="23"/>
        </w:rPr>
        <w:t xml:space="preserve"> crossing condition. The trajectory (Table 5) projects this based on extrapolating the M-series and HBM learning curves. If no device achieves this by 2031, the learning rate is slower than estimated or model compression has stalled.</w:t>
      </w:r>
    </w:p>
    <w:p>
      <w:pPr>
        <w:spacing w:after="160" w:line="360"/>
        <w:jc w:val="both"/>
      </w:pPr>
      <w:r>
        <w:rPr>
          <w:rFonts w:ascii="Cambria" w:cs="Cambria" w:eastAsia="Cambria" w:hAnsi="Cambria"/>
          <w:b/>
          <w:bCs/>
          <w:sz w:val="23"/>
          <w:szCs w:val="23"/>
        </w:rPr>
        <w:t xml:space="preserve">Prediction 3: Hyperscaler Capex Deceleration by 2027–2028. </w:t>
      </w:r>
      <w:r>
        <w:rPr>
          <w:rFonts w:ascii="Cambria" w:cs="Cambria" w:eastAsia="Cambria" w:hAnsi="Cambria"/>
          <w:sz w:val="23"/>
          <w:szCs w:val="23"/>
        </w:rPr>
        <w:t xml:space="preserve">At least one of the top-four hyperscalers (Microsoft, Alphabet, Amazon, Meta) will reduce AI infrastructure capex by ≥20% year-over-year before 2029. This follows from the model’s prediction that firms will recognize the self-undermining dynamic and attempt to moderate investment—though the Nash equilibrium makes collective deceleration unstable.</w:t>
      </w:r>
    </w:p>
    <w:p>
      <w:pPr>
        <w:spacing w:after="160" w:line="360"/>
        <w:jc w:val="both"/>
      </w:pPr>
      <w:r>
        <w:rPr>
          <w:rFonts w:ascii="Cambria" w:cs="Cambria" w:eastAsia="Cambria" w:hAnsi="Cambria"/>
          <w:b/>
          <w:bCs/>
          <w:sz w:val="23"/>
          <w:szCs w:val="23"/>
        </w:rPr>
        <w:t xml:space="preserve">Prediction 4: Stablecoin-Treasury Holdings Exceed $300B by 2027. </w:t>
      </w:r>
      <w:r>
        <w:rPr>
          <w:rFonts w:ascii="Cambria" w:cs="Cambria" w:eastAsia="Cambria" w:hAnsi="Cambria"/>
          <w:sz w:val="23"/>
          <w:szCs w:val="23"/>
        </w:rPr>
        <w:t xml:space="preserve">From the current base of $150B+ in combined USDT/USDC Treasury holdings (December 2024), growth at the observed 2022–2024 trajectory implies $300B+ by 2027. This prediction tests the monetary domain’s Stage 2 continuation. If stablecoin Treasury holdings plateau below $200B, the monetary-domain mechanism faces a regulatory or adoption barrier not captured in the model.</w:t>
      </w:r>
    </w:p>
    <w:p>
      <w:pPr>
        <w:spacing w:after="160" w:line="360"/>
        <w:jc w:val="both"/>
      </w:pPr>
      <w:r>
        <w:rPr>
          <w:rFonts w:ascii="Cambria" w:cs="Cambria" w:eastAsia="Cambria" w:hAnsi="Cambria"/>
          <w:b/>
          <w:bCs/>
          <w:sz w:val="23"/>
          <w:szCs w:val="23"/>
        </w:rPr>
        <w:t xml:space="preserve">Prediction 5: Learning Rate Stability. </w:t>
      </w:r>
      <w:r>
        <w:rPr>
          <w:rFonts w:ascii="Cambria" w:cs="Cambria" w:eastAsia="Cambria" w:hAnsi="Cambria"/>
          <w:sz w:val="23"/>
          <w:szCs w:val="23"/>
        </w:rPr>
        <w:t xml:space="preserve">The DRAM/HBM learning elasticity will remain in the range α ∈ [0.18, 0.28] through 2030, as measured by updated price-quantity data. This is a meta-prediction testing the structural stability assumption underlying all other predictions. If α falls below 0.15 (severe flattening) or the learning curve breaks entirely (as some advanced-node lithography observers suggest is possible), all timing predictions shift outward.</w:t>
      </w:r>
    </w:p>
    <w:p>
      <w:pPr>
        <w:spacing w:after="80"/>
      </w:pPr>
    </w:p>
    <w:p>
      <w:pPr>
        <w:pStyle w:val="Heading1"/>
        <w:spacing w:before="400" w:after="200"/>
      </w:pPr>
      <w:r>
        <w:rPr>
          <w:rFonts w:ascii="Cambria" w:cs="Cambria" w:eastAsia="Cambria" w:hAnsi="Cambria"/>
          <w:b/>
          <w:bCs/>
          <w:sz w:val="32"/>
          <w:szCs w:val="32"/>
        </w:rPr>
        <w:t xml:space="preserve">8. Conclusion</w:t>
      </w:r>
    </w:p>
    <w:p>
      <w:pPr>
        <w:spacing w:after="160" w:line="360"/>
        <w:jc w:val="both"/>
      </w:pPr>
      <w:r>
        <w:rPr>
          <w:rFonts w:ascii="Cambria" w:cs="Cambria" w:eastAsia="Cambria" w:hAnsi="Cambria"/>
          <w:sz w:val="23"/>
          <w:szCs w:val="23"/>
        </w:rPr>
        <w:t xml:space="preserve">This paper has identified and formalized endogenous decentralization: a mechanism by which concentrated capital investment in centralized infrastructure finances the learning curves that enable distributed alternatives. The mechanism is empirically grounded in 41 years of DRAM pricing data, a 24-device consumer silicon trajectory, $1.3 trillion in hyperscaler capital expenditure records, and two well-documented historical transitions (mainframe→PC, ARPANET→Internet) exhibiting consistent learning parameters.</w:t>
      </w:r>
    </w:p>
    <w:p>
      <w:pPr>
        <w:spacing w:after="160" w:line="360"/>
        <w:jc w:val="both"/>
      </w:pPr>
      <w:r>
        <w:rPr>
          <w:rFonts w:ascii="Cambria" w:cs="Cambria" w:eastAsia="Cambria" w:hAnsi="Cambria"/>
          <w:sz w:val="23"/>
          <w:szCs w:val="23"/>
        </w:rPr>
        <w:t xml:space="preserve">The theoretical contribution is three-fold. First, the self-undermining investment property (∂T*/∂I &lt; 0) is distinct from learning-by-doing, GPT spillovers, and Schumpeterian creative destruction. Second, the differential game formalization shows that Nash equilibrium among competing centralized firms produces overinvestment that collectively accelerates crossing time—the $1.3 trillion AI buildout may be this equilibrium operating in real time. Third, a key empirical finding sharpens the prediction: the Rockchip RK1828 ($75, 2025) already achieves twice the cost-efficiency projected for the 2028 crossing year, revealing that the binding constraint for distributed AI is memory capacity per device—not compute cost per parameter—reducing the crossing forecast to a single observable: on-chip stacked memory reaching ~50GB at consumer price points, governed by the HBM learning curve (α = 0.23).</w:t>
      </w:r>
    </w:p>
    <w:p>
      <w:pPr>
        <w:spacing w:after="160" w:line="360"/>
        <w:jc w:val="both"/>
      </w:pPr>
      <w:r>
        <w:rPr>
          <w:rFonts w:ascii="Cambria" w:cs="Cambria" w:eastAsia="Cambria" w:hAnsi="Cambria"/>
          <w:sz w:val="23"/>
          <w:szCs w:val="23"/>
        </w:rPr>
        <w:t xml:space="preserve">The paper’s honesty constraint is important: all predictions carry specific timing and failure conditions. If the 70B on-device threshold is not reached by 2031, if HBM remains datacenter-exclusive, if hyperscaler capex continues accelerating indefinitely, or if the learning rate breaks from its 40-year range, the theory is either wrong or requires substantial revision. This is what distinguishes a falsifiable model from an unfalsifiable narrative.</w:t>
      </w:r>
    </w:p>
    <w:p>
      <w:pPr>
        <w:spacing w:after="160" w:line="360"/>
        <w:jc w:val="both"/>
      </w:pPr>
      <w:r>
        <w:rPr>
          <w:rFonts w:ascii="Cambria" w:cs="Cambria" w:eastAsia="Cambria" w:hAnsi="Cambria"/>
          <w:sz w:val="23"/>
          <w:szCs w:val="23"/>
        </w:rPr>
        <w:t xml:space="preserve">The welfare implications are significant but beyond this paper’s scope. If distributed AI inference becomes as ubiquitous as personal computing, the distributional consequences—who captures returns from AI capability, whether value accrues to infrastructure owners or device owners, how the transition affects labor markets and institutional power—deserve sustained attention from economists. The mechanism described here does not predict </w:t>
      </w:r>
      <w:r>
        <w:rPr>
          <w:rFonts w:ascii="Cambria" w:cs="Cambria" w:eastAsia="Cambria" w:hAnsi="Cambria"/>
          <w:i/>
          <w:iCs/>
          <w:sz w:val="23"/>
          <w:szCs w:val="23"/>
        </w:rPr>
        <w:t xml:space="preserve">whether</w:t>
      </w:r>
      <w:r>
        <w:rPr>
          <w:rFonts w:ascii="Cambria" w:cs="Cambria" w:eastAsia="Cambria" w:hAnsi="Cambria"/>
          <w:sz w:val="23"/>
          <w:szCs w:val="23"/>
        </w:rPr>
        <w:t xml:space="preserve"> decentralization is welfare-improving, only that concentrated investment </w:t>
      </w:r>
      <w:r>
        <w:rPr>
          <w:rFonts w:ascii="Cambria" w:cs="Cambria" w:eastAsia="Cambria" w:hAnsi="Cambria"/>
          <w:i/>
          <w:iCs/>
          <w:sz w:val="23"/>
          <w:szCs w:val="23"/>
        </w:rPr>
        <w:t xml:space="preserve">endogenously produces</w:t>
      </w:r>
      <w:r>
        <w:rPr>
          <w:rFonts w:ascii="Cambria" w:cs="Cambria" w:eastAsia="Cambria" w:hAnsi="Cambria"/>
          <w:sz w:val="23"/>
          <w:szCs w:val="23"/>
        </w:rPr>
        <w:t xml:space="preserve"> it.</w:t>
      </w:r>
    </w:p>
    <w:p>
      <w:pPr>
        <w:spacing w:after="80"/>
      </w:pPr>
    </w:p>
    <w:p>
      <w:pPr>
        <w:pStyle w:val="Heading1"/>
        <w:spacing w:before="400" w:after="200"/>
      </w:pPr>
      <w:r>
        <w:rPr>
          <w:rFonts w:ascii="Cambria" w:cs="Cambria" w:eastAsia="Cambria" w:hAnsi="Cambria"/>
          <w:b/>
          <w:bCs/>
          <w:sz w:val="32"/>
          <w:szCs w:val="32"/>
        </w:rPr>
        <w:t xml:space="preserve">References</w:t>
      </w:r>
    </w:p>
    <w:p>
      <w:pPr>
        <w:spacing w:after="100" w:line="300"/>
        <w:ind w:left="720" w:hanging="720"/>
        <w:jc w:val="both"/>
      </w:pPr>
      <w:r>
        <w:rPr>
          <w:rFonts w:ascii="Cambria" w:cs="Cambria" w:eastAsia="Cambria" w:hAnsi="Cambria"/>
          <w:sz w:val="23"/>
          <w:szCs w:val="23"/>
        </w:rPr>
        <w:t xml:space="preserve">Acemoglu, D., &amp; Robinson, J. A. (2012). Why Nations Fail. Crown Business.</w:t>
      </w:r>
    </w:p>
    <w:p>
      <w:pPr>
        <w:spacing w:after="100" w:line="300"/>
        <w:ind w:left="720" w:hanging="720"/>
        <w:jc w:val="both"/>
      </w:pPr>
      <w:r>
        <w:rPr>
          <w:rFonts w:ascii="Cambria" w:cs="Cambria" w:eastAsia="Cambria" w:hAnsi="Cambria"/>
          <w:sz w:val="23"/>
          <w:szCs w:val="23"/>
        </w:rPr>
        <w:t xml:space="preserve">Arrow, K. J. (1962). The economic implications of learning by doing. Review of Economic Studies, 29(3), 155–173.</w:t>
      </w:r>
    </w:p>
    <w:p>
      <w:pPr>
        <w:spacing w:after="100" w:line="300"/>
        <w:ind w:left="720" w:hanging="720"/>
        <w:jc w:val="both"/>
      </w:pPr>
      <w:r>
        <w:rPr>
          <w:rFonts w:ascii="Cambria" w:cs="Cambria" w:eastAsia="Cambria" w:hAnsi="Cambria"/>
          <w:sz w:val="23"/>
          <w:szCs w:val="23"/>
        </w:rPr>
        <w:t xml:space="preserve">Arthur, W. B. (1989). Competing technologies, increasing returns, and lock-in by historical events. Economic Journal, 99(394), 116–131.</w:t>
      </w:r>
    </w:p>
    <w:p>
      <w:pPr>
        <w:spacing w:after="100" w:line="300"/>
        <w:ind w:left="720" w:hanging="720"/>
        <w:jc w:val="both"/>
      </w:pPr>
      <w:r>
        <w:rPr>
          <w:rFonts w:ascii="Cambria" w:cs="Cambria" w:eastAsia="Cambria" w:hAnsi="Cambria"/>
          <w:sz w:val="23"/>
          <w:szCs w:val="23"/>
        </w:rPr>
        <w:t xml:space="preserve">Bresnahan, T. F., &amp; Trajtenberg, M. (1995). General purpose technologies: Engines of growth? Journal of Econometrics, 65(1), 83–108.</w:t>
      </w:r>
    </w:p>
    <w:p>
      <w:pPr>
        <w:spacing w:after="100" w:line="300"/>
        <w:ind w:left="720" w:hanging="720"/>
        <w:jc w:val="both"/>
      </w:pPr>
      <w:r>
        <w:rPr>
          <w:rFonts w:ascii="Cambria" w:cs="Cambria" w:eastAsia="Cambria" w:hAnsi="Cambria"/>
          <w:sz w:val="23"/>
          <w:szCs w:val="23"/>
        </w:rPr>
        <w:t xml:space="preserve">Castle Island Ventures &amp; Brevan Howard (2025). Stablecoins: The Emerging Market Story. Research report, February.</w:t>
      </w:r>
    </w:p>
    <w:p>
      <w:pPr>
        <w:spacing w:after="100" w:line="300"/>
        <w:ind w:left="720" w:hanging="720"/>
        <w:jc w:val="both"/>
      </w:pPr>
      <w:r>
        <w:rPr>
          <w:rFonts w:ascii="Cambria" w:cs="Cambria" w:eastAsia="Cambria" w:hAnsi="Cambria"/>
          <w:sz w:val="23"/>
          <w:szCs w:val="23"/>
        </w:rPr>
        <w:t xml:space="preserve">CNX Software (2025). Rockchip RK1820/RK1828 SO-DIMM and M.2 LLM/VLM AI accelerator modules, devkits, and benchmarks. December 30.</w:t>
      </w:r>
    </w:p>
    <w:p>
      <w:pPr>
        <w:spacing w:after="100" w:line="300"/>
        <w:ind w:left="720" w:hanging="720"/>
        <w:jc w:val="both"/>
      </w:pPr>
      <w:r>
        <w:rPr>
          <w:rFonts w:ascii="Cambria" w:cs="Cambria" w:eastAsia="Cambria" w:hAnsi="Cambria"/>
          <w:sz w:val="23"/>
          <w:szCs w:val="23"/>
        </w:rPr>
        <w:t xml:space="preserve">Evans, D. S., &amp; Schmalensee, R. (2005). Paying with Plastic (2nd ed.). MIT Press.</w:t>
      </w:r>
    </w:p>
    <w:p>
      <w:pPr>
        <w:spacing w:after="100" w:line="300"/>
        <w:ind w:left="720" w:hanging="720"/>
        <w:jc w:val="both"/>
      </w:pPr>
      <w:r>
        <w:rPr>
          <w:rFonts w:ascii="Cambria" w:cs="Cambria" w:eastAsia="Cambria" w:hAnsi="Cambria"/>
          <w:sz w:val="23"/>
          <w:szCs w:val="23"/>
        </w:rPr>
        <w:t xml:space="preserve">Flamm, K. (1993). Mismanaged Trade? Strategic Policy and the Semiconductor Industry. Brookings Institution.</w:t>
      </w:r>
    </w:p>
    <w:p>
      <w:pPr>
        <w:spacing w:after="100" w:line="300"/>
        <w:ind w:left="720" w:hanging="720"/>
        <w:jc w:val="both"/>
      </w:pPr>
      <w:r>
        <w:rPr>
          <w:rFonts w:ascii="Cambria" w:cs="Cambria" w:eastAsia="Cambria" w:hAnsi="Cambria"/>
          <w:sz w:val="23"/>
          <w:szCs w:val="23"/>
        </w:rPr>
        <w:t xml:space="preserve">Gallagher, K. S., &amp; Muehlegger, E. (2011). Giving green to get green? Incentives and consumer adoption of hybrid vehicle technology. Journal of Environmental Economics and Management, 61(1), 1–15.</w:t>
      </w:r>
    </w:p>
    <w:p>
      <w:pPr>
        <w:spacing w:after="100" w:line="300"/>
        <w:ind w:left="720" w:hanging="720"/>
        <w:jc w:val="both"/>
      </w:pPr>
      <w:r>
        <w:rPr>
          <w:rFonts w:ascii="Cambria" w:cs="Cambria" w:eastAsia="Cambria" w:hAnsi="Cambria"/>
          <w:sz w:val="23"/>
          <w:szCs w:val="23"/>
        </w:rPr>
        <w:t xml:space="preserve">Gollin, D. (2002). Getting income shares right. Journal of Political Economy, 110(2), 458–474.</w:t>
      </w:r>
    </w:p>
    <w:p>
      <w:pPr>
        <w:spacing w:after="100" w:line="300"/>
        <w:ind w:left="720" w:hanging="720"/>
        <w:jc w:val="both"/>
      </w:pPr>
      <w:r>
        <w:rPr>
          <w:rFonts w:ascii="Cambria" w:cs="Cambria" w:eastAsia="Cambria" w:hAnsi="Cambria"/>
          <w:sz w:val="23"/>
          <w:szCs w:val="23"/>
        </w:rPr>
        <w:t xml:space="preserve">Haynes, M., &amp; Thompson, S. (2000). The productivity effects of bank mergers: Evidence from the UK building societies. Journal of Banking &amp; Finance, 24(5), 825–846.</w:t>
      </w:r>
    </w:p>
    <w:p>
      <w:pPr>
        <w:spacing w:after="100" w:line="300"/>
        <w:ind w:left="720" w:hanging="720"/>
        <w:jc w:val="both"/>
      </w:pPr>
      <w:r>
        <w:rPr>
          <w:rFonts w:ascii="Cambria" w:cs="Cambria" w:eastAsia="Cambria" w:hAnsi="Cambria"/>
          <w:sz w:val="23"/>
          <w:szCs w:val="23"/>
        </w:rPr>
        <w:t xml:space="preserve">IRENA (2023). Renewable Power Generation Costs in 2022. International Renewable Energy Agency.</w:t>
      </w:r>
    </w:p>
    <w:p>
      <w:pPr>
        <w:spacing w:after="100" w:line="300"/>
        <w:ind w:left="720" w:hanging="720"/>
        <w:jc w:val="both"/>
      </w:pPr>
      <w:r>
        <w:rPr>
          <w:rFonts w:ascii="Cambria" w:cs="Cambria" w:eastAsia="Cambria" w:hAnsi="Cambria"/>
          <w:sz w:val="23"/>
          <w:szCs w:val="23"/>
        </w:rPr>
        <w:t xml:space="preserve">McCallum, J. (2024). DRAM pricing historical compilation. jcmit.net.</w:t>
      </w:r>
    </w:p>
    <w:p>
      <w:pPr>
        <w:spacing w:after="100" w:line="300"/>
        <w:ind w:left="720" w:hanging="720"/>
        <w:jc w:val="both"/>
      </w:pPr>
      <w:r>
        <w:rPr>
          <w:rFonts w:ascii="Cambria" w:cs="Cambria" w:eastAsia="Cambria" w:hAnsi="Cambria"/>
          <w:sz w:val="23"/>
          <w:szCs w:val="23"/>
        </w:rPr>
        <w:t xml:space="preserve">Perez, C. (2002). Technological Revolutions and Financial Capital. Edward Elgar.</w:t>
      </w:r>
    </w:p>
    <w:p>
      <w:pPr>
        <w:spacing w:after="100" w:line="300"/>
        <w:ind w:left="720" w:hanging="720"/>
        <w:jc w:val="both"/>
      </w:pPr>
      <w:r>
        <w:rPr>
          <w:rFonts w:ascii="Cambria" w:cs="Cambria" w:eastAsia="Cambria" w:hAnsi="Cambria"/>
          <w:sz w:val="23"/>
          <w:szCs w:val="23"/>
        </w:rPr>
        <w:t xml:space="preserve">Rochet, J.-C., &amp; Tirole, J. (2003). Platform competition in two-sided markets. JEEA, 1(4), 990–1029.</w:t>
      </w:r>
    </w:p>
    <w:p>
      <w:pPr>
        <w:spacing w:after="100" w:line="300"/>
        <w:ind w:left="720" w:hanging="720"/>
        <w:jc w:val="both"/>
      </w:pPr>
      <w:r>
        <w:rPr>
          <w:rFonts w:ascii="Cambria" w:cs="Cambria" w:eastAsia="Cambria" w:hAnsi="Cambria"/>
          <w:sz w:val="23"/>
          <w:szCs w:val="23"/>
        </w:rPr>
        <w:t xml:space="preserve">Schumpeter, J. A. (1942). Capitalism, Socialism and Democracy. Harper &amp; Brothers.</w:t>
      </w:r>
    </w:p>
    <w:p>
      <w:pPr>
        <w:spacing w:after="100" w:line="300"/>
        <w:ind w:left="720" w:hanging="720"/>
        <w:jc w:val="both"/>
      </w:pPr>
      <w:r>
        <w:rPr>
          <w:rFonts w:ascii="Cambria" w:cs="Cambria" w:eastAsia="Cambria" w:hAnsi="Cambria"/>
          <w:sz w:val="23"/>
          <w:szCs w:val="23"/>
        </w:rPr>
        <w:t xml:space="preserve">Smirl, C. (2026). The monetary productivity gap: Stablecoin adoption, central bank effectiveness, and development heterogeneity. Unpublished thesis, Tufts University.</w:t>
      </w:r>
    </w:p>
    <w:p>
      <w:pPr>
        <w:spacing w:after="100" w:line="300"/>
        <w:ind w:left="720" w:hanging="720"/>
        <w:jc w:val="both"/>
      </w:pPr>
      <w:r>
        <w:rPr>
          <w:rFonts w:ascii="Cambria" w:cs="Cambria" w:eastAsia="Cambria" w:hAnsi="Cambria"/>
          <w:sz w:val="23"/>
          <w:szCs w:val="23"/>
        </w:rPr>
        <w:t xml:space="preserve">Triffin, R. (1960). Gold and the Dollar Crisis. Yale University Press.</w:t>
      </w:r>
    </w:p>
    <w:p>
      <w:pPr>
        <w:spacing w:after="100" w:line="300"/>
        <w:ind w:left="720" w:hanging="720"/>
        <w:jc w:val="both"/>
      </w:pPr>
      <w:r>
        <w:rPr>
          <w:rFonts w:ascii="Cambria" w:cs="Cambria" w:eastAsia="Cambria" w:hAnsi="Cambria"/>
          <w:sz w:val="23"/>
          <w:szCs w:val="23"/>
        </w:rPr>
        <w:t xml:space="preserve">Wright, T. P. (1936). Factors affecting the cost of airplanes. Journal of the Aeronautical Sciences, 3(4), 122–128.</w:t>
      </w:r>
    </w:p>
    <w:p>
      <w:pPr>
        <w:spacing w:after="80"/>
      </w:pPr>
    </w:p>
    <w:p>
      <w:pPr>
        <w:spacing w:after="160" w:line="360"/>
        <w:jc w:val="both"/>
      </w:pPr>
      <w:r>
        <w:rPr>
          <w:rFonts w:ascii="Cambria" w:cs="Cambria" w:eastAsia="Cambria" w:hAnsi="Cambria"/>
          <w:sz w:val="23"/>
          <w:szCs w:val="23"/>
        </w:rPr>
        <w:t xml:space="default"/>
      </w:r>
    </w:p>
    <w:p>
      <w:pPr>
        <w:pStyle w:val="Heading1"/>
        <w:spacing w:before="400" w:after="200"/>
      </w:pPr>
      <w:r>
        <w:rPr>
          <w:rFonts w:ascii="Cambria" w:cs="Cambria" w:eastAsia="Cambria" w:hAnsi="Cambria"/>
          <w:b/>
          <w:bCs/>
          <w:sz w:val="32"/>
          <w:szCs w:val="32"/>
        </w:rPr>
        <w:t xml:space="preserve">Appendix A: Data Sources and Construction</w:t>
      </w:r>
    </w:p>
    <w:p>
      <w:pPr>
        <w:spacing w:after="160" w:line="360"/>
        <w:jc w:val="both"/>
      </w:pPr>
      <w:r>
        <w:rPr>
          <w:rFonts w:ascii="Cambria" w:cs="Cambria" w:eastAsia="Cambria" w:hAnsi="Cambria"/>
          <w:b/>
          <w:bCs/>
          <w:sz w:val="23"/>
          <w:szCs w:val="23"/>
        </w:rPr>
        <w:t xml:space="preserve">DRAM Learning Curve (1984–2024). </w:t>
      </w:r>
      <w:r>
        <w:rPr>
          <w:rFonts w:ascii="Cambria" w:cs="Cambria" w:eastAsia="Cambria" w:hAnsi="Cambria"/>
          <w:sz w:val="23"/>
          <w:szCs w:val="23"/>
        </w:rPr>
        <w:t xml:space="preserve">41 annual observations of price per GB and cumulative production in exabytes. Primary source: McCallum DRAM pricing compilation (jcmit.net), cross-validated against TrendForce quarterly reports, IC Insights McLean Report, and SK Hynix/Samsung earnings disclosures. OLS specification: ln(price) = β</w:t>
      </w:r>
      <w:r>
        <w:rPr>
          <w:rFonts w:ascii="Cambria" w:cs="Cambria" w:eastAsia="Cambria" w:hAnsi="Cambria"/>
          <w:sz w:val="23"/>
          <w:szCs w:val="23"/>
          <w:vertAlign w:val="subscript"/>
        </w:rPr>
        <w:t xml:space="preserve">0</w:t>
      </w:r>
      <w:r>
        <w:rPr>
          <w:rFonts w:ascii="Cambria" w:cs="Cambria" w:eastAsia="Cambria" w:hAnsi="Cambria"/>
          <w:sz w:val="23"/>
          <w:szCs w:val="23"/>
        </w:rPr>
        <w:t xml:space="preserve"> – α · ln(Q) + ε. Reported α = 0.22 uses full panel; sub-period estimates reported in text.</w:t>
      </w:r>
    </w:p>
    <w:p>
      <w:pPr>
        <w:spacing w:after="160" w:line="360"/>
        <w:jc w:val="both"/>
      </w:pPr>
      <w:r>
        <w:rPr>
          <w:rFonts w:ascii="Cambria" w:cs="Cambria" w:eastAsia="Cambria" w:hAnsi="Cambria"/>
          <w:b/>
          <w:bCs/>
          <w:sz w:val="23"/>
          <w:szCs w:val="23"/>
        </w:rPr>
        <w:t xml:space="preserve">HBM Pricing (2015–2026). </w:t>
      </w:r>
      <w:r>
        <w:rPr>
          <w:rFonts w:ascii="Cambria" w:cs="Cambria" w:eastAsia="Cambria" w:hAnsi="Cambria"/>
          <w:sz w:val="23"/>
          <w:szCs w:val="23"/>
        </w:rPr>
        <w:t xml:space="preserve">9 observations (6 observed, 3 projected). Sources: TrendForce HBM tracker, SK Hynix/Samsung earnings calls, industry analyst reports. HBM4 projection follows established learning trajectory. Learning rate estimated from observed points only (α = 0.23, n = 6).</w:t>
      </w:r>
    </w:p>
    <w:p>
      <w:pPr>
        <w:spacing w:after="160" w:line="360"/>
        <w:jc w:val="both"/>
      </w:pPr>
      <w:r>
        <w:rPr>
          <w:rFonts w:ascii="Cambria" w:cs="Cambria" w:eastAsia="Cambria" w:hAnsi="Cambria"/>
          <w:b/>
          <w:bCs/>
          <w:sz w:val="23"/>
          <w:szCs w:val="23"/>
        </w:rPr>
        <w:t xml:space="preserve">Hyperscaler Capex (2018–2028). </w:t>
      </w:r>
      <w:r>
        <w:rPr>
          <w:rFonts w:ascii="Cambria" w:cs="Cambria" w:eastAsia="Cambria" w:hAnsi="Cambria"/>
          <w:sz w:val="23"/>
          <w:szCs w:val="23"/>
        </w:rPr>
        <w:t xml:space="preserve">Company-level capital expenditure from SEC 10-K filings (reported years) and management guidance (2025). Stargate JV from public announcement (January 2025). All figures in nominal USD billions.</w:t>
      </w:r>
    </w:p>
    <w:p>
      <w:pPr>
        <w:spacing w:after="160" w:line="360"/>
        <w:jc w:val="both"/>
      </w:pPr>
      <w:r>
        <w:rPr>
          <w:rFonts w:ascii="Cambria" w:cs="Cambria" w:eastAsia="Cambria" w:hAnsi="Cambria"/>
          <w:b/>
          <w:bCs/>
          <w:sz w:val="23"/>
          <w:szCs w:val="23"/>
        </w:rPr>
        <w:t xml:space="preserve">Consumer Silicon Trajectory (2020–2030). </w:t>
      </w:r>
      <w:r>
        <w:rPr>
          <w:rFonts w:ascii="Cambria" w:cs="Cambria" w:eastAsia="Cambria" w:hAnsi="Cambria"/>
          <w:sz w:val="23"/>
          <w:szCs w:val="23"/>
        </w:rPr>
        <w:t xml:space="preserve">24 device observations: 17 observed (from MLPerf benchmarks, Qualcomm AI Hub, manufacturer specifications, AnandTech/Notebookcheck reviews, CNX Software RK1828 benchmarks) and 7 projected (following M-series and HBM learning curve extrapolations). Maximum model parameter estimates for “at speed” inference (≥10 tok/s), not theoretical maximum. RK1828 corrected from original estimates using published Firefly/Radxa benchmarks showing Qwen2.5-7B (W4A16) at 59–180 tok/s on 5GB 3D stacked DRAM (CNX Software, December 30, 2025).</w:t>
      </w:r>
    </w:p>
    <w:p>
      <w:pPr>
        <w:spacing w:after="160" w:line="360"/>
        <w:jc w:val="both"/>
      </w:pPr>
      <w:r>
        <w:rPr>
          <w:rFonts w:ascii="Cambria" w:cs="Cambria" w:eastAsia="Cambria" w:hAnsi="Cambria"/>
          <w:b/>
          <w:bCs/>
          <w:sz w:val="23"/>
          <w:szCs w:val="23"/>
        </w:rPr>
        <w:t xml:space="preserve">PC Adoption (1975–2000). </w:t>
      </w:r>
      <w:r>
        <w:rPr>
          <w:rFonts w:ascii="Cambria" w:cs="Cambria" w:eastAsia="Cambria" w:hAnsi="Cambria"/>
          <w:sz w:val="23"/>
          <w:szCs w:val="23"/>
        </w:rPr>
        <w:t xml:space="preserve">26 annual observations. Sources: Gartner/IDC PC shipment data (installed base), IBM Annual Reports (market share), U.S. Census Current Population Survey (household adoption), Computerworld annual surveys (software title counts). Prices adjusted to 2024 USD.</w:t>
      </w:r>
    </w:p>
    <w:p>
      <w:pPr>
        <w:spacing w:after="160" w:line="360"/>
        <w:jc w:val="both"/>
      </w:pPr>
      <w:r>
        <w:rPr>
          <w:rFonts w:ascii="Cambria" w:cs="Cambria" w:eastAsia="Cambria" w:hAnsi="Cambria"/>
          <w:b/>
          <w:bCs/>
          <w:sz w:val="23"/>
          <w:szCs w:val="23"/>
        </w:rPr>
        <w:t xml:space="preserve">Internet Adoption (1969–2020). </w:t>
      </w:r>
      <w:r>
        <w:rPr>
          <w:rFonts w:ascii="Cambria" w:cs="Cambria" w:eastAsia="Cambria" w:hAnsi="Cambria"/>
          <w:sz w:val="23"/>
          <w:szCs w:val="23"/>
        </w:rPr>
        <w:t xml:space="preserve">24 observations at irregular intervals. Sources: ISC Internet Domain Survey (host counts), Pew Research Center surveys (US adult adoption), Census CPS supplements, NSF archives, Hobbes’ Internet Timeline.</w:t>
      </w:r>
    </w:p>
    <w:p>
      <w:pPr>
        <w:spacing w:after="160" w:line="360"/>
        <w:jc w:val="both"/>
      </w:pPr>
      <w:r>
        <w:rPr>
          <w:rFonts w:ascii="Cambria" w:cs="Cambria" w:eastAsia="Cambria" w:hAnsi="Cambria"/>
          <w:b/>
          <w:bCs/>
          <w:sz w:val="23"/>
          <w:szCs w:val="23"/>
        </w:rPr>
        <w:t xml:space="preserve">Stablecoin Volumes (2020–2025). </w:t>
      </w:r>
      <w:r>
        <w:rPr>
          <w:rFonts w:ascii="Cambria" w:cs="Cambria" w:eastAsia="Cambria" w:hAnsi="Cambria"/>
          <w:sz w:val="23"/>
          <w:szCs w:val="23"/>
        </w:rPr>
        <w:t xml:space="preserve">21 quarterly observations. Raw volumes from on-chain data; adjusted volumes exclude wash trading and bot activity per Castle Island/Brevan Howard methodology. Reserve composition from issuer attestation reports (Tether quarterly, Circle monthly).</w:t>
      </w:r>
    </w:p>
    <w:p>
      <w:pPr>
        <w:spacing w:after="160" w:line="360"/>
        <w:jc w:val="both"/>
      </w:pPr>
      <w:r>
        <w:rPr>
          <w:rFonts w:ascii="Cambria" w:cs="Cambria" w:eastAsia="Cambria" w:hAnsi="Cambria"/>
          <w:b/>
          <w:bCs/>
          <w:sz w:val="23"/>
          <w:szCs w:val="23"/>
        </w:rPr>
        <w:t xml:space="preserve">Tokenized Securities (2023–2025). </w:t>
      </w:r>
      <w:r>
        <w:rPr>
          <w:rFonts w:ascii="Cambria" w:cs="Cambria" w:eastAsia="Cambria" w:hAnsi="Cambria"/>
          <w:sz w:val="23"/>
          <w:szCs w:val="23"/>
        </w:rPr>
        <w:t xml:space="preserve">20 observations across four categories (Treasuries, credit, equities, institutional repo). Sources: rwa.xyz tracker, S&amp;P Global Digital Assets, JPMorgan Onyx disclosures.</w:t>
      </w:r>
    </w:p>
    <w:p>
      <w:pPr>
        <w:spacing w:after="160" w:line="360"/>
        <w:jc w:val="both"/>
      </w:pPr>
      <w:r>
        <w:rPr>
          <w:rFonts w:ascii="Cambria" w:cs="Cambria" w:eastAsia="Cambria" w:hAnsi="Cambria"/>
          <w:b/>
          <w:bCs/>
          <w:sz w:val="23"/>
          <w:szCs w:val="23"/>
        </w:rPr>
        <w:t xml:space="preserve">x402 Protocol (2024–2025). </w:t>
      </w:r>
      <w:r>
        <w:rPr>
          <w:rFonts w:ascii="Cambria" w:cs="Cambria" w:eastAsia="Cambria" w:hAnsi="Cambria"/>
          <w:sz w:val="23"/>
          <w:szCs w:val="23"/>
        </w:rPr>
        <w:t xml:space="preserve">9 monthly observations. Sources: x402 Foundation public metrics, Coinbase developer documentation, Cloudflare integration announcements.</w:t>
      </w:r>
    </w:p>
    <w:p>
      <w:pPr>
        <w:spacing w:after="160" w:line="360"/>
        <w:jc w:val="both"/>
      </w:pPr>
      <w:r>
        <w:rPr>
          <w:rFonts w:ascii="Cambria" w:cs="Cambria" w:eastAsia="Cambria" w:hAnsi="Cambria"/>
          <w:b/>
          <w:bCs/>
          <w:sz w:val="23"/>
          <w:szCs w:val="23"/>
        </w:rPr>
        <w:t xml:space="preserve">Learning Curve Literature (cross-industry). </w:t>
      </w:r>
      <w:r>
        <w:rPr>
          <w:rFonts w:ascii="Cambria" w:cs="Cambria" w:eastAsia="Cambria" w:hAnsi="Cambria"/>
          <w:sz w:val="23"/>
          <w:szCs w:val="23"/>
        </w:rPr>
        <w:t xml:space="preserve">19 estimates across 7 industries. Each entry sourced to original publication; see Table 8 and full citation in bibliography.</w:t>
      </w:r>
    </w:p>
    <w:p>
      <w:pPr>
        <w:spacing w:after="160" w:line="360"/>
        <w:jc w:val="both"/>
      </w:pPr>
      <w:r>
        <w:rPr>
          <w:rFonts w:ascii="Cambria" w:cs="Cambria" w:eastAsia="Cambria" w:hAnsi="Cambria"/>
          <w:b/>
          <w:bCs/>
          <w:sz w:val="23"/>
          <w:szCs w:val="23"/>
        </w:rPr>
        <w:t xml:space="preserve">Replication. </w:t>
      </w:r>
      <w:r>
        <w:rPr>
          <w:rFonts w:ascii="Cambria" w:cs="Cambria" w:eastAsia="Cambria" w:hAnsi="Cambria"/>
          <w:sz w:val="23"/>
          <w:szCs w:val="23"/>
        </w:rPr>
        <w:t xml:space="preserve">All data files are provided as CSVs in the accompanying data package. The consumer_silicon_trajectory.csv, dram_learning_curve.csv, dram_hbm_pricing.csv, hyperscaler_capex.csv, and related files enable full replication of all tables and estimates in this paper.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999999"/>
        <w:sz w:val="16"/>
        <w:szCs w:val="16"/>
      </w:rPr>
      <w:t xml:space="preserve">Page </w:t>
    </w:r>
    <w:r>
      <w:rPr>
        <w:rFonts w:ascii="Cambria" w:cs="Cambria" w:eastAsia="Cambria" w:hAnsi="Cambria"/>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mbria" w:cs="Cambria" w:eastAsia="Cambria" w:hAnsi="Cambria"/>
        <w:i/>
        <w:iCs/>
        <w:color w:val="999999"/>
        <w:sz w:val="16"/>
        <w:szCs w:val="16"/>
      </w:rPr>
      <w:t xml:space="preserve">Endogenous Decentralization — Working Paper v3.1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3"/>
        <w:szCs w:val="23"/>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Cambria" w:cs="Cambria" w:eastAsia="Cambria" w:hAnsi="Cambria"/>
      <w:b/>
      <w:bCs/>
      <w:sz w:val="32"/>
      <w:szCs w:val="32"/>
    </w:rPr>
  </w:style>
  <w:style w:type="paragraph" w:styleId="Heading2">
    <w:name w:val="Heading 2"/>
    <w:basedOn w:val="Normal"/>
    <w:next w:val="Normal"/>
    <w:qFormat/>
    <w:pPr>
      <w:spacing w:before="300" w:after="160"/>
      <w:outlineLvl w:val="1"/>
    </w:pPr>
    <w:rPr>
      <w:rFonts w:ascii="Cambria" w:cs="Cambria" w:eastAsia="Cambria" w:hAnsi="Cambria"/>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2026-02-15T13:57:22.409Z</dcterms:created>
  <dcterms:modified xsi:type="dcterms:W3CDTF">2026-02-15T13:57:22.410Z</dcterms:modified>
</cp:coreProperties>
</file>

<file path=docProps/custom.xml><?xml version="1.0" encoding="utf-8"?>
<Properties xmlns="http://schemas.openxmlformats.org/officeDocument/2006/custom-properties" xmlns:vt="http://schemas.openxmlformats.org/officeDocument/2006/docPropsVTypes"/>
</file>