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pPr>
      <w:r>
        <w:rPr>
          <w:rFonts w:ascii="Arial" w:cs="Arial" w:eastAsia="Arial" w:hAnsi="Arial"/>
          <w:b/>
          <w:bCs/>
          <w:color w:val="C97B1E"/>
          <w:sz w:val="24"/>
          <w:szCs w:val="24"/>
        </w:rPr>
        <w:t xml:space="preserve">EarthQuakeTracker · MW-2026</w:t>
      </w:r>
    </w:p>
    <w:p>
      <w:pPr>
        <w:spacing w:after="120"/>
      </w:pPr>
      <w:r>
        <w:rPr>
          <w:rFonts w:ascii="Arial" w:cs="Arial" w:eastAsia="Arial" w:hAnsi="Arial"/>
          <w:b/>
          <w:bCs/>
          <w:color w:val="2A1D14"/>
          <w:sz w:val="60"/>
          <w:szCs w:val="60"/>
        </w:rPr>
        <w:t xml:space="preserve">Control de cambios</w:t>
      </w:r>
    </w:p>
    <w:p>
      <w:pPr>
        <w:pBdr>
          <w:bottom w:val="single" w:color="C97B1E" w:sz="12" w:space="8"/>
        </w:pBdr>
        <w:spacing w:after="500"/>
      </w:pPr>
      <w:r>
        <w:rPr>
          <w:rFonts w:ascii="Arial" w:cs="Arial" w:eastAsia="Arial" w:hAnsi="Arial"/>
          <w:color w:val="666666"/>
          <w:sz w:val="26"/>
          <w:szCs w:val="26"/>
        </w:rPr>
        <w:t xml:space="preserve">CC-2026-001 · Rediseño de la interfaz según los mockups oficiales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8"/>
                <w:szCs w:val="18"/>
              </w:rPr>
              <w:t xml:space="preserve">Identificador</w:t>
            </w:r>
          </w:p>
        </w:tc>
        <w:tc>
          <w:tcPr>
            <w:tcW w:type="dxa" w:w="7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8"/>
                <w:szCs w:val="18"/>
              </w:rPr>
              <w:t xml:space="preserve">CC-2026-001</w:t>
            </w:r>
          </w:p>
        </w:tc>
      </w:tr>
      <w:tr>
        <w:trPr>
          <w:cantSplit/>
        </w:trPr>
        <w:tc>
          <w:tcPr>
            <w:tcW w:type="dxa" w:w="26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8"/>
                <w:szCs w:val="18"/>
              </w:rPr>
              <w:t xml:space="preserve">Título</w:t>
            </w:r>
          </w:p>
        </w:tc>
        <w:tc>
          <w:tcPr>
            <w:tcW w:type="dxa" w:w="7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8"/>
                <w:szCs w:val="18"/>
              </w:rPr>
              <w:t xml:space="preserve">Alineación de la interfaz con los mockups oficiales (sistema de diseño «Tactile Warmth &amp; Organic Modernism»)</w:t>
            </w:r>
          </w:p>
        </w:tc>
      </w:tr>
      <w:tr>
        <w:trPr>
          <w:cantSplit/>
        </w:trPr>
        <w:tc>
          <w:tcPr>
            <w:tcW w:type="dxa" w:w="26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8"/>
                <w:szCs w:val="18"/>
              </w:rPr>
              <w:t xml:space="preserve">Tipo de cambio</w:t>
            </w:r>
          </w:p>
        </w:tc>
        <w:tc>
          <w:tcPr>
            <w:tcW w:type="dxa" w:w="7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8"/>
                <w:szCs w:val="18"/>
              </w:rPr>
              <w:t xml:space="preserve">Diseño de interfaz (presentación). Sin cambios en requisitos funcionales, contratos ni servicios.</w:t>
            </w:r>
          </w:p>
        </w:tc>
      </w:tr>
      <w:tr>
        <w:trPr>
          <w:cantSplit/>
        </w:trPr>
        <w:tc>
          <w:tcPr>
            <w:tcW w:type="dxa" w:w="26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8"/>
                <w:szCs w:val="18"/>
              </w:rPr>
              <w:t xml:space="preserve">Fecha de solicitud</w:t>
            </w:r>
          </w:p>
        </w:tc>
        <w:tc>
          <w:tcPr>
            <w:tcW w:type="dxa" w:w="7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8"/>
                <w:szCs w:val="18"/>
              </w:rPr>
              <w:t xml:space="preserve">12 de octubre de 2026</w:t>
            </w:r>
          </w:p>
        </w:tc>
      </w:tr>
      <w:tr>
        <w:trPr>
          <w:cantSplit/>
        </w:trPr>
        <w:tc>
          <w:tcPr>
            <w:tcW w:type="dxa" w:w="26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8"/>
                <w:szCs w:val="18"/>
              </w:rPr>
              <w:t xml:space="preserve">Fecha de implementación</w:t>
            </w:r>
          </w:p>
        </w:tc>
        <w:tc>
          <w:tcPr>
            <w:tcW w:type="dxa" w:w="7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8"/>
                <w:szCs w:val="18"/>
              </w:rPr>
              <w:t xml:space="preserve">12 de octubre de 2026</w:t>
            </w:r>
          </w:p>
        </w:tc>
      </w:tr>
      <w:tr>
        <w:trPr>
          <w:cantSplit/>
        </w:trPr>
        <w:tc>
          <w:tcPr>
            <w:tcW w:type="dxa" w:w="26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8"/>
                <w:szCs w:val="18"/>
              </w:rPr>
              <w:t xml:space="preserve">Solicitante</w:t>
            </w:r>
          </w:p>
        </w:tc>
        <w:tc>
          <w:tcPr>
            <w:tcW w:type="dxa" w:w="7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8"/>
                <w:szCs w:val="18"/>
              </w:rPr>
              <w:t xml:space="preserve">Equipo del proyecto (instrucción: «corrige el diseño como está en el mockup del documento»)</w:t>
            </w:r>
          </w:p>
        </w:tc>
      </w:tr>
      <w:tr>
        <w:trPr>
          <w:cantSplit/>
        </w:trPr>
        <w:tc>
          <w:tcPr>
            <w:tcW w:type="dxa" w:w="26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8"/>
                <w:szCs w:val="18"/>
              </w:rPr>
              <w:t xml:space="preserve">Implementó</w:t>
            </w:r>
          </w:p>
        </w:tc>
        <w:tc>
          <w:tcPr>
            <w:tcW w:type="dxa" w:w="7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8"/>
                <w:szCs w:val="18"/>
              </w:rPr>
              <w:t xml:space="preserve">Claude Code (orquestación) y agentes de apoyo agy (paquetes D1 a D6)</w:t>
            </w:r>
          </w:p>
        </w:tc>
      </w:tr>
      <w:tr>
        <w:trPr>
          <w:cantSplit/>
        </w:trPr>
        <w:tc>
          <w:tcPr>
            <w:tcW w:type="dxa" w:w="26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8"/>
                <w:szCs w:val="18"/>
              </w:rPr>
              <w:t xml:space="preserve">Prioridad</w:t>
            </w:r>
          </w:p>
        </w:tc>
        <w:tc>
          <w:tcPr>
            <w:tcW w:type="dxa" w:w="7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8"/>
                <w:szCs w:val="18"/>
              </w:rPr>
              <w:t xml:space="preserve">Alta</w:t>
            </w:r>
          </w:p>
        </w:tc>
      </w:tr>
      <w:tr>
        <w:trPr>
          <w:cantSplit/>
        </w:trPr>
        <w:tc>
          <w:tcPr>
            <w:tcW w:type="dxa" w:w="26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8"/>
                <w:szCs w:val="18"/>
              </w:rPr>
              <w:t xml:space="preserve">Estado</w:t>
            </w:r>
          </w:p>
        </w:tc>
        <w:tc>
          <w:tcPr>
            <w:tcW w:type="dxa" w:w="7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8"/>
                <w:szCs w:val="18"/>
              </w:rPr>
              <w:t xml:space="preserve">Implementado y verificado en dispositivo Android (revisión 1.3); pendiente de aprobación formal e iOS</w:t>
            </w:r>
          </w:p>
        </w:tc>
      </w:tr>
      <w:tr>
        <w:trPr>
          <w:cantSplit/>
        </w:trPr>
        <w:tc>
          <w:tcPr>
            <w:tcW w:type="dxa" w:w="26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8"/>
                <w:szCs w:val="18"/>
              </w:rPr>
              <w:t xml:space="preserve">Revisión</w:t>
            </w:r>
          </w:p>
        </w:tc>
        <w:tc>
          <w:tcPr>
            <w:tcW w:type="dxa" w:w="7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8"/>
                <w:szCs w:val="18"/>
              </w:rPr>
              <w:t xml:space="preserve">1.3 (incluye mapa offline, catálogo real de puntos y controles funcionales)</w:t>
            </w:r>
          </w:p>
        </w:tc>
      </w:tr>
      <w:tr>
        <w:trPr>
          <w:cantSplit/>
        </w:trPr>
        <w:tc>
          <w:tcPr>
            <w:tcW w:type="dxa" w:w="2600"/>
            <w:tcBorders>
              <w:top w:val="single" w:color="CFC7BE" w:sz="4"/>
              <w:left w:val="single" w:color="CFC7BE" w:sz="4"/>
              <w:bottom w:val="single" w:color="CFC7BE" w:sz="4"/>
              <w:right w:val="single" w:color="CFC7BE" w:sz="4"/>
            </w:tcBorders>
            <w:shd w:fill="F6F1EA" w:val="clear"/>
            <w:tcMar>
              <w:top w:type="dxa" w:w="60"/>
              <w:left w:type="dxa" w:w="90"/>
              <w:bottom w:type="dxa" w:w="60"/>
              <w:right w:type="dxa" w:w="90"/>
            </w:tcMar>
          </w:tcPr>
          <w:p>
            <w:pPr>
              <w:spacing w:after="20"/>
            </w:pPr>
            <w:r>
              <w:rPr>
                <w:rFonts w:ascii="Arial" w:cs="Arial" w:eastAsia="Arial" w:hAnsi="Arial"/>
                <w:b/>
                <w:bCs/>
                <w:sz w:val="18"/>
                <w:szCs w:val="18"/>
              </w:rPr>
              <w:t xml:space="preserve">Documentos de referencia</w:t>
            </w:r>
          </w:p>
        </w:tc>
        <w:tc>
          <w:tcPr>
            <w:tcW w:type="dxa" w:w="74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8"/>
                <w:szCs w:val="18"/>
              </w:rPr>
              <w:t xml:space="preserve">design/mockups/earthquake_tracker/DESIGN.md · design/mockups/*/screen.png y code.html · BASE_CONOCIMIENTO/10_ui_mockups_pantallas.md · Historial_de_Fallos.docx · Informe_Pruebas_Funcionales.docx</w:t>
            </w:r>
          </w:p>
        </w:tc>
      </w:tr>
    </w:tbl>
    <w:p>
      <w:r>
        <w:br w:type="page"/>
      </w:r>
    </w:p>
    <w:sdt>
      <w:sdtPr>
        <w:alias w:val="Contenido"/>
      </w:sdtPr>
      <w:sdtContent>
        <w:p>
          <w:pPr>
            <w:pStyle w:val="TOC1"/>
            <w:tabs>
              <w:tab w:val="right" w:pos="10080" w:leader="dot"/>
            </w:tabs>
          </w:pPr>
          <w:r>
            <w:fldChar w:fldCharType="begin" w:dirty="true"/>
            <w:instrText xml:space="preserve">TOC \h \o "1-2"</w:instrText>
            <w:fldChar w:fldCharType="separate"/>
          </w:r>
          <w:hyperlink w:history="1" w:anchor="_Toc1">
            <w:r>
              <w:t xml:space="preserve">1. Descripción del cambio</w:t>
            </w:r>
            <w:r>
              <w:tab/>
            </w:r>
            <w:r>
              <w:fldChar w:fldCharType="begin" w:dirty="true"/>
              <w:instrText xml:space="preserve">PAGEREF _Toc1 \h</w:instrText>
              <w:fldChar w:fldCharType="separate"/>
              <w:fldChar w:fldCharType="end"/>
            </w:r>
          </w:hyperlink>
        </w:p>
        <w:p>
          <w:pPr>
            <w:pStyle w:val="TOC2"/>
            <w:tabs>
              <w:tab w:val="right" w:pos="10080" w:leader="dot"/>
            </w:tabs>
            <w:ind w:left="220"/>
          </w:pPr>
          <w:hyperlink w:history="1" w:anchor="_Toc2">
            <w:r>
              <w:t xml:space="preserve">1.1 Justificación</w:t>
            </w:r>
            <w:r>
              <w:tab/>
            </w:r>
            <w:r>
              <w:fldChar w:fldCharType="begin" w:dirty="true"/>
              <w:instrText xml:space="preserve">PAGEREF _Toc2 \h</w:instrText>
              <w:fldChar w:fldCharType="separate"/>
              <w:fldChar w:fldCharType="end"/>
            </w:r>
          </w:hyperlink>
        </w:p>
        <w:p>
          <w:pPr>
            <w:pStyle w:val="TOC2"/>
            <w:tabs>
              <w:tab w:val="right" w:pos="10080" w:leader="dot"/>
            </w:tabs>
            <w:ind w:left="220"/>
          </w:pPr>
          <w:hyperlink w:history="1" w:anchor="_Toc3">
            <w:r>
              <w:t xml:space="preserve">1.2 Fuera del alcance</w:t>
            </w:r>
            <w:r>
              <w:tab/>
            </w:r>
            <w:r>
              <w:fldChar w:fldCharType="begin" w:dirty="true"/>
              <w:instrText xml:space="preserve">PAGEREF _Toc3 \h</w:instrText>
              <w:fldChar w:fldCharType="separate"/>
              <w:fldChar w:fldCharType="end"/>
            </w:r>
          </w:hyperlink>
        </w:p>
        <w:p>
          <w:pPr>
            <w:pStyle w:val="TOC1"/>
            <w:tabs>
              <w:tab w:val="right" w:pos="10080" w:leader="dot"/>
            </w:tabs>
          </w:pPr>
          <w:hyperlink w:history="1" w:anchor="_Toc4">
            <w:r>
              <w:t xml:space="preserve">2. Pantallas afectadas</w:t>
            </w:r>
            <w:r>
              <w:tab/>
            </w:r>
            <w:r>
              <w:fldChar w:fldCharType="begin" w:dirty="true"/>
              <w:instrText xml:space="preserve">PAGEREF _Toc4 \h</w:instrText>
              <w:fldChar w:fldCharType="separate"/>
              <w:fldChar w:fldCharType="end"/>
            </w:r>
          </w:hyperlink>
        </w:p>
        <w:p>
          <w:pPr>
            <w:pStyle w:val="TOC1"/>
            <w:tabs>
              <w:tab w:val="right" w:pos="10080" w:leader="dot"/>
            </w:tabs>
          </w:pPr>
          <w:hyperlink w:history="1" w:anchor="_Toc5">
            <w:r>
              <w:t xml:space="preserve">3. Comparación visual</w:t>
            </w:r>
            <w:r>
              <w:tab/>
            </w:r>
            <w:r>
              <w:fldChar w:fldCharType="begin" w:dirty="true"/>
              <w:instrText xml:space="preserve">PAGEREF _Toc5 \h</w:instrText>
              <w:fldChar w:fldCharType="separate"/>
              <w:fldChar w:fldCharType="end"/>
            </w:r>
          </w:hyperlink>
        </w:p>
        <w:p>
          <w:pPr>
            <w:pStyle w:val="TOC2"/>
            <w:tabs>
              <w:tab w:val="right" w:pos="10080" w:leader="dot"/>
            </w:tabs>
            <w:ind w:left="220"/>
          </w:pPr>
          <w:hyperlink w:history="1" w:anchor="_Toc6">
            <w:r>
              <w:t xml:space="preserve">3.1 Inicio</w:t>
            </w:r>
            <w:r>
              <w:tab/>
            </w:r>
            <w:r>
              <w:fldChar w:fldCharType="begin" w:dirty="true"/>
              <w:instrText xml:space="preserve">PAGEREF _Toc6 \h</w:instrText>
              <w:fldChar w:fldCharType="separate"/>
              <w:fldChar w:fldCharType="end"/>
            </w:r>
          </w:hyperlink>
        </w:p>
        <w:p>
          <w:pPr>
            <w:pStyle w:val="TOC2"/>
            <w:tabs>
              <w:tab w:val="right" w:pos="10080" w:leader="dot"/>
            </w:tabs>
            <w:ind w:left="220"/>
          </w:pPr>
          <w:hyperlink w:history="1" w:anchor="_Toc7">
            <w:r>
              <w:t xml:space="preserve">3.2 Selector de gravedad</w:t>
            </w:r>
            <w:r>
              <w:tab/>
            </w:r>
            <w:r>
              <w:fldChar w:fldCharType="begin" w:dirty="true"/>
              <w:instrText xml:space="preserve">PAGEREF _Toc7 \h</w:instrText>
              <w:fldChar w:fldCharType="separate"/>
              <w:fldChar w:fldCharType="end"/>
            </w:r>
          </w:hyperlink>
        </w:p>
        <w:p>
          <w:pPr>
            <w:pStyle w:val="TOC2"/>
            <w:tabs>
              <w:tab w:val="right" w:pos="10080" w:leader="dot"/>
            </w:tabs>
            <w:ind w:left="220"/>
          </w:pPr>
          <w:hyperlink w:history="1" w:anchor="_Toc8">
            <w:r>
              <w:t xml:space="preserve">3.3 Emergencia activa (modo crisis)</w:t>
            </w:r>
            <w:r>
              <w:tab/>
            </w:r>
            <w:r>
              <w:fldChar w:fldCharType="begin" w:dirty="true"/>
              <w:instrText xml:space="preserve">PAGEREF _Toc8 \h</w:instrText>
              <w:fldChar w:fldCharType="separate"/>
              <w:fldChar w:fldCharType="end"/>
            </w:r>
          </w:hyperlink>
        </w:p>
        <w:p>
          <w:pPr>
            <w:pStyle w:val="TOC2"/>
            <w:tabs>
              <w:tab w:val="right" w:pos="10080" w:leader="dot"/>
            </w:tabs>
            <w:ind w:left="220"/>
          </w:pPr>
          <w:hyperlink w:history="1" w:anchor="_Toc9">
            <w:r>
              <w:t xml:space="preserve">3.4 Durante el sismo</w:t>
            </w:r>
            <w:r>
              <w:tab/>
            </w:r>
            <w:r>
              <w:fldChar w:fldCharType="begin" w:dirty="true"/>
              <w:instrText xml:space="preserve">PAGEREF _Toc9 \h</w:instrText>
              <w:fldChar w:fldCharType="separate"/>
              <w:fldChar w:fldCharType="end"/>
            </w:r>
          </w:hyperlink>
        </w:p>
        <w:p>
          <w:pPr>
            <w:pStyle w:val="TOC2"/>
            <w:tabs>
              <w:tab w:val="right" w:pos="10080" w:leader="dot"/>
            </w:tabs>
            <w:ind w:left="220"/>
          </w:pPr>
          <w:hyperlink w:history="1" w:anchor="_Toc10">
            <w:r>
              <w:t xml:space="preserve">3.5 Prevención</w:t>
            </w:r>
            <w:r>
              <w:tab/>
            </w:r>
            <w:r>
              <w:fldChar w:fldCharType="begin" w:dirty="true"/>
              <w:instrText xml:space="preserve">PAGEREF _Toc10 \h</w:instrText>
              <w:fldChar w:fldCharType="separate"/>
              <w:fldChar w:fldCharType="end"/>
            </w:r>
          </w:hyperlink>
        </w:p>
        <w:p>
          <w:pPr>
            <w:pStyle w:val="TOC2"/>
            <w:tabs>
              <w:tab w:val="right" w:pos="10080" w:leader="dot"/>
            </w:tabs>
            <w:ind w:left="220"/>
          </w:pPr>
          <w:hyperlink w:history="1" w:anchor="_Toc11">
            <w:r>
              <w:t xml:space="preserve">3.6 Después</w:t>
            </w:r>
            <w:r>
              <w:tab/>
            </w:r>
            <w:r>
              <w:fldChar w:fldCharType="begin" w:dirty="true"/>
              <w:instrText xml:space="preserve">PAGEREF _Toc11 \h</w:instrText>
              <w:fldChar w:fldCharType="separate"/>
              <w:fldChar w:fldCharType="end"/>
            </w:r>
          </w:hyperlink>
        </w:p>
        <w:p>
          <w:pPr>
            <w:pStyle w:val="TOC2"/>
            <w:tabs>
              <w:tab w:val="right" w:pos="10080" w:leader="dot"/>
            </w:tabs>
            <w:ind w:left="220"/>
          </w:pPr>
          <w:hyperlink w:history="1" w:anchor="_Toc12">
            <w:r>
              <w:t xml:space="preserve">3.7 Ayuda y donaciones</w:t>
            </w:r>
            <w:r>
              <w:tab/>
            </w:r>
            <w:r>
              <w:fldChar w:fldCharType="begin" w:dirty="true"/>
              <w:instrText xml:space="preserve">PAGEREF _Toc12 \h</w:instrText>
              <w:fldChar w:fldCharType="separate"/>
              <w:fldChar w:fldCharType="end"/>
            </w:r>
          </w:hyperlink>
        </w:p>
        <w:p>
          <w:pPr>
            <w:pStyle w:val="TOC2"/>
            <w:tabs>
              <w:tab w:val="right" w:pos="10080" w:leader="dot"/>
            </w:tabs>
            <w:ind w:left="220"/>
          </w:pPr>
          <w:hyperlink w:history="1" w:anchor="_Toc13">
            <w:r>
              <w:t xml:space="preserve">3.8 Mapa</w:t>
            </w:r>
            <w:r>
              <w:tab/>
            </w:r>
            <w:r>
              <w:fldChar w:fldCharType="begin" w:dirty="true"/>
              <w:instrText xml:space="preserve">PAGEREF _Toc13 \h</w:instrText>
              <w:fldChar w:fldCharType="separate"/>
              <w:fldChar w:fldCharType="end"/>
            </w:r>
          </w:hyperlink>
        </w:p>
        <w:p>
          <w:pPr>
            <w:pStyle w:val="TOC2"/>
            <w:tabs>
              <w:tab w:val="right" w:pos="10080" w:leader="dot"/>
            </w:tabs>
            <w:ind w:left="220"/>
          </w:pPr>
          <w:hyperlink w:history="1" w:anchor="_Toc14">
            <w:r>
              <w:t xml:space="preserve">3.9 Alertas</w:t>
            </w:r>
            <w:r>
              <w:tab/>
            </w:r>
            <w:r>
              <w:fldChar w:fldCharType="begin" w:dirty="true"/>
              <w:instrText xml:space="preserve">PAGEREF _Toc14 \h</w:instrText>
              <w:fldChar w:fldCharType="separate"/>
              <w:fldChar w:fldCharType="end"/>
            </w:r>
          </w:hyperlink>
        </w:p>
        <w:p>
          <w:pPr>
            <w:pStyle w:val="TOC2"/>
            <w:tabs>
              <w:tab w:val="right" w:pos="10080" w:leader="dot"/>
            </w:tabs>
            <w:ind w:left="220"/>
          </w:pPr>
          <w:hyperlink w:history="1" w:anchor="_Toc15">
            <w:r>
              <w:t xml:space="preserve">3.10 Perfil</w:t>
            </w:r>
            <w:r>
              <w:tab/>
            </w:r>
            <w:r>
              <w:fldChar w:fldCharType="begin" w:dirty="true"/>
              <w:instrText xml:space="preserve">PAGEREF _Toc15 \h</w:instrText>
              <w:fldChar w:fldCharType="separate"/>
              <w:fldChar w:fldCharType="end"/>
            </w:r>
          </w:hyperlink>
        </w:p>
        <w:p>
          <w:pPr>
            <w:pStyle w:val="TOC1"/>
            <w:tabs>
              <w:tab w:val="right" w:pos="10080" w:leader="dot"/>
            </w:tabs>
          </w:pPr>
          <w:hyperlink w:history="1" w:anchor="_Toc16">
            <w:r>
              <w:t xml:space="preserve">4. Cambios técnicos</w:t>
            </w:r>
            <w:r>
              <w:tab/>
            </w:r>
            <w:r>
              <w:fldChar w:fldCharType="begin" w:dirty="true"/>
              <w:instrText xml:space="preserve">PAGEREF _Toc16 \h</w:instrText>
              <w:fldChar w:fldCharType="separate"/>
              <w:fldChar w:fldCharType="end"/>
            </w:r>
          </w:hyperlink>
        </w:p>
        <w:p>
          <w:pPr>
            <w:pStyle w:val="TOC2"/>
            <w:tabs>
              <w:tab w:val="right" w:pos="10080" w:leader="dot"/>
            </w:tabs>
            <w:ind w:left="220"/>
          </w:pPr>
          <w:hyperlink w:history="1" w:anchor="_Toc17">
            <w:r>
              <w:t xml:space="preserve">4.1 Base de diseño (nueva)</w:t>
            </w:r>
            <w:r>
              <w:tab/>
            </w:r>
            <w:r>
              <w:fldChar w:fldCharType="begin" w:dirty="true"/>
              <w:instrText xml:space="preserve">PAGEREF _Toc17 \h</w:instrText>
              <w:fldChar w:fldCharType="separate"/>
              <w:fldChar w:fldCharType="end"/>
            </w:r>
          </w:hyperlink>
        </w:p>
        <w:p>
          <w:pPr>
            <w:pStyle w:val="TOC2"/>
            <w:tabs>
              <w:tab w:val="right" w:pos="10080" w:leader="dot"/>
            </w:tabs>
            <w:ind w:left="220"/>
          </w:pPr>
          <w:hyperlink w:history="1" w:anchor="_Toc18">
            <w:r>
              <w:t xml:space="preserve">4.2 Dependencias y recursos</w:t>
            </w:r>
            <w:r>
              <w:tab/>
            </w:r>
            <w:r>
              <w:fldChar w:fldCharType="begin" w:dirty="true"/>
              <w:instrText xml:space="preserve">PAGEREF _Toc18 \h</w:instrText>
              <w:fldChar w:fldCharType="separate"/>
              <w:fldChar w:fldCharType="end"/>
            </w:r>
          </w:hyperlink>
        </w:p>
        <w:p>
          <w:pPr>
            <w:pStyle w:val="TOC2"/>
            <w:tabs>
              <w:tab w:val="right" w:pos="10080" w:leader="dot"/>
            </w:tabs>
            <w:ind w:left="220"/>
          </w:pPr>
          <w:hyperlink w:history="1" w:anchor="_Toc19">
            <w:r>
              <w:t xml:space="preserve">4.3 Archivos modificados</w:t>
            </w:r>
            <w:r>
              <w:tab/>
            </w:r>
            <w:r>
              <w:fldChar w:fldCharType="begin" w:dirty="true"/>
              <w:instrText xml:space="preserve">PAGEREF _Toc19 \h</w:instrText>
              <w:fldChar w:fldCharType="separate"/>
              <w:fldChar w:fldCharType="end"/>
            </w:r>
          </w:hyperlink>
        </w:p>
        <w:p>
          <w:pPr>
            <w:pStyle w:val="TOC2"/>
            <w:tabs>
              <w:tab w:val="right" w:pos="10080" w:leader="dot"/>
            </w:tabs>
            <w:ind w:left="220"/>
          </w:pPr>
          <w:hyperlink w:history="1" w:anchor="_Toc20">
            <w:r>
              <w:t xml:space="preserve">4.4 Revisión 1.1: mapa vectorial offline</w:t>
            </w:r>
            <w:r>
              <w:tab/>
            </w:r>
            <w:r>
              <w:fldChar w:fldCharType="begin" w:dirty="true"/>
              <w:instrText xml:space="preserve">PAGEREF _Toc20 \h</w:instrText>
              <w:fldChar w:fldCharType="separate"/>
              <w:fldChar w:fldCharType="end"/>
            </w:r>
          </w:hyperlink>
        </w:p>
        <w:p>
          <w:pPr>
            <w:pStyle w:val="TOC2"/>
            <w:tabs>
              <w:tab w:val="right" w:pos="10080" w:leader="dot"/>
            </w:tabs>
            <w:ind w:left="220"/>
          </w:pPr>
          <w:hyperlink w:history="1" w:anchor="_Toc21">
            <w:r>
              <w:t xml:space="preserve">4.5 Revisión 1.2: usabilidad del mapa y datos reales</w:t>
            </w:r>
            <w:r>
              <w:tab/>
            </w:r>
            <w:r>
              <w:fldChar w:fldCharType="begin" w:dirty="true"/>
              <w:instrText xml:space="preserve">PAGEREF _Toc21 \h</w:instrText>
              <w:fldChar w:fldCharType="separate"/>
              <w:fldChar w:fldCharType="end"/>
            </w:r>
          </w:hyperlink>
        </w:p>
        <w:p>
          <w:pPr>
            <w:pStyle w:val="TOC2"/>
            <w:tabs>
              <w:tab w:val="right" w:pos="10080" w:leader="dot"/>
            </w:tabs>
            <w:ind w:left="220"/>
          </w:pPr>
          <w:hyperlink w:history="1" w:anchor="_Toc22">
            <w:r>
              <w:t xml:space="preserve">4.6 Revisión 1.3: controles funcionales y coherencia de datos</w:t>
            </w:r>
            <w:r>
              <w:tab/>
            </w:r>
            <w:r>
              <w:fldChar w:fldCharType="begin" w:dirty="true"/>
              <w:instrText xml:space="preserve">PAGEREF _Toc22 \h</w:instrText>
              <w:fldChar w:fldCharType="separate"/>
              <w:fldChar w:fldCharType="end"/>
            </w:r>
          </w:hyperlink>
        </w:p>
        <w:p>
          <w:pPr>
            <w:pStyle w:val="TOC2"/>
            <w:tabs>
              <w:tab w:val="right" w:pos="10080" w:leader="dot"/>
            </w:tabs>
            <w:ind w:left="220"/>
          </w:pPr>
          <w:hyperlink w:history="1" w:anchor="_Toc9101">
            <w:r>
              <w:t xml:space="preserve">4.7 Revisión 1.4: modo oscuro, selector de tema y rueda de fases</w:t>
            </w:r>
            <w:r>
              <w:tab/>
            </w:r>
            <w:r>
              <w:fldChar w:fldCharType="begin" w:dirty="true"/>
              <w:instrText xml:space="preserve">PAGEREF _Toc9101 \h</w:instrText>
              <w:fldChar w:fldCharType="separate"/>
              <w:fldChar w:fldCharType="end"/>
            </w:r>
          </w:hyperlink>
        </w:p>
        <w:p>
          <w:pPr>
            <w:pStyle w:val="TOC1"/>
            <w:tabs>
              <w:tab w:val="right" w:pos="10080" w:leader="dot"/>
            </w:tabs>
          </w:pPr>
          <w:hyperlink w:history="1" w:anchor="_Toc23">
            <w:r>
              <w:t xml:space="preserve">5. Hallazgo durante la implementación: datos de relleno</w:t>
            </w:r>
            <w:r>
              <w:tab/>
            </w:r>
            <w:r>
              <w:fldChar w:fldCharType="begin" w:dirty="true"/>
              <w:instrText xml:space="preserve">PAGEREF _Toc23 \h</w:instrText>
              <w:fldChar w:fldCharType="separate"/>
              <w:fldChar w:fldCharType="end"/>
            </w:r>
          </w:hyperlink>
        </w:p>
        <w:p>
          <w:pPr>
            <w:pStyle w:val="TOC1"/>
            <w:tabs>
              <w:tab w:val="right" w:pos="10080" w:leader="dot"/>
            </w:tabs>
          </w:pPr>
          <w:hyperlink w:history="1" w:anchor="_Toc24">
            <w:r>
              <w:t xml:space="preserve">6. Análisis de impacto</w:t>
            </w:r>
            <w:r>
              <w:tab/>
            </w:r>
            <w:r>
              <w:fldChar w:fldCharType="begin" w:dirty="true"/>
              <w:instrText xml:space="preserve">PAGEREF _Toc24 \h</w:instrText>
              <w:fldChar w:fldCharType="separate"/>
              <w:fldChar w:fldCharType="end"/>
            </w:r>
          </w:hyperlink>
        </w:p>
        <w:p>
          <w:pPr>
            <w:pStyle w:val="TOC1"/>
            <w:tabs>
              <w:tab w:val="right" w:pos="10080" w:leader="dot"/>
            </w:tabs>
          </w:pPr>
          <w:hyperlink w:history="1" w:anchor="_Toc25">
            <w:r>
              <w:t xml:space="preserve">7. Verificación</w:t>
            </w:r>
            <w:r>
              <w:tab/>
            </w:r>
            <w:r>
              <w:fldChar w:fldCharType="begin" w:dirty="true"/>
              <w:instrText xml:space="preserve">PAGEREF _Toc25 \h</w:instrText>
              <w:fldChar w:fldCharType="separate"/>
              <w:fldChar w:fldCharType="end"/>
            </w:r>
          </w:hyperlink>
        </w:p>
        <w:p>
          <w:pPr>
            <w:pStyle w:val="TOC2"/>
            <w:tabs>
              <w:tab w:val="right" w:pos="10080" w:leader="dot"/>
            </w:tabs>
            <w:ind w:left="220"/>
          </w:pPr>
          <w:hyperlink w:history="1" w:anchor="_Toc26">
            <w:r>
              <w:t xml:space="preserve">7.1 Diferencias respecto al mockup (deliberadas o pendientes)</w:t>
            </w:r>
            <w:r>
              <w:tab/>
            </w:r>
            <w:r>
              <w:fldChar w:fldCharType="begin" w:dirty="true"/>
              <w:instrText xml:space="preserve">PAGEREF _Toc26 \h</w:instrText>
              <w:fldChar w:fldCharType="separate"/>
              <w:fldChar w:fldCharType="end"/>
            </w:r>
          </w:hyperlink>
        </w:p>
        <w:p>
          <w:pPr>
            <w:pStyle w:val="TOC1"/>
            <w:tabs>
              <w:tab w:val="right" w:pos="10080" w:leader="dot"/>
            </w:tabs>
          </w:pPr>
          <w:hyperlink w:history="1" w:anchor="_Toc27">
            <w:r>
              <w:t xml:space="preserve">8. Plan de reversión</w:t>
            </w:r>
            <w:r>
              <w:tab/>
            </w:r>
            <w:r>
              <w:fldChar w:fldCharType="begin" w:dirty="true"/>
              <w:instrText xml:space="preserve">PAGEREF _Toc27 \h</w:instrText>
              <w:fldChar w:fldCharType="separate"/>
              <w:fldChar w:fldCharType="end"/>
            </w:r>
          </w:hyperlink>
        </w:p>
        <w:p>
          <w:pPr>
            <w:pStyle w:val="TOC1"/>
            <w:tabs>
              <w:tab w:val="right" w:pos="10080" w:leader="dot"/>
            </w:tabs>
          </w:pPr>
          <w:hyperlink w:history="1" w:anchor="_Toc28">
            <w:r>
              <w:t xml:space="preserve">9. Riesgos y acciones pendientes</w:t>
            </w:r>
            <w:r>
              <w:tab/>
            </w:r>
            <w:r>
              <w:fldChar w:fldCharType="begin" w:dirty="true"/>
              <w:instrText xml:space="preserve">PAGEREF _Toc28 \h</w:instrText>
              <w:fldChar w:fldCharType="separate"/>
              <w:fldChar w:fldCharType="end"/>
            </w:r>
          </w:hyperlink>
        </w:p>
        <w:p>
          <w:pPr>
            <w:pStyle w:val="TOC1"/>
            <w:tabs>
              <w:tab w:val="right" w:pos="10080" w:leader="dot"/>
            </w:tabs>
          </w:pPr>
          <w:hyperlink w:history="1" w:anchor="_Toc29">
            <w:r>
              <w:t xml:space="preserve">10. Aprobaciones</w:t>
            </w:r>
            <w:r>
              <w:tab/>
            </w:r>
            <w:r>
              <w:fldChar w:fldCharType="begin" w:dirty="true"/>
              <w:instrText xml:space="preserve">PAGEREF _Toc29 \h</w:instrText>
              <w:fldChar w:fldCharType="separate"/>
              <w:fldChar w:fldCharType="end"/>
            </w:r>
          </w:hyperlink>
        </w:p>
        <w:p>
          <w:pPr>
            <w:pStyle w:val="TOC2"/>
            <w:tabs>
              <w:tab w:val="right" w:pos="10080" w:leader="dot"/>
            </w:tabs>
            <w:ind w:left="220"/>
          </w:pPr>
          <w:hyperlink w:history="1" w:anchor="_Toc30">
            <w:r>
              <w:t xml:space="preserve">10.1 Registro de revisiones del documento</w:t>
            </w:r>
            <w:r>
              <w:tab/>
            </w:r>
            <w:r>
              <w:fldChar w:fldCharType="begin" w:dirty="true"/>
              <w:instrText xml:space="preserve">PAGEREF _Toc30 \h</w:instrText>
              <w:fldChar w:fldCharType="separate"/>
              <w:fldChar w:fldCharType="end"/>
            </w:r>
          </w:hyperlink>
        </w:p>
        <w:p>
          <w:r>
            <w:fldChar w:fldCharType="end"/>
          </w:r>
        </w:p>
      </w:sdtContent>
    </w:sdt>
    <w:p>
      <w:r>
        <w:br w:type="page"/>
      </w:r>
    </w:p>
    <w:p>
      <w:pPr>
        <w:pStyle w:val="Heading1"/>
      </w:pPr>
      <w:bookmarkStart w:name="_Toc1" w:id="1"/>
      <w:r>
        <w:rPr>
          <w:rFonts w:ascii="Arial" w:cs="Arial" w:eastAsia="Arial" w:hAnsi="Arial"/>
        </w:rPr>
        <w:t xml:space="preserve">1. Descripción del cambio</w:t>
      </w:r>
      <w:bookmarkEnd w:id="1"/>
    </w:p>
    <w:p>
      <w:pPr>
        <w:spacing w:after="100" w:line="276"/>
      </w:pPr>
      <w:r>
        <w:rPr>
          <w:rFonts w:ascii="Arial" w:cs="Arial" w:eastAsia="Arial" w:hAnsi="Arial"/>
          <w:sz w:val="20"/>
          <w:szCs w:val="20"/>
        </w:rPr>
        <w:t xml:space="preserve">La interfaz construida hasta la prueba en dispositivo (informe de pruebas funcionales, 12-oct-2026) no seguía los mockups oficiales de la propuesta. Usaba una tipografía de respaldo con serifas, emojis como íconos, tarjetas genéricas y una barra inferior estándar, y no tenía las cabeceras de color por fase ni los componentes definidos en DESIGN.md.</w:t>
      </w:r>
    </w:p>
    <w:p>
      <w:pPr>
        <w:spacing w:after="100" w:line="276"/>
      </w:pPr>
      <w:r>
        <w:rPr>
          <w:rFonts w:ascii="Arial" w:cs="Arial" w:eastAsia="Arial" w:hAnsi="Arial"/>
          <w:sz w:val="20"/>
          <w:szCs w:val="20"/>
        </w:rPr>
        <w:t xml:space="preserve">Este cambio alinea todas las pantallas con los mockups: tipografía Plus Jakarta Sans, íconos Material Symbols (sin emojis), paleta y fases (Prevención verde, Durante ocre, Después azul acero, espresso para Mapa y Alertas), tarjetas con borde cálido y sombra difusa, botones en forma de pastilla de 52 px y la barra inferior oscura del mockup.</w:t>
      </w:r>
    </w:p>
    <w:p>
      <w:pPr>
        <w:pStyle w:val="Heading2"/>
      </w:pPr>
      <w:bookmarkStart w:name="_Toc2" w:id="2"/>
      <w:r>
        <w:rPr>
          <w:rFonts w:ascii="Arial" w:cs="Arial" w:eastAsia="Arial" w:hAnsi="Arial"/>
        </w:rPr>
        <w:t xml:space="preserve">1.1 Justificación</w:t>
      </w:r>
      <w:bookmarkEnd w:id="2"/>
    </w:p>
    <w:p>
      <w:pPr>
        <w:pStyle w:val="ListParagraph"/>
        <w:numPr>
          <w:ilvl w:val="0"/>
          <w:numId w:val="2"/>
        </w:numPr>
        <w:spacing w:after="60"/>
      </w:pPr>
      <w:r>
        <w:rPr>
          <w:rFonts w:ascii="Arial" w:cs="Arial" w:eastAsia="Arial" w:hAnsi="Arial"/>
          <w:sz w:val="20"/>
          <w:szCs w:val="20"/>
        </w:rPr>
        <w:t xml:space="preserve">Los mockups son parte de la propuesta técnica aceptada (BASE_CONOCIMIENTO/10) y de los criterios de la entrega.</w:t>
      </w:r>
    </w:p>
    <w:p>
      <w:pPr>
        <w:pStyle w:val="ListParagraph"/>
        <w:numPr>
          <w:ilvl w:val="0"/>
          <w:numId w:val="2"/>
        </w:numPr>
        <w:spacing w:after="60"/>
      </w:pPr>
      <w:r>
        <w:rPr>
          <w:rFonts w:ascii="Arial" w:cs="Arial" w:eastAsia="Arial" w:hAnsi="Arial"/>
          <w:sz w:val="20"/>
          <w:szCs w:val="20"/>
        </w:rPr>
        <w:t xml:space="preserve">DESIGN.md define reglas orientadas a la seguridad: botones de 52 px para tocar durante un temblor, contraste alto, texto en mayúsculas de gran tamaño para las instrucciones críticas y colores por fase para reconocer el módulo de un vistazo.</w:t>
      </w:r>
    </w:p>
    <w:p>
      <w:pPr>
        <w:pStyle w:val="ListParagraph"/>
        <w:numPr>
          <w:ilvl w:val="0"/>
          <w:numId w:val="2"/>
        </w:numPr>
        <w:spacing w:after="60"/>
      </w:pPr>
      <w:r>
        <w:rPr>
          <w:rFonts w:ascii="Arial" w:cs="Arial" w:eastAsia="Arial" w:hAnsi="Arial"/>
          <w:sz w:val="20"/>
          <w:szCs w:val="20"/>
        </w:rPr>
        <w:t xml:space="preserve">Se pidió expresamente usar íconos reales y no emojis.</w:t>
      </w:r>
    </w:p>
    <w:p>
      <w:pPr>
        <w:pStyle w:val="Heading2"/>
      </w:pPr>
      <w:bookmarkStart w:name="_Toc3" w:id="3"/>
      <w:r>
        <w:rPr>
          <w:rFonts w:ascii="Arial" w:cs="Arial" w:eastAsia="Arial" w:hAnsi="Arial"/>
        </w:rPr>
        <w:t xml:space="preserve">1.2 Fuera del alcance</w:t>
      </w:r>
      <w:bookmarkEnd w:id="3"/>
    </w:p>
    <w:p>
      <w:pPr>
        <w:pStyle w:val="ListParagraph"/>
        <w:numPr>
          <w:ilvl w:val="0"/>
          <w:numId w:val="2"/>
        </w:numPr>
        <w:spacing w:after="60"/>
      </w:pPr>
      <w:r>
        <w:rPr>
          <w:rFonts w:ascii="Arial" w:cs="Arial" w:eastAsia="Arial" w:hAnsi="Arial"/>
          <w:sz w:val="20"/>
          <w:szCs w:val="20"/>
        </w:rPr>
        <w:t xml:space="preserve">Lógica de negocio, contratos (src/contracts), servicios (src/core, src/platform), servidor y contenido.</w:t>
      </w:r>
    </w:p>
    <w:p>
      <w:pPr>
        <w:pStyle w:val="ListParagraph"/>
        <w:numPr>
          <w:ilvl w:val="0"/>
          <w:numId w:val="2"/>
        </w:numPr>
        <w:spacing w:after="60"/>
      </w:pPr>
      <w:r>
        <w:rPr>
          <w:rFonts w:ascii="Arial" w:cs="Arial" w:eastAsia="Arial" w:hAnsi="Arial"/>
          <w:sz w:val="20"/>
          <w:szCs w:val="20"/>
        </w:rPr>
        <w:t xml:space="preserve">Soporte para iOS (ver sección 7). El modo oscuro tampoco formó parte del rediseño original; se añadió después en la revisión 1.4 (sección 4.7).</w:t>
      </w:r>
    </w:p>
    <w:p>
      <w:pPr>
        <w:pStyle w:val="ListParagraph"/>
        <w:numPr>
          <w:ilvl w:val="0"/>
          <w:numId w:val="2"/>
        </w:numPr>
        <w:spacing w:after="60"/>
      </w:pPr>
      <w:r>
        <w:rPr>
          <w:rFonts w:ascii="Arial" w:cs="Arial" w:eastAsia="Arial" w:hAnsi="Arial"/>
          <w:sz w:val="20"/>
          <w:szCs w:val="20"/>
        </w:rPr>
        <w:t xml:space="preserve">Mapa vectorial: no estaba en el alcance inicial y se incorporó en la revisión 1.1 de este documento (sección 4.4).</w:t>
      </w:r>
    </w:p>
    <w:p>
      <w:pPr>
        <w:pStyle w:val="Heading1"/>
      </w:pPr>
      <w:bookmarkStart w:name="_Toc4" w:id="4"/>
      <w:r>
        <w:rPr>
          <w:rFonts w:ascii="Arial" w:cs="Arial" w:eastAsia="Arial" w:hAnsi="Arial"/>
        </w:rPr>
        <w:t xml:space="preserve">2. Pantallas afectadas</w:t>
      </w:r>
      <w:bookmarkEnd w:id="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3380"/>
        <w:gridCol w:w="1300"/>
        <w:gridCol w:w="1900"/>
      </w:tblGrid>
      <w:tr>
        <w:trPr>
          <w:tblHeader/>
        </w:trPr>
        <w:tc>
          <w:tcPr>
            <w:tcW w:type="dxa" w:w="35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Pantalla</w:t>
            </w:r>
          </w:p>
        </w:tc>
        <w:tc>
          <w:tcPr>
            <w:tcW w:type="dxa" w:w="33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Mockup de referencia</w:t>
            </w:r>
          </w:p>
        </w:tc>
        <w:tc>
          <w:tcPr>
            <w:tcW w:type="dxa" w:w="13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Responsable</w:t>
            </w:r>
          </w:p>
        </w:tc>
        <w:tc>
          <w:tcPr>
            <w:tcW w:type="dxa" w:w="19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Estado</w:t>
            </w:r>
          </w:p>
        </w:tc>
      </w:tr>
      <w:tr>
        <w:trPr>
          <w:cantSplit/>
        </w:trPr>
        <w:tc>
          <w:tcPr>
            <w:tcW w:type="dxa" w:w="3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Splash y arranque</w:t>
            </w:r>
          </w:p>
        </w:tc>
        <w:tc>
          <w:tcPr>
            <w:tcW w:type="dxa" w:w="33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image.png (primer teléfono) · earthquake_tracker_logo</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D1</w:t>
            </w:r>
          </w:p>
        </w:tc>
        <w:tc>
          <w:tcPr>
            <w:tcW w:type="dxa" w:w="1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Implementado</w:t>
            </w:r>
          </w:p>
        </w:tc>
      </w:tr>
      <w:tr>
        <w:trPr>
          <w:cantSplit/>
        </w:trPr>
        <w:tc>
          <w:tcPr>
            <w:tcW w:type="dxa" w:w="3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Inicio</w:t>
            </w:r>
          </w:p>
        </w:tc>
        <w:tc>
          <w:tcPr>
            <w:tcW w:type="dxa" w:w="33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inicio_earthquake_tracker</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D1</w:t>
            </w:r>
          </w:p>
        </w:tc>
        <w:tc>
          <w:tcPr>
            <w:tcW w:type="dxa" w:w="1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Implementado</w:t>
            </w:r>
          </w:p>
        </w:tc>
      </w:tr>
      <w:tr>
        <w:trPr>
          <w:cantSplit/>
        </w:trPr>
        <w:tc>
          <w:tcPr>
            <w:tcW w:type="dxa" w:w="3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Durante el sismo</w:t>
            </w:r>
          </w:p>
        </w:tc>
        <w:tc>
          <w:tcPr>
            <w:tcW w:type="dxa" w:w="33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durante_el_sismo_emergencia</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D2</w:t>
            </w:r>
          </w:p>
        </w:tc>
        <w:tc>
          <w:tcPr>
            <w:tcW w:type="dxa" w:w="1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Implementado</w:t>
            </w:r>
          </w:p>
        </w:tc>
      </w:tr>
      <w:tr>
        <w:trPr>
          <w:cantSplit/>
        </w:trPr>
        <w:tc>
          <w:tcPr>
            <w:tcW w:type="dxa" w:w="3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Selector de gravedad y cuenta regresiva</w:t>
            </w:r>
          </w:p>
        </w:tc>
        <w:tc>
          <w:tcPr>
            <w:tcW w:type="dxa" w:w="33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modo_crisis_sos_y_baliza_ble</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D2</w:t>
            </w:r>
          </w:p>
        </w:tc>
        <w:tc>
          <w:tcPr>
            <w:tcW w:type="dxa" w:w="1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Implementado</w:t>
            </w:r>
          </w:p>
        </w:tc>
      </w:tr>
      <w:tr>
        <w:trPr>
          <w:cantSplit/>
        </w:trPr>
        <w:tc>
          <w:tcPr>
            <w:tcW w:type="dxa" w:w="3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Emergencia activa (modo crisis)</w:t>
            </w:r>
          </w:p>
        </w:tc>
        <w:tc>
          <w:tcPr>
            <w:tcW w:type="dxa" w:w="33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modo_crisis_sos_y_baliza_ble</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D2</w:t>
            </w:r>
          </w:p>
        </w:tc>
        <w:tc>
          <w:tcPr>
            <w:tcW w:type="dxa" w:w="1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Implementado</w:t>
            </w:r>
          </w:p>
        </w:tc>
      </w:tr>
      <w:tr>
        <w:trPr>
          <w:cantSplit/>
        </w:trPr>
        <w:tc>
          <w:tcPr>
            <w:tcW w:type="dxa" w:w="3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Prevención, guías, mochila y plan familiar</w:t>
            </w:r>
          </w:p>
        </w:tc>
        <w:tc>
          <w:tcPr>
            <w:tcW w:type="dxa" w:w="33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prevenci_n_mochila_y_simulacros</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D3</w:t>
            </w:r>
          </w:p>
        </w:tc>
        <w:tc>
          <w:tcPr>
            <w:tcW w:type="dxa" w:w="1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Implementado</w:t>
            </w:r>
          </w:p>
        </w:tc>
      </w:tr>
      <w:tr>
        <w:trPr>
          <w:cantSplit/>
        </w:trPr>
        <w:tc>
          <w:tcPr>
            <w:tcW w:type="dxa" w:w="3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Quiz, niveles y logros</w:t>
            </w:r>
          </w:p>
        </w:tc>
        <w:tc>
          <w:tcPr>
            <w:tcW w:type="dxa" w:w="33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trivias_y_logros_gamificados</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D4</w:t>
            </w:r>
          </w:p>
        </w:tc>
        <w:tc>
          <w:tcPr>
            <w:tcW w:type="dxa" w:w="1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Implementado</w:t>
            </w:r>
          </w:p>
        </w:tc>
      </w:tr>
      <w:tr>
        <w:trPr>
          <w:cantSplit/>
        </w:trPr>
        <w:tc>
          <w:tcPr>
            <w:tcW w:type="dxa" w:w="3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Alertas</w:t>
            </w:r>
          </w:p>
        </w:tc>
        <w:tc>
          <w:tcPr>
            <w:tcW w:type="dxa" w:w="33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centro_de_alertas_s_smicas</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D4</w:t>
            </w:r>
          </w:p>
        </w:tc>
        <w:tc>
          <w:tcPr>
            <w:tcW w:type="dxa" w:w="1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Implementado</w:t>
            </w:r>
          </w:p>
        </w:tc>
      </w:tr>
      <w:tr>
        <w:trPr>
          <w:cantSplit/>
        </w:trPr>
        <w:tc>
          <w:tcPr>
            <w:tcW w:type="dxa" w:w="3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Mapa y regiones</w:t>
            </w:r>
          </w:p>
        </w:tc>
        <w:tc>
          <w:tcPr>
            <w:tcW w:type="dxa" w:w="33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mapa_de_zonas_seguras</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D5 y orquestador</w:t>
            </w:r>
          </w:p>
        </w:tc>
        <w:tc>
          <w:tcPr>
            <w:tcW w:type="dxa" w:w="1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Implementado con mapa vectorial real (rev. 1.1)</w:t>
            </w:r>
          </w:p>
        </w:tc>
      </w:tr>
      <w:tr>
        <w:trPr>
          <w:cantSplit/>
        </w:trPr>
        <w:tc>
          <w:tcPr>
            <w:tcW w:type="dxa" w:w="3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Después, ayuda, solicitar ayuda y reportar</w:t>
            </w:r>
          </w:p>
        </w:tc>
        <w:tc>
          <w:tcPr>
            <w:tcW w:type="dxa" w:w="33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despu_s_ayuda_y_donaciones</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D5</w:t>
            </w:r>
          </w:p>
        </w:tc>
        <w:tc>
          <w:tcPr>
            <w:tcW w:type="dxa" w:w="1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Implementado</w:t>
            </w:r>
          </w:p>
        </w:tc>
      </w:tr>
      <w:tr>
        <w:trPr>
          <w:cantSplit/>
        </w:trPr>
        <w:tc>
          <w:tcPr>
            <w:tcW w:type="dxa" w:w="3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Perfil</w:t>
            </w:r>
          </w:p>
        </w:tc>
        <w:tc>
          <w:tcPr>
            <w:tcW w:type="dxa" w:w="33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mi_perfil_y_contactos_de_emergencia</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D6</w:t>
            </w:r>
          </w:p>
        </w:tc>
        <w:tc>
          <w:tcPr>
            <w:tcW w:type="dxa" w:w="1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Implementado</w:t>
            </w:r>
          </w:p>
        </w:tc>
      </w:tr>
      <w:tr>
        <w:trPr>
          <w:cantSplit/>
        </w:trPr>
        <w:tc>
          <w:tcPr>
            <w:tcW w:type="dxa" w:w="3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Ficha médica, desbloqueo, onboarding, permisos, sincronización, socorrista, panel de pruebas</w:t>
            </w:r>
          </w:p>
        </w:tc>
        <w:tc>
          <w:tcPr>
            <w:tcW w:type="dxa" w:w="33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Sin mockup: se aplicó DESIGN.md</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D6</w:t>
            </w:r>
          </w:p>
        </w:tc>
        <w:tc>
          <w:tcPr>
            <w:tcW w:type="dxa" w:w="1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Implementado</w:t>
            </w:r>
          </w:p>
        </w:tc>
      </w:tr>
      <w:tr>
        <w:trPr>
          <w:cantSplit/>
        </w:trPr>
        <w:tc>
          <w:tcPr>
            <w:tcW w:type="dxa" w:w="3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Barra inferior y cabecera</w:t>
            </w:r>
          </w:p>
        </w:tc>
        <w:tc>
          <w:tcPr>
            <w:tcW w:type="dxa" w:w="33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Todos los mockups</w:t>
            </w:r>
          </w:p>
        </w:tc>
        <w:tc>
          <w:tcPr>
            <w:tcW w:type="dxa" w:w="1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Orquestador</w:t>
            </w:r>
          </w:p>
        </w:tc>
        <w:tc>
          <w:tcPr>
            <w:tcW w:type="dxa" w:w="1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Implementado</w:t>
            </w:r>
          </w:p>
        </w:tc>
      </w:tr>
    </w:tbl>
    <w:p>
      <w:pPr>
        <w:pStyle w:val="Heading1"/>
      </w:pPr>
      <w:bookmarkStart w:name="_Toc5" w:id="5"/>
      <w:r>
        <w:rPr>
          <w:rFonts w:ascii="Arial" w:cs="Arial" w:eastAsia="Arial" w:hAnsi="Arial"/>
        </w:rPr>
        <w:t xml:space="preserve">3. Comparación visual</w:t>
      </w:r>
      <w:bookmarkEnd w:id="5"/>
    </w:p>
    <w:p>
      <w:pPr>
        <w:spacing w:after="100" w:line="276"/>
      </w:pPr>
      <w:r>
        <w:rPr>
          <w:rFonts w:ascii="Arial" w:cs="Arial" w:eastAsia="Arial" w:hAnsi="Arial"/>
          <w:sz w:val="20"/>
          <w:szCs w:val="20"/>
        </w:rPr>
        <w:t xml:space="preserve">Cada fila muestra el mockup oficial, la aplicación antes del cambio (cuando existe captura) y la aplicación después, en un Motorola edge 50 fusion con Android 15. Las capturas «antes» provienen de la sesión de pruebas funcionales.</w:t>
      </w:r>
    </w:p>
    <w:p>
      <w:pPr>
        <w:spacing w:after="60"/>
        <w:jc w:val="center"/>
      </w:pPr>
      <w:r>
        <w:drawing>
          <wp:inline distT="0" distB="0" distL="0" distR="0">
            <wp:extent cx="4572000" cy="3048000"/>
            <wp:effectExtent t="0" r="0" b="0" l="0"/>
            <wp:docPr id="2" name="mk_all" descr="mk_all" title="mk_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48000"/>
                    </a:xfrm>
                    <a:prstGeom prst="rect">
                      <a:avLst/>
                    </a:prstGeom>
                  </pic:spPr>
                </pic:pic>
              </a:graphicData>
            </a:graphic>
          </wp:inline>
        </w:drawing>
      </w:r>
    </w:p>
    <w:p>
      <w:pPr>
        <w:spacing w:after="160"/>
        <w:jc w:val="center"/>
      </w:pPr>
      <w:r>
        <w:rPr>
          <w:rFonts w:ascii="Arial" w:cs="Arial" w:eastAsia="Arial" w:hAnsi="Arial"/>
          <w:i/>
          <w:iCs/>
          <w:color w:val="666666"/>
          <w:sz w:val="15"/>
          <w:szCs w:val="15"/>
        </w:rPr>
        <w:t xml:space="preserve">Composición de los mockups oficiales (design/mockups/image.png)</w:t>
      </w:r>
    </w:p>
    <w:p>
      <w:pPr>
        <w:pStyle w:val="Heading2"/>
      </w:pPr>
      <w:bookmarkStart w:name="_Toc6" w:id="6"/>
      <w:r>
        <w:rPr>
          <w:rFonts w:ascii="Arial" w:cs="Arial" w:eastAsia="Arial" w:hAnsi="Arial"/>
        </w:rPr>
        <w:t xml:space="preserve">3.1 Inicio</w:t>
      </w:r>
      <w:bookmarkEnd w:id="6"/>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rPr>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571625" cy="3971925"/>
                  <wp:effectExtent t="0" r="0" b="0" l="0"/>
                  <wp:docPr id="3" name="mk_home" descr="mk_home" title="mk_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3971925"/>
                          </a:xfrm>
                          <a:prstGeom prst="rect">
                            <a:avLst/>
                          </a:prstGeom>
                        </pic:spPr>
                      </pic:pic>
                    </a:graphicData>
                  </a:graphic>
                </wp:inline>
              </w:drawing>
            </w:r>
          </w:p>
          <w:p>
            <w:pPr>
              <w:spacing w:after="80"/>
              <w:jc w:val="center"/>
            </w:pPr>
            <w:r>
              <w:rPr>
                <w:rFonts w:ascii="Arial" w:cs="Arial" w:eastAsia="Arial" w:hAnsi="Arial"/>
                <w:b/>
                <w:bCs/>
                <w:i/>
                <w:iCs/>
                <w:color w:val="666666"/>
                <w:sz w:val="15"/>
                <w:szCs w:val="15"/>
              </w:rPr>
              <w:t xml:space="preserve">Mockup</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571625" cy="3495675"/>
                  <wp:effectExtent t="0" r="0" b="0" l="0"/>
                  <wp:docPr id="4" name="b_home" descr="b_home" title="b_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3495675"/>
                          </a:xfrm>
                          <a:prstGeom prst="rect">
                            <a:avLst/>
                          </a:prstGeom>
                        </pic:spPr>
                      </pic:pic>
                    </a:graphicData>
                  </a:graphic>
                </wp:inline>
              </w:drawing>
            </w:r>
          </w:p>
          <w:p>
            <w:pPr>
              <w:spacing w:after="80"/>
              <w:jc w:val="center"/>
            </w:pPr>
            <w:r>
              <w:rPr>
                <w:rFonts w:ascii="Arial" w:cs="Arial" w:eastAsia="Arial" w:hAnsi="Arial"/>
                <w:b/>
                <w:bCs/>
                <w:i/>
                <w:iCs/>
                <w:color w:val="666666"/>
                <w:sz w:val="15"/>
                <w:szCs w:val="15"/>
              </w:rPr>
              <w:t xml:space="preserve">Antes</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571625" cy="3495675"/>
                  <wp:effectExtent t="0" r="0" b="0" l="0"/>
                  <wp:docPr id="5" name="a_home" descr="a_home" title="a_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3495675"/>
                          </a:xfrm>
                          <a:prstGeom prst="rect">
                            <a:avLst/>
                          </a:prstGeom>
                        </pic:spPr>
                      </pic:pic>
                    </a:graphicData>
                  </a:graphic>
                </wp:inline>
              </w:drawing>
            </w:r>
          </w:p>
          <w:p>
            <w:pPr>
              <w:spacing w:after="80"/>
              <w:jc w:val="center"/>
            </w:pPr>
            <w:r>
              <w:rPr>
                <w:rFonts w:ascii="Arial" w:cs="Arial" w:eastAsia="Arial" w:hAnsi="Arial"/>
                <w:b/>
                <w:bCs/>
                <w:i/>
                <w:iCs/>
                <w:color w:val="666666"/>
                <w:sz w:val="15"/>
                <w:szCs w:val="15"/>
              </w:rPr>
              <w:t xml:space="preserve">Después</w:t>
            </w:r>
          </w:p>
        </w:tc>
      </w:tr>
    </w:tbl>
    <w:p>
      <w:pPr>
        <w:spacing w:after="60"/>
      </w:pPr>
      <w:r>
        <w:rPr>
          <w:rFonts w:ascii="Arial" w:cs="Arial" w:eastAsia="Arial" w:hAnsi="Arial"/>
          <w:sz w:val="20"/>
          <w:szCs w:val="20"/>
        </w:rPr>
        <w:t xml:space="preserve"/>
      </w:r>
    </w:p>
    <w:p>
      <w:pPr>
        <w:spacing w:after="100" w:line="276"/>
      </w:pPr>
      <w:r>
        <w:rPr>
          <w:rFonts w:ascii="Arial" w:cs="Arial" w:eastAsia="Arial" w:hAnsi="Arial"/>
          <w:sz w:val="20"/>
          <w:szCs w:val="20"/>
        </w:rPr>
        <w:t xml:space="preserve">Cabecera con logo, saludo y estado de conexión; emblema de las tres fases; lema; aviso de detección; tarjetas de fase codificadas por color; botón SOS en pastilla y barra inferior oscura con la pestaña activa rellena.</w:t>
      </w:r>
    </w:p>
    <w:p>
      <w:pPr>
        <w:pStyle w:val="Heading2"/>
      </w:pPr>
      <w:bookmarkStart w:name="_Toc7" w:id="7"/>
      <w:r>
        <w:rPr>
          <w:rFonts w:ascii="Arial" w:cs="Arial" w:eastAsia="Arial" w:hAnsi="Arial"/>
        </w:rPr>
        <w:t xml:space="preserve">3.2 Selector de gravedad</w:t>
      </w:r>
      <w:bookmarkEnd w:id="7"/>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905000" cy="4229100"/>
                  <wp:effectExtent t="0" r="0" b="0" l="0"/>
                  <wp:docPr id="6" name="b_sel" descr="b_sel" title="b_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4229100"/>
                          </a:xfrm>
                          <a:prstGeom prst="rect">
                            <a:avLst/>
                          </a:prstGeom>
                        </pic:spPr>
                      </pic:pic>
                    </a:graphicData>
                  </a:graphic>
                </wp:inline>
              </w:drawing>
            </w:r>
          </w:p>
          <w:p>
            <w:pPr>
              <w:spacing w:after="80"/>
              <w:jc w:val="center"/>
            </w:pPr>
            <w:r>
              <w:rPr>
                <w:rFonts w:ascii="Arial" w:cs="Arial" w:eastAsia="Arial" w:hAnsi="Arial"/>
                <w:b/>
                <w:bCs/>
                <w:i/>
                <w:iCs/>
                <w:color w:val="666666"/>
                <w:sz w:val="15"/>
                <w:szCs w:val="15"/>
              </w:rPr>
              <w:t xml:space="preserve">Antes</w:t>
            </w:r>
          </w:p>
        </w:tc>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905000" cy="4229100"/>
                  <wp:effectExtent t="0" r="0" b="0" l="0"/>
                  <wp:docPr id="7" name="a_sel" descr="a_sel" title="a_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0" cy="4229100"/>
                          </a:xfrm>
                          <a:prstGeom prst="rect">
                            <a:avLst/>
                          </a:prstGeom>
                        </pic:spPr>
                      </pic:pic>
                    </a:graphicData>
                  </a:graphic>
                </wp:inline>
              </w:drawing>
            </w:r>
          </w:p>
          <w:p>
            <w:pPr>
              <w:spacing w:after="80"/>
              <w:jc w:val="center"/>
            </w:pPr>
            <w:r>
              <w:rPr>
                <w:rFonts w:ascii="Arial" w:cs="Arial" w:eastAsia="Arial" w:hAnsi="Arial"/>
                <w:b/>
                <w:bCs/>
                <w:i/>
                <w:iCs/>
                <w:color w:val="666666"/>
                <w:sz w:val="15"/>
                <w:szCs w:val="15"/>
              </w:rPr>
              <w:t xml:space="preserve">Después</w:t>
            </w:r>
          </w:p>
        </w:tc>
      </w:tr>
    </w:tbl>
    <w:p>
      <w:pPr>
        <w:spacing w:after="60"/>
      </w:pPr>
      <w:r>
        <w:rPr>
          <w:rFonts w:ascii="Arial" w:cs="Arial" w:eastAsia="Arial" w:hAnsi="Arial"/>
          <w:sz w:val="20"/>
          <w:szCs w:val="20"/>
        </w:rPr>
        <w:t xml:space="preserve"/>
      </w:r>
    </w:p>
    <w:p>
      <w:pPr>
        <w:spacing w:after="100" w:line="276"/>
      </w:pPr>
      <w:r>
        <w:rPr>
          <w:rFonts w:ascii="Arial" w:cs="Arial" w:eastAsia="Arial" w:hAnsi="Arial"/>
          <w:sz w:val="20"/>
          <w:szCs w:val="20"/>
        </w:rPr>
        <w:t xml:space="preserve">Tres opciones con ícono, subtítulo de prioridad y descripción; botón «Volver atrás» en pastilla. Se conservan los dos toques de RF-05.</w:t>
      </w:r>
    </w:p>
    <w:p>
      <w:pPr>
        <w:pStyle w:val="Heading2"/>
      </w:pPr>
      <w:bookmarkStart w:name="_Toc8" w:id="8"/>
      <w:r>
        <w:rPr>
          <w:rFonts w:ascii="Arial" w:cs="Arial" w:eastAsia="Arial" w:hAnsi="Arial"/>
        </w:rPr>
        <w:t xml:space="preserve">3.3 Emergencia activa (modo crisis)</w:t>
      </w:r>
      <w:bookmarkEnd w:id="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rPr>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571625" cy="6924675"/>
                  <wp:effectExtent t="0" r="0" b="0" l="0"/>
                  <wp:docPr id="8" name="mk_crisis" descr="mk_crisis" title="mk_cr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6924675"/>
                          </a:xfrm>
                          <a:prstGeom prst="rect">
                            <a:avLst/>
                          </a:prstGeom>
                        </pic:spPr>
                      </pic:pic>
                    </a:graphicData>
                  </a:graphic>
                </wp:inline>
              </w:drawing>
            </w:r>
          </w:p>
          <w:p>
            <w:pPr>
              <w:spacing w:after="80"/>
              <w:jc w:val="center"/>
            </w:pPr>
            <w:r>
              <w:rPr>
                <w:rFonts w:ascii="Arial" w:cs="Arial" w:eastAsia="Arial" w:hAnsi="Arial"/>
                <w:b/>
                <w:bCs/>
                <w:i/>
                <w:iCs/>
                <w:color w:val="666666"/>
                <w:sz w:val="15"/>
                <w:szCs w:val="15"/>
              </w:rPr>
              <w:t xml:space="preserve">Mockup</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571625" cy="3495675"/>
                  <wp:effectExtent t="0" r="0" b="0" l="0"/>
                  <wp:docPr id="9" name="b_emerg" descr="b_emerg" title="b_eme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3495675"/>
                          </a:xfrm>
                          <a:prstGeom prst="rect">
                            <a:avLst/>
                          </a:prstGeom>
                        </pic:spPr>
                      </pic:pic>
                    </a:graphicData>
                  </a:graphic>
                </wp:inline>
              </w:drawing>
            </w:r>
          </w:p>
          <w:p>
            <w:pPr>
              <w:spacing w:after="80"/>
              <w:jc w:val="center"/>
            </w:pPr>
            <w:r>
              <w:rPr>
                <w:rFonts w:ascii="Arial" w:cs="Arial" w:eastAsia="Arial" w:hAnsi="Arial"/>
                <w:b/>
                <w:bCs/>
                <w:i/>
                <w:iCs/>
                <w:color w:val="666666"/>
                <w:sz w:val="15"/>
                <w:szCs w:val="15"/>
              </w:rPr>
              <w:t xml:space="preserve">Antes</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571625" cy="3495675"/>
                  <wp:effectExtent t="0" r="0" b="0" l="0"/>
                  <wp:docPr id="10" name="a_emerg" descr="a_emerg" title="a_eme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3495675"/>
                          </a:xfrm>
                          <a:prstGeom prst="rect">
                            <a:avLst/>
                          </a:prstGeom>
                        </pic:spPr>
                      </pic:pic>
                    </a:graphicData>
                  </a:graphic>
                </wp:inline>
              </w:drawing>
            </w:r>
          </w:p>
          <w:p>
            <w:pPr>
              <w:spacing w:after="80"/>
              <w:jc w:val="center"/>
            </w:pPr>
            <w:r>
              <w:rPr>
                <w:rFonts w:ascii="Arial" w:cs="Arial" w:eastAsia="Arial" w:hAnsi="Arial"/>
                <w:b/>
                <w:bCs/>
                <w:i/>
                <w:iCs/>
                <w:color w:val="666666"/>
                <w:sz w:val="15"/>
                <w:szCs w:val="15"/>
              </w:rPr>
              <w:t xml:space="preserve">Después</w:t>
            </w:r>
          </w:p>
        </w:tc>
      </w:tr>
    </w:tbl>
    <w:p>
      <w:pPr>
        <w:spacing w:after="60"/>
      </w:pPr>
      <w:r>
        <w:rPr>
          <w:rFonts w:ascii="Arial" w:cs="Arial" w:eastAsia="Arial" w:hAnsi="Arial"/>
          <w:sz w:val="20"/>
          <w:szCs w:val="20"/>
        </w:rPr>
        <w:t xml:space="preserve"/>
      </w:r>
    </w:p>
    <w:p>
      <w:pPr>
        <w:spacing w:after="100" w:line="276"/>
      </w:pPr>
      <w:r>
        <w:rPr>
          <w:rFonts w:ascii="Arial" w:cs="Arial" w:eastAsia="Arial" w:hAnsi="Arial"/>
          <w:sz w:val="20"/>
          <w:szCs w:val="20"/>
        </w:rPr>
        <w:t xml:space="preserve">Banner de crisis con degradado terracota, cancelación en 3 s, selector de gravedad, interruptores de señales físicas, radar de la baliza y carga útil estructurada. Los valores se toman de los servicios reales (ver sección 5).</w:t>
      </w:r>
    </w:p>
    <w:p>
      <w:pPr>
        <w:pStyle w:val="Heading2"/>
      </w:pPr>
      <w:bookmarkStart w:name="_Toc9" w:id="9"/>
      <w:r>
        <w:rPr>
          <w:rFonts w:ascii="Arial" w:cs="Arial" w:eastAsia="Arial" w:hAnsi="Arial"/>
        </w:rPr>
        <w:t xml:space="preserve">3.4 Durante el sismo</w:t>
      </w:r>
      <w:bookmarkEnd w:id="9"/>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905000" cy="4429125"/>
                  <wp:effectExtent t="0" r="0" b="0" l="0"/>
                  <wp:docPr id="11" name="mk_durante" descr="mk_durante" title="mk_dur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0" cy="4429125"/>
                          </a:xfrm>
                          <a:prstGeom prst="rect">
                            <a:avLst/>
                          </a:prstGeom>
                        </pic:spPr>
                      </pic:pic>
                    </a:graphicData>
                  </a:graphic>
                </wp:inline>
              </w:drawing>
            </w:r>
          </w:p>
          <w:p>
            <w:pPr>
              <w:spacing w:after="80"/>
              <w:jc w:val="center"/>
            </w:pPr>
            <w:r>
              <w:rPr>
                <w:rFonts w:ascii="Arial" w:cs="Arial" w:eastAsia="Arial" w:hAnsi="Arial"/>
                <w:b/>
                <w:bCs/>
                <w:i/>
                <w:iCs/>
                <w:color w:val="666666"/>
                <w:sz w:val="15"/>
                <w:szCs w:val="15"/>
              </w:rPr>
              <w:t xml:space="preserve">Mockup</w:t>
            </w:r>
          </w:p>
        </w:tc>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905000" cy="4229100"/>
                  <wp:effectExtent t="0" r="0" b="0" l="0"/>
                  <wp:docPr id="12" name="a_durante" descr="a_durante" title="a_dur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05000" cy="4229100"/>
                          </a:xfrm>
                          <a:prstGeom prst="rect">
                            <a:avLst/>
                          </a:prstGeom>
                        </pic:spPr>
                      </pic:pic>
                    </a:graphicData>
                  </a:graphic>
                </wp:inline>
              </w:drawing>
            </w:r>
          </w:p>
          <w:p>
            <w:pPr>
              <w:spacing w:after="80"/>
              <w:jc w:val="center"/>
            </w:pPr>
            <w:r>
              <w:rPr>
                <w:rFonts w:ascii="Arial" w:cs="Arial" w:eastAsia="Arial" w:hAnsi="Arial"/>
                <w:b/>
                <w:bCs/>
                <w:i/>
                <w:iCs/>
                <w:color w:val="666666"/>
                <w:sz w:val="15"/>
                <w:szCs w:val="15"/>
              </w:rPr>
              <w:t xml:space="preserve">Después</w:t>
            </w:r>
          </w:p>
        </w:tc>
      </w:tr>
    </w:tbl>
    <w:p>
      <w:pPr>
        <w:spacing w:after="60"/>
      </w:pPr>
      <w:r>
        <w:rPr>
          <w:rFonts w:ascii="Arial" w:cs="Arial" w:eastAsia="Arial" w:hAnsi="Arial"/>
          <w:sz w:val="20"/>
          <w:szCs w:val="20"/>
        </w:rPr>
        <w:t xml:space="preserve"/>
      </w:r>
    </w:p>
    <w:p>
      <w:pPr>
        <w:spacing w:after="100" w:line="276"/>
      </w:pPr>
      <w:r>
        <w:rPr>
          <w:rFonts w:ascii="Arial" w:cs="Arial" w:eastAsia="Arial" w:hAnsi="Arial"/>
          <w:sz w:val="20"/>
          <w:szCs w:val="20"/>
        </w:rPr>
        <w:t xml:space="preserve">Cabecera ocre, protocolo AGÁCHATE · CÚBRETE · AGÁRRATE con ilustraciones vectoriales locales (sin imágenes remotas, 100 % offline) y estado de la red de malla.</w:t>
      </w:r>
    </w:p>
    <w:p>
      <w:pPr>
        <w:pStyle w:val="Heading2"/>
      </w:pPr>
      <w:bookmarkStart w:name="_Toc10" w:id="10"/>
      <w:r>
        <w:rPr>
          <w:rFonts w:ascii="Arial" w:cs="Arial" w:eastAsia="Arial" w:hAnsi="Arial"/>
        </w:rPr>
        <w:t xml:space="preserve">3.5 Prevención</w:t>
      </w:r>
      <w:bookmarkEnd w:id="1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rPr>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571625" cy="7781925"/>
                  <wp:effectExtent t="0" r="0" b="0" l="0"/>
                  <wp:docPr id="13" name="mk_prev" descr="mk_prev" title="mk_pr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7781925"/>
                          </a:xfrm>
                          <a:prstGeom prst="rect">
                            <a:avLst/>
                          </a:prstGeom>
                        </pic:spPr>
                      </pic:pic>
                    </a:graphicData>
                  </a:graphic>
                </wp:inline>
              </w:drawing>
            </w:r>
          </w:p>
          <w:p>
            <w:pPr>
              <w:spacing w:after="80"/>
              <w:jc w:val="center"/>
            </w:pPr>
            <w:r>
              <w:rPr>
                <w:rFonts w:ascii="Arial" w:cs="Arial" w:eastAsia="Arial" w:hAnsi="Arial"/>
                <w:b/>
                <w:bCs/>
                <w:i/>
                <w:iCs/>
                <w:color w:val="666666"/>
                <w:sz w:val="15"/>
                <w:szCs w:val="15"/>
              </w:rPr>
              <w:t xml:space="preserve">Mockup</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571625" cy="3495675"/>
                  <wp:effectExtent t="0" r="0" b="0" l="0"/>
                  <wp:docPr id="14" name="b_prev" descr="b_prev" title="b_pr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71625" cy="3495675"/>
                          </a:xfrm>
                          <a:prstGeom prst="rect">
                            <a:avLst/>
                          </a:prstGeom>
                        </pic:spPr>
                      </pic:pic>
                    </a:graphicData>
                  </a:graphic>
                </wp:inline>
              </w:drawing>
            </w:r>
          </w:p>
          <w:p>
            <w:pPr>
              <w:spacing w:after="80"/>
              <w:jc w:val="center"/>
            </w:pPr>
            <w:r>
              <w:rPr>
                <w:rFonts w:ascii="Arial" w:cs="Arial" w:eastAsia="Arial" w:hAnsi="Arial"/>
                <w:b/>
                <w:bCs/>
                <w:i/>
                <w:iCs/>
                <w:color w:val="666666"/>
                <w:sz w:val="15"/>
                <w:szCs w:val="15"/>
              </w:rPr>
              <w:t xml:space="preserve">Antes</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571625" cy="3495675"/>
                  <wp:effectExtent t="0" r="0" b="0" l="0"/>
                  <wp:docPr id="15" name="a_prev" descr="a_prev" title="a_pr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3495675"/>
                          </a:xfrm>
                          <a:prstGeom prst="rect">
                            <a:avLst/>
                          </a:prstGeom>
                        </pic:spPr>
                      </pic:pic>
                    </a:graphicData>
                  </a:graphic>
                </wp:inline>
              </w:drawing>
            </w:r>
          </w:p>
          <w:p>
            <w:pPr>
              <w:spacing w:after="80"/>
              <w:jc w:val="center"/>
            </w:pPr>
            <w:r>
              <w:rPr>
                <w:rFonts w:ascii="Arial" w:cs="Arial" w:eastAsia="Arial" w:hAnsi="Arial"/>
                <w:b/>
                <w:bCs/>
                <w:i/>
                <w:iCs/>
                <w:color w:val="666666"/>
                <w:sz w:val="15"/>
                <w:szCs w:val="15"/>
              </w:rPr>
              <w:t xml:space="preserve">Después</w:t>
            </w:r>
          </w:p>
        </w:tc>
      </w:tr>
    </w:tbl>
    <w:p>
      <w:pPr>
        <w:spacing w:after="60"/>
      </w:pPr>
      <w:r>
        <w:rPr>
          <w:rFonts w:ascii="Arial" w:cs="Arial" w:eastAsia="Arial" w:hAnsi="Arial"/>
          <w:sz w:val="20"/>
          <w:szCs w:val="20"/>
        </w:rPr>
        <w:t xml:space="preserve"/>
      </w:r>
    </w:p>
    <w:p>
      <w:pPr>
        <w:spacing w:after="100" w:line="276"/>
      </w:pPr>
      <w:r>
        <w:rPr>
          <w:rFonts w:ascii="Arial" w:cs="Arial" w:eastAsia="Arial" w:hAnsi="Arial"/>
          <w:sz w:val="20"/>
          <w:szCs w:val="20"/>
        </w:rPr>
        <w:t xml:space="preserve">Cabecera verde de fase, nivel de preparación real, mochila con casillas interactivas persistentes y accesos a guías, academia e insignias.</w:t>
      </w:r>
    </w:p>
    <w:p>
      <w:pPr>
        <w:pStyle w:val="Heading2"/>
      </w:pPr>
      <w:bookmarkStart w:name="_Toc11" w:id="11"/>
      <w:r>
        <w:rPr>
          <w:rFonts w:ascii="Arial" w:cs="Arial" w:eastAsia="Arial" w:hAnsi="Arial"/>
        </w:rPr>
        <w:t xml:space="preserve">3.6 Después</w:t>
      </w:r>
      <w:bookmarkEnd w:id="1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905000" cy="4229100"/>
                  <wp:effectExtent t="0" r="0" b="0" l="0"/>
                  <wp:docPr id="16" name="a_despues" descr="a_despues" title="a_desp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905000" cy="4229100"/>
                          </a:xfrm>
                          <a:prstGeom prst="rect">
                            <a:avLst/>
                          </a:prstGeom>
                        </pic:spPr>
                      </pic:pic>
                    </a:graphicData>
                  </a:graphic>
                </wp:inline>
              </w:drawing>
            </w:r>
          </w:p>
          <w:p>
            <w:pPr>
              <w:spacing w:after="80"/>
              <w:jc w:val="center"/>
            </w:pPr>
            <w:r>
              <w:rPr>
                <w:rFonts w:ascii="Arial" w:cs="Arial" w:eastAsia="Arial" w:hAnsi="Arial"/>
                <w:b/>
                <w:bCs/>
                <w:i/>
                <w:iCs/>
                <w:color w:val="666666"/>
                <w:sz w:val="15"/>
                <w:szCs w:val="15"/>
              </w:rPr>
              <w:t xml:space="preserve">Después</w:t>
            </w:r>
          </w:p>
        </w:tc>
      </w:tr>
    </w:tbl>
    <w:p>
      <w:pPr>
        <w:spacing w:after="60"/>
      </w:pPr>
      <w:r>
        <w:rPr>
          <w:rFonts w:ascii="Arial" w:cs="Arial" w:eastAsia="Arial" w:hAnsi="Arial"/>
          <w:sz w:val="20"/>
          <w:szCs w:val="20"/>
        </w:rPr>
        <w:t xml:space="preserve"/>
      </w:r>
    </w:p>
    <w:p>
      <w:pPr>
        <w:spacing w:after="100" w:line="276"/>
      </w:pPr>
      <w:r>
        <w:rPr>
          <w:rFonts w:ascii="Arial" w:cs="Arial" w:eastAsia="Arial" w:hAnsi="Arial"/>
          <w:sz w:val="20"/>
          <w:szCs w:val="20"/>
        </w:rPr>
        <w:t xml:space="preserve">Cabecera azul acero, «Estoy a salvo» con estado de la cola, reportar daños, solicitudes, donaciones y puntos de auxilio.</w:t>
      </w:r>
    </w:p>
    <w:p>
      <w:pPr>
        <w:pStyle w:val="Heading2"/>
      </w:pPr>
      <w:bookmarkStart w:name="_Toc12" w:id="12"/>
      <w:r>
        <w:rPr>
          <w:rFonts w:ascii="Arial" w:cs="Arial" w:eastAsia="Arial" w:hAnsi="Arial"/>
        </w:rPr>
        <w:t xml:space="preserve">3.7 Ayuda y donaciones</w:t>
      </w:r>
      <w:bookmarkEnd w:id="1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rPr>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571625" cy="7600950"/>
                  <wp:effectExtent t="0" r="0" b="0" l="0"/>
                  <wp:docPr id="17" name="mk_ayuda" descr="mk_ayuda" title="mk_ayu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71625" cy="7600950"/>
                          </a:xfrm>
                          <a:prstGeom prst="rect">
                            <a:avLst/>
                          </a:prstGeom>
                        </pic:spPr>
                      </pic:pic>
                    </a:graphicData>
                  </a:graphic>
                </wp:inline>
              </w:drawing>
            </w:r>
          </w:p>
          <w:p>
            <w:pPr>
              <w:spacing w:after="80"/>
              <w:jc w:val="center"/>
            </w:pPr>
            <w:r>
              <w:rPr>
                <w:rFonts w:ascii="Arial" w:cs="Arial" w:eastAsia="Arial" w:hAnsi="Arial"/>
                <w:b/>
                <w:bCs/>
                <w:i/>
                <w:iCs/>
                <w:color w:val="666666"/>
                <w:sz w:val="15"/>
                <w:szCs w:val="15"/>
              </w:rPr>
              <w:t xml:space="preserve">Mockup</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571625" cy="3495675"/>
                  <wp:effectExtent t="0" r="0" b="0" l="0"/>
                  <wp:docPr id="18" name="b_ayuda" descr="b_ayuda" title="b_ayu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3495675"/>
                          </a:xfrm>
                          <a:prstGeom prst="rect">
                            <a:avLst/>
                          </a:prstGeom>
                        </pic:spPr>
                      </pic:pic>
                    </a:graphicData>
                  </a:graphic>
                </wp:inline>
              </w:drawing>
            </w:r>
          </w:p>
          <w:p>
            <w:pPr>
              <w:spacing w:after="80"/>
              <w:jc w:val="center"/>
            </w:pPr>
            <w:r>
              <w:rPr>
                <w:rFonts w:ascii="Arial" w:cs="Arial" w:eastAsia="Arial" w:hAnsi="Arial"/>
                <w:b/>
                <w:bCs/>
                <w:i/>
                <w:iCs/>
                <w:color w:val="666666"/>
                <w:sz w:val="15"/>
                <w:szCs w:val="15"/>
              </w:rPr>
              <w:t xml:space="preserve">Antes</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571625" cy="3495675"/>
                  <wp:effectExtent t="0" r="0" b="0" l="0"/>
                  <wp:docPr id="19" name="a_ayuda" descr="a_ayuda" title="a_ayu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3495675"/>
                          </a:xfrm>
                          <a:prstGeom prst="rect">
                            <a:avLst/>
                          </a:prstGeom>
                        </pic:spPr>
                      </pic:pic>
                    </a:graphicData>
                  </a:graphic>
                </wp:inline>
              </w:drawing>
            </w:r>
          </w:p>
          <w:p>
            <w:pPr>
              <w:spacing w:after="80"/>
              <w:jc w:val="center"/>
            </w:pPr>
            <w:r>
              <w:rPr>
                <w:rFonts w:ascii="Arial" w:cs="Arial" w:eastAsia="Arial" w:hAnsi="Arial"/>
                <w:b/>
                <w:bCs/>
                <w:i/>
                <w:iCs/>
                <w:color w:val="666666"/>
                <w:sz w:val="15"/>
                <w:szCs w:val="15"/>
              </w:rPr>
              <w:t xml:space="preserve">Después</w:t>
            </w:r>
          </w:p>
        </w:tc>
      </w:tr>
    </w:tbl>
    <w:p>
      <w:pPr>
        <w:spacing w:after="60"/>
      </w:pPr>
      <w:r>
        <w:rPr>
          <w:rFonts w:ascii="Arial" w:cs="Arial" w:eastAsia="Arial" w:hAnsi="Arial"/>
          <w:sz w:val="20"/>
          <w:szCs w:val="20"/>
        </w:rPr>
        <w:t xml:space="preserve"/>
      </w:r>
    </w:p>
    <w:p>
      <w:pPr>
        <w:spacing w:after="100" w:line="276"/>
      </w:pPr>
      <w:r>
        <w:rPr>
          <w:rFonts w:ascii="Arial" w:cs="Arial" w:eastAsia="Arial" w:hAnsi="Arial"/>
          <w:sz w:val="20"/>
          <w:szCs w:val="20"/>
        </w:rPr>
        <w:t xml:space="preserve">Aviso informativo (no se procesan pagos, D-05), necesidades con nivel de urgencia y entidades oficiales.</w:t>
      </w:r>
    </w:p>
    <w:p>
      <w:pPr>
        <w:pStyle w:val="Heading2"/>
      </w:pPr>
      <w:bookmarkStart w:name="_Toc13" w:id="13"/>
      <w:r>
        <w:rPr>
          <w:rFonts w:ascii="Arial" w:cs="Arial" w:eastAsia="Arial" w:hAnsi="Arial"/>
        </w:rPr>
        <w:t xml:space="preserve">3.8 Mapa</w:t>
      </w:r>
      <w:bookmarkEnd w:id="1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rPr>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571625" cy="4486275"/>
                  <wp:effectExtent t="0" r="0" b="0" l="0"/>
                  <wp:docPr id="20" name="mk_mapa" descr="mk_mapa" title="mk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4486275"/>
                          </a:xfrm>
                          <a:prstGeom prst="rect">
                            <a:avLst/>
                          </a:prstGeom>
                        </pic:spPr>
                      </pic:pic>
                    </a:graphicData>
                  </a:graphic>
                </wp:inline>
              </w:drawing>
            </w:r>
          </w:p>
          <w:p>
            <w:pPr>
              <w:spacing w:after="80"/>
              <w:jc w:val="center"/>
            </w:pPr>
            <w:r>
              <w:rPr>
                <w:rFonts w:ascii="Arial" w:cs="Arial" w:eastAsia="Arial" w:hAnsi="Arial"/>
                <w:b/>
                <w:bCs/>
                <w:i/>
                <w:iCs/>
                <w:color w:val="666666"/>
                <w:sz w:val="15"/>
                <w:szCs w:val="15"/>
              </w:rPr>
              <w:t xml:space="preserve">Mockup</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571625" cy="3495675"/>
                  <wp:effectExtent t="0" r="0" b="0" l="0"/>
                  <wp:docPr id="21" name="b_mapa" descr="b_mapa" title="b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3495675"/>
                          </a:xfrm>
                          <a:prstGeom prst="rect">
                            <a:avLst/>
                          </a:prstGeom>
                        </pic:spPr>
                      </pic:pic>
                    </a:graphicData>
                  </a:graphic>
                </wp:inline>
              </w:drawing>
            </w:r>
          </w:p>
          <w:p>
            <w:pPr>
              <w:spacing w:after="80"/>
              <w:jc w:val="center"/>
            </w:pPr>
            <w:r>
              <w:rPr>
                <w:rFonts w:ascii="Arial" w:cs="Arial" w:eastAsia="Arial" w:hAnsi="Arial"/>
                <w:b/>
                <w:bCs/>
                <w:i/>
                <w:iCs/>
                <w:color w:val="666666"/>
                <w:sz w:val="15"/>
                <w:szCs w:val="15"/>
              </w:rPr>
              <w:t xml:space="preserve">Antes</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571625" cy="3495675"/>
                  <wp:effectExtent t="0" r="0" b="0" l="0"/>
                  <wp:docPr id="22" name="a_mapa" descr="a_mapa" title="a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3495675"/>
                          </a:xfrm>
                          <a:prstGeom prst="rect">
                            <a:avLst/>
                          </a:prstGeom>
                        </pic:spPr>
                      </pic:pic>
                    </a:graphicData>
                  </a:graphic>
                </wp:inline>
              </w:drawing>
            </w:r>
          </w:p>
          <w:p>
            <w:pPr>
              <w:spacing w:after="80"/>
              <w:jc w:val="center"/>
            </w:pPr>
            <w:r>
              <w:rPr>
                <w:rFonts w:ascii="Arial" w:cs="Arial" w:eastAsia="Arial" w:hAnsi="Arial"/>
                <w:b/>
                <w:bCs/>
                <w:i/>
                <w:iCs/>
                <w:color w:val="666666"/>
                <w:sz w:val="15"/>
                <w:szCs w:val="15"/>
              </w:rPr>
              <w:t xml:space="preserve">Después</w:t>
            </w:r>
          </w:p>
        </w:tc>
      </w:tr>
    </w:tbl>
    <w:p>
      <w:pPr>
        <w:spacing w:after="60"/>
      </w:pPr>
      <w:r>
        <w:rPr>
          <w:rFonts w:ascii="Arial" w:cs="Arial" w:eastAsia="Arial" w:hAnsi="Arial"/>
          <w:sz w:val="20"/>
          <w:szCs w:val="20"/>
        </w:rPr>
        <w:t xml:space="preserve"/>
      </w:r>
    </w:p>
    <w:p>
      <w:pPr>
        <w:spacing w:after="100" w:line="276"/>
      </w:pPr>
      <w:r>
        <w:rPr>
          <w:rFonts w:ascii="Arial" w:cs="Arial" w:eastAsia="Arial" w:hAnsi="Arial"/>
          <w:sz w:val="20"/>
          <w:szCs w:val="20"/>
        </w:rPr>
        <w:t xml:space="preserve">Mapa vectorial real de Bogotá (OpenStreetMap, sin conexión) con marcadores por tipo en sus coordenadas reales, tarjeta «Puntos cercanos» con contadores y botón «Cómo llegar». La captura «después» se tomó en modo avión.</w:t>
      </w:r>
    </w:p>
    <w:p>
      <w:pPr>
        <w:pStyle w:val="Heading2"/>
      </w:pPr>
      <w:bookmarkStart w:name="_Toc14" w:id="14"/>
      <w:r>
        <w:rPr>
          <w:rFonts w:ascii="Arial" w:cs="Arial" w:eastAsia="Arial" w:hAnsi="Arial"/>
        </w:rPr>
        <w:t xml:space="preserve">3.9 Alertas</w:t>
      </w:r>
      <w:bookmarkEnd w:id="1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rPr>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571625" cy="4838700"/>
                  <wp:effectExtent t="0" r="0" b="0" l="0"/>
                  <wp:docPr id="23" name="mk_alertas" descr="mk_alertas" title="mk_ale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71625" cy="4838700"/>
                          </a:xfrm>
                          <a:prstGeom prst="rect">
                            <a:avLst/>
                          </a:prstGeom>
                        </pic:spPr>
                      </pic:pic>
                    </a:graphicData>
                  </a:graphic>
                </wp:inline>
              </w:drawing>
            </w:r>
          </w:p>
          <w:p>
            <w:pPr>
              <w:spacing w:after="80"/>
              <w:jc w:val="center"/>
            </w:pPr>
            <w:r>
              <w:rPr>
                <w:rFonts w:ascii="Arial" w:cs="Arial" w:eastAsia="Arial" w:hAnsi="Arial"/>
                <w:b/>
                <w:bCs/>
                <w:i/>
                <w:iCs/>
                <w:color w:val="666666"/>
                <w:sz w:val="15"/>
                <w:szCs w:val="15"/>
              </w:rPr>
              <w:t xml:space="preserve">Mockup</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571625" cy="3495675"/>
                  <wp:effectExtent t="0" r="0" b="0" l="0"/>
                  <wp:docPr id="24" name="b_alertas" descr="b_alertas" title="b_ale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3495675"/>
                          </a:xfrm>
                          <a:prstGeom prst="rect">
                            <a:avLst/>
                          </a:prstGeom>
                        </pic:spPr>
                      </pic:pic>
                    </a:graphicData>
                  </a:graphic>
                </wp:inline>
              </w:drawing>
            </w:r>
          </w:p>
          <w:p>
            <w:pPr>
              <w:spacing w:after="80"/>
              <w:jc w:val="center"/>
            </w:pPr>
            <w:r>
              <w:rPr>
                <w:rFonts w:ascii="Arial" w:cs="Arial" w:eastAsia="Arial" w:hAnsi="Arial"/>
                <w:b/>
                <w:bCs/>
                <w:i/>
                <w:iCs/>
                <w:color w:val="666666"/>
                <w:sz w:val="15"/>
                <w:szCs w:val="15"/>
              </w:rPr>
              <w:t xml:space="preserve">Antes</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571625" cy="3495675"/>
                  <wp:effectExtent t="0" r="0" b="0" l="0"/>
                  <wp:docPr id="25" name="a_alertas" descr="a_alertas" title="a_ale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71625" cy="3495675"/>
                          </a:xfrm>
                          <a:prstGeom prst="rect">
                            <a:avLst/>
                          </a:prstGeom>
                        </pic:spPr>
                      </pic:pic>
                    </a:graphicData>
                  </a:graphic>
                </wp:inline>
              </w:drawing>
            </w:r>
          </w:p>
          <w:p>
            <w:pPr>
              <w:spacing w:after="80"/>
              <w:jc w:val="center"/>
            </w:pPr>
            <w:r>
              <w:rPr>
                <w:rFonts w:ascii="Arial" w:cs="Arial" w:eastAsia="Arial" w:hAnsi="Arial"/>
                <w:b/>
                <w:bCs/>
                <w:i/>
                <w:iCs/>
                <w:color w:val="666666"/>
                <w:sz w:val="15"/>
                <w:szCs w:val="15"/>
              </w:rPr>
              <w:t xml:space="preserve">Después</w:t>
            </w:r>
          </w:p>
        </w:tc>
      </w:tr>
    </w:tbl>
    <w:p>
      <w:pPr>
        <w:spacing w:after="60"/>
      </w:pPr>
      <w:r>
        <w:rPr>
          <w:rFonts w:ascii="Arial" w:cs="Arial" w:eastAsia="Arial" w:hAnsi="Arial"/>
          <w:sz w:val="20"/>
          <w:szCs w:val="20"/>
        </w:rPr>
        <w:t xml:space="preserve"/>
      </w:r>
    </w:p>
    <w:p>
      <w:pPr>
        <w:spacing w:after="100" w:line="276"/>
      </w:pPr>
      <w:r>
        <w:rPr>
          <w:rFonts w:ascii="Arial" w:cs="Arial" w:eastAsia="Arial" w:hAnsi="Arial"/>
          <w:sz w:val="20"/>
          <w:szCs w:val="20"/>
        </w:rPr>
        <w:t xml:space="preserve">Estado del monitoreo y del historial de alertas con datos reales del acelerómetro.</w:t>
      </w:r>
    </w:p>
    <w:p>
      <w:pPr>
        <w:pStyle w:val="Heading2"/>
      </w:pPr>
      <w:bookmarkStart w:name="_Toc15" w:id="15"/>
      <w:r>
        <w:rPr>
          <w:rFonts w:ascii="Arial" w:cs="Arial" w:eastAsia="Arial" w:hAnsi="Arial"/>
        </w:rPr>
        <w:t xml:space="preserve">3.10 Perfil</w:t>
      </w:r>
      <w:bookmarkEnd w:id="1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rPr>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571625" cy="6648450"/>
                  <wp:effectExtent t="0" r="0" b="0" l="0"/>
                  <wp:docPr id="26" name="mk_perfil" descr="mk_perfil" title="mk_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71625" cy="6648450"/>
                          </a:xfrm>
                          <a:prstGeom prst="rect">
                            <a:avLst/>
                          </a:prstGeom>
                        </pic:spPr>
                      </pic:pic>
                    </a:graphicData>
                  </a:graphic>
                </wp:inline>
              </w:drawing>
            </w:r>
          </w:p>
          <w:p>
            <w:pPr>
              <w:spacing w:after="80"/>
              <w:jc w:val="center"/>
            </w:pPr>
            <w:r>
              <w:rPr>
                <w:rFonts w:ascii="Arial" w:cs="Arial" w:eastAsia="Arial" w:hAnsi="Arial"/>
                <w:b/>
                <w:bCs/>
                <w:i/>
                <w:iCs/>
                <w:color w:val="666666"/>
                <w:sz w:val="15"/>
                <w:szCs w:val="15"/>
              </w:rPr>
              <w:t xml:space="preserve">Mockup</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571625" cy="3495675"/>
                  <wp:effectExtent t="0" r="0" b="0" l="0"/>
                  <wp:docPr id="27" name="b_perfil" descr="b_perfil" title="b_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71625" cy="3495675"/>
                          </a:xfrm>
                          <a:prstGeom prst="rect">
                            <a:avLst/>
                          </a:prstGeom>
                        </pic:spPr>
                      </pic:pic>
                    </a:graphicData>
                  </a:graphic>
                </wp:inline>
              </w:drawing>
            </w:r>
          </w:p>
          <w:p>
            <w:pPr>
              <w:spacing w:after="80"/>
              <w:jc w:val="center"/>
            </w:pPr>
            <w:r>
              <w:rPr>
                <w:rFonts w:ascii="Arial" w:cs="Arial" w:eastAsia="Arial" w:hAnsi="Arial"/>
                <w:b/>
                <w:bCs/>
                <w:i/>
                <w:iCs/>
                <w:color w:val="666666"/>
                <w:sz w:val="15"/>
                <w:szCs w:val="15"/>
              </w:rPr>
              <w:t xml:space="preserve">Antes</w:t>
            </w:r>
          </w:p>
        </w:tc>
        <w:tc>
          <w:tcPr>
            <w:tcW w:type="dxa" w:w="336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571625" cy="3495675"/>
                  <wp:effectExtent t="0" r="0" b="0" l="0"/>
                  <wp:docPr id="28" name="a_perfil" descr="a_perfil" title="a_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71625" cy="3495675"/>
                          </a:xfrm>
                          <a:prstGeom prst="rect">
                            <a:avLst/>
                          </a:prstGeom>
                        </pic:spPr>
                      </pic:pic>
                    </a:graphicData>
                  </a:graphic>
                </wp:inline>
              </w:drawing>
            </w:r>
          </w:p>
          <w:p>
            <w:pPr>
              <w:spacing w:after="80"/>
              <w:jc w:val="center"/>
            </w:pPr>
            <w:r>
              <w:rPr>
                <w:rFonts w:ascii="Arial" w:cs="Arial" w:eastAsia="Arial" w:hAnsi="Arial"/>
                <w:b/>
                <w:bCs/>
                <w:i/>
                <w:iCs/>
                <w:color w:val="666666"/>
                <w:sz w:val="15"/>
                <w:szCs w:val="15"/>
              </w:rPr>
              <w:t xml:space="preserve">Después</w:t>
            </w:r>
          </w:p>
        </w:tc>
      </w:tr>
    </w:tbl>
    <w:p>
      <w:pPr>
        <w:spacing w:after="60"/>
      </w:pPr>
      <w:r>
        <w:rPr>
          <w:rFonts w:ascii="Arial" w:cs="Arial" w:eastAsia="Arial" w:hAnsi="Arial"/>
          <w:sz w:val="20"/>
          <w:szCs w:val="20"/>
        </w:rPr>
        <w:t xml:space="preserve"/>
      </w:r>
    </w:p>
    <w:p>
      <w:pPr>
        <w:spacing w:after="100" w:line="276"/>
      </w:pPr>
      <w:r>
        <w:rPr>
          <w:rFonts w:ascii="Arial" w:cs="Arial" w:eastAsia="Arial" w:hAnsi="Arial"/>
          <w:sz w:val="20"/>
          <w:szCs w:val="20"/>
        </w:rPr>
        <w:t xml:space="preserve">Tarjeta de usuario, ficha de rescate rápido protegida, contactos de emergencia con llamada directa y configuración.</w:t>
      </w:r>
    </w:p>
    <w:p>
      <w:pPr>
        <w:pStyle w:val="Heading1"/>
      </w:pPr>
      <w:bookmarkStart w:name="_Toc16" w:id="16"/>
      <w:r>
        <w:rPr>
          <w:rFonts w:ascii="Arial" w:cs="Arial" w:eastAsia="Arial" w:hAnsi="Arial"/>
        </w:rPr>
        <w:t xml:space="preserve">4. Cambios técnicos</w:t>
      </w:r>
      <w:bookmarkEnd w:id="16"/>
    </w:p>
    <w:p>
      <w:pPr>
        <w:pStyle w:val="Heading2"/>
      </w:pPr>
      <w:bookmarkStart w:name="_Toc17" w:id="17"/>
      <w:r>
        <w:rPr>
          <w:rFonts w:ascii="Arial" w:cs="Arial" w:eastAsia="Arial" w:hAnsi="Arial"/>
        </w:rPr>
        <w:t xml:space="preserve">4.1 Base de diseño (nueva)</w:t>
      </w:r>
      <w:bookmarkEnd w:id="17"/>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Elemento</w:t>
            </w:r>
          </w:p>
        </w:tc>
        <w:tc>
          <w:tcPr>
            <w:tcW w:type="dxa" w:w="78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Detalle</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Fuentes</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assets/fonts: Plus Jakarta Sans (5 pesos) y Material Symbols en variantes contorno y rellena, estáticas (≈1,4 MB cada una; el original variable pesaba 10,7 MB). Enlazadas a Android e iOS con react-native-asset (react-native.config.js).</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Texto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components/Text.tsx: traduce fontWeight a la familia correcta. Todas las pantallas lo usan en vez del Text de react-native.</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Íconos</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components/Icon.tsx: ícono por nombre (ligadura de Material Symbols) con variante rellena.</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Logo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components/LogoMark.tsx: SVG oficial del mockup.</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Cabecera</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components/ScreenHeader.tsx: franja de 64 px por fase (verde, ocre, azul, espresso o neutra).</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Barra inferior</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navigation/AppTabBar.tsx: fondo espresso, pestaña activa rellena con píldora tenue.</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Tokens</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theme/tokens.ts: colores de marca y fases (objeto brand), letterSpacing corregido a píxeles y familia por defecto.</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Componentes</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Button (pastilla de 52 px), Card (borde cálido y sombra difusa), Badge (sin trofeo por defecto), EmptyState y ErrorState (íconos reales).</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Arranque</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App.tsx muestra logo y lema mientras se inicializan los servicios, en lugar de un indicador de carga genérico.</w:t>
            </w:r>
          </w:p>
        </w:tc>
      </w:tr>
    </w:tbl>
    <w:p>
      <w:pPr>
        <w:pStyle w:val="Heading2"/>
      </w:pPr>
      <w:bookmarkStart w:name="_Toc18" w:id="18"/>
      <w:r>
        <w:rPr>
          <w:rFonts w:ascii="Arial" w:cs="Arial" w:eastAsia="Arial" w:hAnsi="Arial"/>
        </w:rPr>
        <w:t xml:space="preserve">4.2 Dependencias y recursos</w:t>
      </w:r>
      <w:bookmarkEnd w:id="18"/>
    </w:p>
    <w:p>
      <w:pPr>
        <w:pStyle w:val="ListParagraph"/>
        <w:numPr>
          <w:ilvl w:val="0"/>
          <w:numId w:val="2"/>
        </w:numPr>
        <w:spacing w:after="60"/>
      </w:pPr>
      <w:r>
        <w:rPr>
          <w:rFonts w:ascii="Arial" w:cs="Arial" w:eastAsia="Arial" w:hAnsi="Arial"/>
          <w:sz w:val="20"/>
          <w:szCs w:val="20"/>
        </w:rPr>
        <w:t xml:space="preserve">Nueva dependencia de desarrollo: react-native-asset (solo para enlazar fuentes). Sin dependencias de ejecución nuevas.</w:t>
      </w:r>
    </w:p>
    <w:p>
      <w:pPr>
        <w:pStyle w:val="ListParagraph"/>
        <w:numPr>
          <w:ilvl w:val="0"/>
          <w:numId w:val="2"/>
        </w:numPr>
        <w:spacing w:after="60"/>
      </w:pPr>
      <w:r>
        <w:rPr>
          <w:rFonts w:ascii="Arial" w:cs="Arial" w:eastAsia="Arial" w:hAnsi="Arial"/>
          <w:sz w:val="20"/>
          <w:szCs w:val="20"/>
        </w:rPr>
        <w:t xml:space="preserve">Tamaño del APK de depuración: de 261 MB a 265 MB (+≈4 MB por las fuentes).</w:t>
      </w:r>
    </w:p>
    <w:p>
      <w:pPr>
        <w:pStyle w:val="ListParagraph"/>
        <w:numPr>
          <w:ilvl w:val="0"/>
          <w:numId w:val="2"/>
        </w:numPr>
        <w:spacing w:after="60"/>
      </w:pPr>
      <w:r>
        <w:rPr>
          <w:rFonts w:ascii="Arial" w:cs="Arial" w:eastAsia="Arial" w:hAnsi="Arial"/>
          <w:sz w:val="20"/>
          <w:szCs w:val="20"/>
        </w:rPr>
        <w:t xml:space="preserve">Requiere recompilar la app nativa (las fuentes son recursos de Android e iOS); un simple recargado de JavaScript no basta.</w:t>
      </w:r>
    </w:p>
    <w:p>
      <w:pPr>
        <w:pStyle w:val="Heading2"/>
      </w:pPr>
      <w:bookmarkStart w:name="_Toc19" w:id="19"/>
      <w:r>
        <w:rPr>
          <w:rFonts w:ascii="Arial" w:cs="Arial" w:eastAsia="Arial" w:hAnsi="Arial"/>
        </w:rPr>
        <w:t xml:space="preserve">4.3 Archivos modificados</w:t>
      </w:r>
      <w:bookmarkEnd w:id="19"/>
    </w:p>
    <w:p>
      <w:pPr>
        <w:spacing w:after="100" w:line="276"/>
      </w:pPr>
      <w:r>
        <w:rPr>
          <w:rFonts w:ascii="Arial" w:cs="Arial" w:eastAsia="Arial" w:hAnsi="Arial"/>
          <w:sz w:val="20"/>
          <w:szCs w:val="20"/>
        </w:rPr>
        <w:t xml:space="preserve">Cerca de 40 archivos en src/ui (24 de pantallas y componentes con cambios sustanciales y el resto con la migración mecánica a Text), más assets/fonts, react-native.config.js, ios y android (enlace de fuentes) y package.json. No se tocaron src/contracts, src/core, src/platform ni server.</w:t>
      </w:r>
    </w:p>
    <w:p>
      <w:pPr>
        <w:pStyle w:val="Heading2"/>
      </w:pPr>
      <w:bookmarkStart w:name="_Toc20" w:id="20"/>
      <w:r>
        <w:rPr>
          <w:rFonts w:ascii="Arial" w:cs="Arial" w:eastAsia="Arial" w:hAnsi="Arial"/>
        </w:rPr>
        <w:t xml:space="preserve">4.4 Revisión 1.1: mapa vectorial offline</w:t>
      </w:r>
      <w:bookmarkEnd w:id="20"/>
    </w:p>
    <w:p>
      <w:pPr>
        <w:spacing w:after="100" w:line="276"/>
      </w:pPr>
      <w:r>
        <w:rPr>
          <w:rFonts w:ascii="Arial" w:cs="Arial" w:eastAsia="Arial" w:hAnsi="Arial"/>
          <w:sz w:val="20"/>
          <w:szCs w:val="20"/>
        </w:rPr>
        <w:t xml:space="preserve">El visor del mapa seguía siendo un esquema dibujado y los paquetes de mapa estaban simulados. En esta revisión se sustituyeron por un mapa real que funciona sin conexión.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Elemento</w:t>
            </w:r>
          </w:p>
        </w:tc>
        <w:tc>
          <w:tcPr>
            <w:tcW w:type="dxa" w:w="78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Detalle</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Datos</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OpenStreetMap (ODbL) a través de las compilaciones diarias de Protomaps; recorte de Bogotá D.C. (bbox -74.25,4.45,-73.95,4.85) hasta zoom 15 con la CLI pmtiles. Archivo de 19 MB.</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Empaquetado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assets/bundle/map: bogota.pmtiles y tipografías Noto Sans de las etiquetas (0,6 MB). android/app/build.gradle las añade como assets; el APK de depuración pasó a 283 MB.</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Código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platform/map/mapAssets.ts (copia a almacenamiento privado), ui/features/map/mapStyle.ts (estilo con @protomaps/basemaps, etiquetas en español, colores del diseño) y ui/features/map/OfflineMap.tsx (MapLibre y marcadores en coordenadas reales).</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Pantallas</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MapScreen usa el mapa y el GPS real (con rótulo «UBICACIÓN DE REFERENCIA» si no hay posición). MapRegionsScreen muestra solo el paquete real y sin botón de borrado.</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Dependencias</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Nueva dependencia de desarrollo @protomaps/basemaps. La CLI pmtiles no entra en la app.</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Licencia</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Atribución «© OpenStreetMap» visible en el mapa. No se usan las teselas de tile.openstreetmap.org. Detalle en docs/MAPAS.md.</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Verificación</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Probado en un Motorola edge 50 fusion (Android 15) con modo avión: calles, localidades y parques de Bogotá y marcadores en su lugar. 147 pruebas en verde.</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Pendiente</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iOS sin verificar; puntos de socorro aún de ejemplo; GPS con señal real no comprobado.</w:t>
            </w:r>
          </w:p>
        </w:tc>
      </w:tr>
    </w:tbl>
    <w:p>
      <w:pPr>
        <w:pStyle w:val="Heading2"/>
      </w:pPr>
      <w:bookmarkStart w:name="_Toc21" w:id="21"/>
      <w:r>
        <w:rPr>
          <w:rFonts w:ascii="Arial" w:cs="Arial" w:eastAsia="Arial" w:hAnsi="Arial"/>
        </w:rPr>
        <w:t xml:space="preserve">4.5 Revisión 1.2: usabilidad del mapa y datos reales</w:t>
      </w:r>
      <w:bookmarkEnd w:id="21"/>
    </w:p>
    <w:p>
      <w:pPr>
        <w:spacing w:after="100" w:line="276"/>
      </w:pPr>
      <w:r>
        <w:rPr>
          <w:rFonts w:ascii="Arial" w:cs="Arial" w:eastAsia="Arial" w:hAnsi="Arial"/>
          <w:sz w:val="20"/>
          <w:szCs w:val="20"/>
        </w:rPr>
        <w:t xml:space="preserve">Tras probar el mapa en un teléfono real se corrigieron comportamientos que afectan a la interfaz y se sustituyeron los datos de ejemplo del mapa por datos abiertos reales.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Cambio</w:t>
            </w:r>
          </w:p>
        </w:tc>
        <w:tc>
          <w:tcPr>
            <w:tcW w:type="dxa" w:w="78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Detalle</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Mapa fijo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El mapa sale del desplazamiento de la página: ocupa unos dos quintos de la pantalla y arrastrarlo ya no mueve la interfaz.</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Estados de ubicación</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La esquina del mapa informa si hay GPS (con su precisión), si falta el permiso, si la ubicación del teléfono está apagada o si no hay señal, y se puede tocar para reintentar o abrir los ajustes.</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Marcadores</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Se seleccionan al tocarlos; hay hasta 8 por tipo para que unos no tapen a otros; las etiquetas dicen «Zona segura», «Albergue», «Salud», etc.</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Catálogo real</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697 puntos de OpenStreetMap empaquetados en la app (421 de salud, 21 de bomberos, 251 espacios abiertos, 2 albergues, 2 de acopio), cada uno con su fuente y su estado de verificación. Contadores reales dentro de 5 km.</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Honestidad de datos</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Los contadores ya no inventan cifras de respaldo y la «zona segura más cercana» solo existe si hay una real.</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Botón Filtros</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Texto e ícono en blanco cuando el filtro está activo.</w:t>
            </w:r>
          </w:p>
        </w:tc>
      </w:tr>
    </w:tbl>
    <w:p>
      <w:pPr>
        <w:spacing w:after="100" w:line="276"/>
      </w:pPr>
      <w:r>
        <w:rPr>
          <w:rFonts w:ascii="Arial" w:cs="Arial" w:eastAsia="Arial" w:hAnsi="Arial"/>
          <w:sz w:val="20"/>
          <w:szCs w:val="20"/>
        </w:rPr>
        <w:t xml:space="preserve">Estos cambios no alteran los requisitos funcionales. Siguen pendientes los puntos de la sección 9 y los hallazgos abiertos A-16 a A-25 del historial de fallos.</w:t>
      </w:r>
    </w:p>
    <w:p>
      <w:pPr>
        <w:pStyle w:val="Heading2"/>
      </w:pPr>
      <w:bookmarkStart w:name="_Toc22" w:id="22"/>
      <w:r>
        <w:rPr>
          <w:rFonts w:ascii="Arial" w:cs="Arial" w:eastAsia="Arial" w:hAnsi="Arial"/>
        </w:rPr>
        <w:t xml:space="preserve">4.6 Revisión 1.3: controles funcionales y coherencia de datos</w:t>
      </w:r>
      <w:bookmarkEnd w:id="2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Cambio</w:t>
            </w:r>
          </w:p>
        </w:tc>
        <w:tc>
          <w:tcPr>
            <w:tcW w:type="dxa" w:w="78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Detalle</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Inicio</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La campana lleva a Alertas y el círculo de perfil lleva a Perfil (antes no hacían nada).</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Compartir</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Los botones de compartir de Durante, Emergencia y Después abren la hoja nativa con el estado y la ubicación real (nunca datos médicos). Se eliminó el aviso falso «Enlace de alerta copiado».</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Prevención</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La tarjeta de preparación se llama «Preparación del hogar» y muestra el desglose «Mochila X % · Plan familiar Y %», coherente con la pantalla de la mochila. Se corrigió que el porcentaje se saliera de la tarjeta.</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Mapa</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Selección de marcadores al tocarlos, botón Filtros legible y etiquetas de tipo legibles (ver revisión 1.2).</w:t>
            </w:r>
          </w:p>
        </w:tc>
      </w:tr>
    </w:tbl>
    <w:p>
      <w:pPr>
        <w:spacing w:after="100" w:line="276"/>
      </w:pPr>
      <w:r>
        <w:rPr>
          <w:rFonts w:ascii="Arial" w:cs="Arial" w:eastAsia="Arial" w:hAnsi="Arial"/>
          <w:sz w:val="20"/>
          <w:szCs w:val="20"/>
        </w:rPr>
        <w:t xml:space="preserve">Ninguno de estos cambios altera requisitos funcionales ni contratos. Decisiones técnicas asociadas: ADR 0007 a 0011 en docs/adr.</w:t>
      </w:r>
    </w:p>
    <w:p>
      <w:pPr>
        <w:pStyle w:val="Heading2"/>
      </w:pPr>
      <w:bookmarkStart w:name="_Toc9101" w:id="9101"/>
      <w:r>
        <w:rPr>
          <w:rFonts w:ascii="Arial" w:cs="Arial" w:eastAsia="Arial" w:hAnsi="Arial"/>
        </w:rPr>
        <w:t xml:space="preserve">4.7 Revisión 1.4: modo oscuro, selector de tema y rueda de fases</w:t>
      </w:r>
      <w:bookmarkEnd w:id="910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Cambio</w:t>
            </w:r>
          </w:p>
        </w:tc>
        <w:tc>
          <w:tcPr>
            <w:tcW w:type="dxa" w:w="78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Detalle</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Fallo en oscuro (F-42)</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La barra inferior, el botón SOS y otros botones de relleno oscuro salían claros en modo oscuro: «espresso» se invierte a crema en la paleta oscura y unas 39 reglas lo usaban como fondo. Se añaden los tokens brand.fill y brand.onFill (iguales que antes en claro; marrón #5C4636 con texto #F4F0E9 en oscuro) y se aplican a las 39 reglas de fondo y a 19 de texto. La pestaña inactiva sube de contraste (#8A7F76 → #CDBFB3).</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Selector de tema</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Nueva tarjeta «Apariencia» en Perfil con Sistema / Claro / Oscuro. La elección se guarda en el Keychain. ThemeProvider expone useThemePreference y App.tsx toma el tema del proveedor, no de useColorScheme directamente.</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Rueda de fases del Inicio (F-43)</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Los arcos de color se reordenan y se centran detrás de su burbuja (izquierda, arriba, derecha); las burbujas pasan a ancho fijo de 56 px. Por pedido del usuario se retiran las etiquetas Prev / Durante / Post; cada botón conserva su accessibilityLabel.</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Modo oscuro y accesibilidad (A-24)</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Paleta oscura completada (tokens de error, onPhase), sin colores hex fijos en src/ui, mapa y barra de estado según el tema; roles, etiquetas y estados de accesibilidad, objetivos táctiles de 48 dp y regiones en vivo en pánico y avisos. Trabajo hecho por agentes (opencode, que se detuvo, y Antigravity, que lo terminó) y revisado: tsc sin errores.</w:t>
            </w:r>
          </w:p>
        </w:tc>
      </w:tr>
      <w:tr>
        <w:trPr>
          <w:cantSplit/>
        </w:trPr>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Verificación</w:t>
            </w:r>
          </w:p>
        </w:tc>
        <w:tc>
          <w:tcPr>
            <w:tcW w:type="dxa" w:w="7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Pasa tsc. Pendiente de verificar en el teléfono: barra y SOS en oscuro, selector de tema y su persistencia, rueda de fases, todas las pantallas en oscuro y con fuente grande, y TalkBack.</w:t>
            </w:r>
          </w:p>
        </w:tc>
      </w:tr>
    </w:tbl>
    <w:p>
      <w:pPr>
        <w:spacing w:after="100" w:line="276"/>
      </w:pPr>
      <w:r>
        <w:rPr>
          <w:rFonts w:ascii="Arial" w:cs="Arial" w:eastAsia="Arial" w:hAnsi="Arial"/>
          <w:sz w:val="20"/>
          <w:szCs w:val="20"/>
        </w:rPr>
        <w:t xml:space="preserve">Estos cambios no alteran requisitos funcionales ni contratos (src/contracts). Los dos fallos asociados están en el historial de fallos (F-42 y F-43) y el hallazgo abierto A-24 pasa a «implementado, sin verificar en pantalla».</w:t>
      </w:r>
    </w:p>
    <w:p>
      <w:pPr>
        <w:pStyle w:val="Heading1"/>
      </w:pPr>
      <w:bookmarkStart w:name="_Toc23" w:id="23"/>
      <w:r>
        <w:rPr>
          <w:rFonts w:ascii="Arial" w:cs="Arial" w:eastAsia="Arial" w:hAnsi="Arial"/>
        </w:rPr>
        <w:t xml:space="preserve">5. Hallazgo durante la implementación: datos de relleno</w:t>
      </w:r>
      <w:bookmarkEnd w:id="23"/>
    </w:p>
    <w:p>
      <w:pPr>
        <w:spacing w:after="100" w:line="276"/>
      </w:pPr>
      <w:r>
        <w:rPr>
          <w:rFonts w:ascii="Arial" w:cs="Arial" w:eastAsia="Arial" w:hAnsi="Arial"/>
          <w:sz w:val="20"/>
          <w:szCs w:val="20"/>
        </w:rPr>
        <w:t xml:space="preserve">Para parecerse al mockup, algunas pantallas rellenaron los huecos con los valores de ejemplo del propio mockup y los mostraban como si fueran reales. Se detectó al comparar el Perfil con los datos de la prueba y se corrigió antes de cerrar este cambio.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905000" cy="4229100"/>
                  <wp:effectExtent t="0" r="0" b="0" l="0"/>
                  <wp:docPr id="29" name="b_perfil_fake" descr="b_perfil_fake" title="b_perfil_f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905000" cy="4229100"/>
                          </a:xfrm>
                          <a:prstGeom prst="rect">
                            <a:avLst/>
                          </a:prstGeom>
                        </pic:spPr>
                      </pic:pic>
                    </a:graphicData>
                  </a:graphic>
                </wp:inline>
              </w:drawing>
            </w:r>
          </w:p>
          <w:p>
            <w:pPr>
              <w:spacing w:after="80"/>
              <w:jc w:val="center"/>
            </w:pPr>
            <w:r>
              <w:rPr>
                <w:rFonts w:ascii="Arial" w:cs="Arial" w:eastAsia="Arial" w:hAnsi="Arial"/>
                <w:b/>
                <w:bCs/>
                <w:i/>
                <w:iCs/>
                <w:color w:val="666666"/>
                <w:sz w:val="15"/>
                <w:szCs w:val="15"/>
              </w:rPr>
              <w:t xml:space="preserve">Perfil con datos inventados</w:t>
            </w:r>
          </w:p>
        </w:tc>
        <w:tc>
          <w:tcPr>
            <w:tcW w:type="dxa" w:w="5040"/>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40"/>
              <w:jc w:val="center"/>
            </w:pPr>
            <w:r>
              <w:drawing>
                <wp:inline distT="0" distB="0" distL="0" distR="0">
                  <wp:extent cx="1905000" cy="4229100"/>
                  <wp:effectExtent t="0" r="0" b="0" l="0"/>
                  <wp:docPr id="30" name="a_perfil" descr="a_perfil" title="a_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905000" cy="4229100"/>
                          </a:xfrm>
                          <a:prstGeom prst="rect">
                            <a:avLst/>
                          </a:prstGeom>
                        </pic:spPr>
                      </pic:pic>
                    </a:graphicData>
                  </a:graphic>
                </wp:inline>
              </w:drawing>
            </w:r>
          </w:p>
          <w:p>
            <w:pPr>
              <w:spacing w:after="80"/>
              <w:jc w:val="center"/>
            </w:pPr>
            <w:r>
              <w:rPr>
                <w:rFonts w:ascii="Arial" w:cs="Arial" w:eastAsia="Arial" w:hAnsi="Arial"/>
                <w:b/>
                <w:bCs/>
                <w:i/>
                <w:iCs/>
                <w:color w:val="666666"/>
                <w:sz w:val="15"/>
                <w:szCs w:val="15"/>
              </w:rPr>
              <w:t xml:space="preserve">Perfil corregido</w:t>
            </w:r>
          </w:p>
        </w:tc>
      </w:tr>
    </w:tbl>
    <w:p>
      <w:pPr>
        <w:spacing w:after="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2780"/>
        <w:gridCol w:w="2900"/>
      </w:tblGrid>
      <w:tr>
        <w:trPr>
          <w:tblHeader/>
        </w:trPr>
        <w:tc>
          <w:tcPr>
            <w:tcW w:type="dxa" w:w="29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Valor mostrado</w:t>
            </w:r>
          </w:p>
        </w:tc>
        <w:tc>
          <w:tcPr>
            <w:tcW w:type="dxa" w:w="15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Pantalla</w:t>
            </w:r>
          </w:p>
        </w:tc>
        <w:tc>
          <w:tcPr>
            <w:tcW w:type="dxa" w:w="27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Problema</w:t>
            </w:r>
          </w:p>
        </w:tc>
        <w:tc>
          <w:tcPr>
            <w:tcW w:type="dxa" w:w="29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Corrección</w:t>
            </w:r>
          </w:p>
        </w:tc>
      </w:tr>
      <w:tr>
        <w:trPr>
          <w:cantSplit/>
        </w:trPr>
        <w:tc>
          <w:tcPr>
            <w:tcW w:type="dxa" w:w="2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Carlos Mendoza · carlos.mendoza@email.com · ID EQ-7749-CO</w:t>
            </w:r>
          </w:p>
        </w:tc>
        <w:tc>
          <w:tcPr>
            <w:tcW w:type="dxa" w:w="1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Perfil, Emergencia</w:t>
            </w:r>
          </w:p>
        </w:tc>
        <w:tc>
          <w:tcPr>
            <w:tcW w:type="dxa" w:w="27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Identidad ajena al usuario</w:t>
            </w:r>
          </w:p>
        </w:tc>
        <w:tc>
          <w:tcPr>
            <w:tcW w:type="dxa" w:w="2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Datos de la sesión; «Sin correo registrado»; ID efímero</w:t>
            </w:r>
          </w:p>
        </w:tc>
      </w:tr>
      <w:tr>
        <w:trPr>
          <w:cantSplit/>
        </w:trPr>
        <w:tc>
          <w:tcPr>
            <w:tcW w:type="dxa" w:w="2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Alergias «Penicilina • Polen», sangre O+, contactos Mamá y Papá</w:t>
            </w:r>
          </w:p>
        </w:tc>
        <w:tc>
          <w:tcPr>
            <w:tcW w:type="dxa" w:w="1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Perfil, Emergencia</w:t>
            </w:r>
          </w:p>
        </w:tc>
        <w:tc>
          <w:tcPr>
            <w:tcW w:type="dxa" w:w="27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Ficha médica inventada (el usuario tiene otros datos)</w:t>
            </w:r>
          </w:p>
        </w:tc>
        <w:tc>
          <w:tcPr>
            <w:tcW w:type="dxa" w:w="2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Solo datos reales; «—» si la sesión está bloqueada; estado «Contactos protegidos»</w:t>
            </w:r>
          </w:p>
        </w:tc>
      </w:tr>
      <w:tr>
        <w:trPr>
          <w:cantSplit/>
        </w:trPr>
        <w:tc>
          <w:tcPr>
            <w:tcW w:type="dxa" w:w="2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92 dB SPL, 3.8 kHz, «&lt;7.4 %/h»</w:t>
            </w:r>
          </w:p>
        </w:tc>
        <w:tc>
          <w:tcPr>
            <w:tcW w:type="dxa" w:w="1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Emergencia</w:t>
            </w:r>
          </w:p>
        </w:tc>
        <w:tc>
          <w:tcPr>
            <w:tcW w:type="dxa" w:w="27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Mediciones que la app no realiza (el tono real es de 3 kHz)</w:t>
            </w:r>
          </w:p>
        </w:tc>
        <w:tc>
          <w:tcPr>
            <w:tcW w:type="dxa" w:w="2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Estado «Activa/Apagada», 3 kHz y batería real</w:t>
            </w:r>
          </w:p>
        </w:tc>
      </w:tr>
      <w:tr>
        <w:trPr>
          <w:cantSplit/>
        </w:trPr>
        <w:tc>
          <w:tcPr>
            <w:tcW w:type="dxa" w:w="2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Coordenadas 4°42'12.4"N y precisión ±3 m</w:t>
            </w:r>
          </w:p>
        </w:tc>
        <w:tc>
          <w:tcPr>
            <w:tcW w:type="dxa" w:w="1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Emergencia</w:t>
            </w:r>
          </w:p>
        </w:tc>
        <w:tc>
          <w:tcPr>
            <w:tcW w:type="dxa" w:w="27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Ubicación fingida</w:t>
            </w:r>
          </w:p>
        </w:tc>
        <w:tc>
          <w:tcPr>
            <w:tcW w:type="dxa" w:w="2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«Sin posición GPS» y «sin dato»</w:t>
            </w:r>
          </w:p>
        </w:tc>
      </w:tr>
      <w:tr>
        <w:trPr>
          <w:cantSplit/>
        </w:trPr>
        <w:tc>
          <w:tcPr>
            <w:tcW w:type="dxa" w:w="2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GPS EN VIVO ±4 m, ACTUALIZADO, radio 1,5 km</w:t>
            </w:r>
          </w:p>
        </w:tc>
        <w:tc>
          <w:tcPr>
            <w:tcW w:type="dxa" w:w="1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Mapa</w:t>
            </w:r>
          </w:p>
        </w:tc>
        <w:tc>
          <w:tcPr>
            <w:tcW w:type="dxa" w:w="27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Precisión y estado no medidos</w:t>
            </w:r>
          </w:p>
        </w:tc>
        <w:tc>
          <w:tcPr>
            <w:tcW w:type="dxa" w:w="2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«Ubicación aproximada», «Offline»</w:t>
            </w:r>
          </w:p>
        </w:tc>
      </w:tr>
      <w:tr>
        <w:trPr>
          <w:cantSplit/>
        </w:trPr>
        <w:tc>
          <w:tcPr>
            <w:tcW w:type="dxa" w:w="2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Red Sísmica Nacional, radio de 150 km</w:t>
            </w:r>
          </w:p>
        </w:tc>
        <w:tc>
          <w:tcPr>
            <w:tcW w:type="dxa" w:w="1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Inicio</w:t>
            </w:r>
          </w:p>
        </w:tc>
        <w:tc>
          <w:tcPr>
            <w:tcW w:type="dxa" w:w="27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Afirma una red que no existe</w:t>
            </w:r>
          </w:p>
        </w:tc>
        <w:tc>
          <w:tcPr>
            <w:tcW w:type="dxa" w:w="2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«Detección local: acelerómetro activo»</w:t>
            </w:r>
          </w:p>
        </w:tc>
      </w:tr>
      <w:tr>
        <w:trPr>
          <w:cantSplit/>
        </w:trPr>
        <w:tc>
          <w:tcPr>
            <w:tcW w:type="dxa" w:w="2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Nivel 3, Mag ≥ 4.5, Mag 6.0, v2.4.0 (Build 418)</w:t>
            </w:r>
          </w:p>
        </w:tc>
        <w:tc>
          <w:tcPr>
            <w:tcW w:type="dxa" w:w="15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Durante, Perfil</w:t>
            </w:r>
          </w:p>
        </w:tc>
        <w:tc>
          <w:tcPr>
            <w:tcW w:type="dxa" w:w="27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Intensidades, umbrales y versión inventados</w:t>
            </w:r>
          </w:p>
        </w:tc>
        <w:tc>
          <w:tcPr>
            <w:tcW w:type="dxa" w:w="29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Texto veraz (v0.1.0 desarrollo; umbral real de 0,03 g)</w:t>
            </w:r>
          </w:p>
        </w:tc>
      </w:tr>
    </w:tbl>
    <w:p>
      <w:pPr>
        <w:spacing w:after="100" w:line="276"/>
      </w:pPr>
      <w:r>
        <w:rPr>
          <w:rFonts w:ascii="Arial" w:cs="Arial" w:eastAsia="Arial" w:hAnsi="Arial"/>
          <w:sz w:val="20"/>
          <w:szCs w:val="20"/>
        </w:rPr>
        <w:t xml:space="preserve">Criterio adoptado: la interfaz puede imitar el aspecto del mockup, pero no puede mostrar como real un dato que la aplicación no tiene. En una aplicación de emergencias, un dato falso (por ejemplo, otro tipo de sangre) puede ser peligroso.</w:t>
      </w:r>
    </w:p>
    <w:p>
      <w:pPr>
        <w:pStyle w:val="Heading1"/>
      </w:pPr>
      <w:bookmarkStart w:name="_Toc24" w:id="24"/>
      <w:r>
        <w:rPr>
          <w:rFonts w:ascii="Arial" w:cs="Arial" w:eastAsia="Arial" w:hAnsi="Arial"/>
        </w:rPr>
        <w:t xml:space="preserve">6. Análisis de impacto</w:t>
      </w:r>
      <w:bookmarkEnd w:id="2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6080"/>
        <w:gridCol w:w="2300"/>
      </w:tblGrid>
      <w:tr>
        <w:trPr>
          <w:tblHeader/>
        </w:trPr>
        <w:tc>
          <w:tcPr>
            <w:tcW w:type="dxa" w:w="17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Área</w:t>
            </w:r>
          </w:p>
        </w:tc>
        <w:tc>
          <w:tcPr>
            <w:tcW w:type="dxa" w:w="60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Impacto</w:t>
            </w:r>
          </w:p>
        </w:tc>
        <w:tc>
          <w:tcPr>
            <w:tcW w:type="dxa" w:w="23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Evaluación</w:t>
            </w:r>
          </w:p>
        </w:tc>
      </w:tr>
      <w:tr>
        <w:trPr>
          <w:cantSplit/>
        </w:trPr>
        <w:tc>
          <w:tcPr>
            <w:tcW w:type="dxa" w:w="17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Funcional</w:t>
            </w:r>
          </w:p>
        </w:tc>
        <w:tc>
          <w:tcPr>
            <w:tcW w:type="dxa" w:w="60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Ninguno en la lógica. Se conservaron los servicios, las rutas, los textos con significado funcional y las etiquetas de accesibilidad.</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Bajo</w:t>
            </w:r>
          </w:p>
        </w:tc>
      </w:tr>
      <w:tr>
        <w:trPr>
          <w:cantSplit/>
        </w:trPr>
        <w:tc>
          <w:tcPr>
            <w:tcW w:type="dxa" w:w="17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Requisitos</w:t>
            </w:r>
          </w:p>
        </w:tc>
        <w:tc>
          <w:tcPr>
            <w:tcW w:type="dxa" w:w="60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RF-05 sigue activándose en 2 toques (botón SOS y gravedad). El botón de pánico dejó de ser un círculo rojo grande y pasó a ser una pastilla espresso a ancho completo, como en el mockup.</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Medio: confirmar con el equipo que la nueva jerarquía visual del pánico es aceptable</w:t>
            </w:r>
          </w:p>
        </w:tc>
      </w:tr>
      <w:tr>
        <w:trPr>
          <w:cantSplit/>
        </w:trPr>
        <w:tc>
          <w:tcPr>
            <w:tcW w:type="dxa" w:w="17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Rendimiento</w:t>
            </w:r>
          </w:p>
        </w:tc>
        <w:tc>
          <w:tcPr>
            <w:tcW w:type="dxa" w:w="60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Carga de fuentes al iniciar y SVG en splash e ilustraciones. Sin degradación perceptible en la prueba.</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Bajo</w:t>
            </w:r>
          </w:p>
        </w:tc>
      </w:tr>
      <w:tr>
        <w:trPr>
          <w:cantSplit/>
        </w:trPr>
        <w:tc>
          <w:tcPr>
            <w:tcW w:type="dxa" w:w="17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Accesibilidad</w:t>
            </w:r>
          </w:p>
        </w:tc>
        <w:tc>
          <w:tcPr>
            <w:tcW w:type="dxa" w:w="60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Contraste alto y objetivos táctiles de 48 px o más; los íconos son decorativos para lectores de pantalla y los botones conservan su etiqueta. No se hizo una auditoría WCAG formal.</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Medio: auditoría pendiente</w:t>
            </w:r>
          </w:p>
        </w:tc>
      </w:tr>
      <w:tr>
        <w:trPr>
          <w:cantSplit/>
        </w:trPr>
        <w:tc>
          <w:tcPr>
            <w:tcW w:type="dxa" w:w="17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Mantenimiento</w:t>
            </w:r>
          </w:p>
        </w:tc>
        <w:tc>
          <w:tcPr>
            <w:tcW w:type="dxa" w:w="60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Todo el texto pasa por components/Text y los íconos por components/Icon; los colores salen de brand. Importar Text de react-native rompe la tipografía.</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Bajo; documentado en docs/BRIEF_REDISENO.md</w:t>
            </w:r>
          </w:p>
        </w:tc>
      </w:tr>
      <w:tr>
        <w:trPr>
          <w:cantSplit/>
        </w:trPr>
        <w:tc>
          <w:tcPr>
            <w:tcW w:type="dxa" w:w="17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iOS</w:t>
            </w:r>
          </w:p>
        </w:tc>
        <w:tc>
          <w:tcPr>
            <w:tcW w:type="dxa" w:w="60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Las fuentes se enlazaron al proyecto de Xcode pero no se pudo compilar ni comprobar (entorno Linux).</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Alto: sin verificar</w:t>
            </w:r>
          </w:p>
        </w:tc>
      </w:tr>
      <w:tr>
        <w:trPr>
          <w:cantSplit/>
        </w:trPr>
        <w:tc>
          <w:tcPr>
            <w:tcW w:type="dxa" w:w="17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Pruebas</w:t>
            </w:r>
          </w:p>
        </w:tc>
        <w:tc>
          <w:tcPr>
            <w:tcW w:type="dxa" w:w="60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Se mantienen verdes: tsc sin errores y 147 pruebas de Jest. No hay pruebas automáticas de interfaz.</w:t>
            </w:r>
          </w:p>
        </w:tc>
        <w:tc>
          <w:tcPr>
            <w:tcW w:type="dxa" w:w="23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Medio</w:t>
            </w:r>
          </w:p>
        </w:tc>
      </w:tr>
    </w:tbl>
    <w:p>
      <w:pPr>
        <w:pStyle w:val="Heading1"/>
      </w:pPr>
      <w:bookmarkStart w:name="_Toc25" w:id="25"/>
      <w:r>
        <w:rPr>
          <w:rFonts w:ascii="Arial" w:cs="Arial" w:eastAsia="Arial" w:hAnsi="Arial"/>
        </w:rPr>
        <w:t xml:space="preserve">7. Verificación</w:t>
      </w:r>
      <w:bookmarkEnd w:id="25"/>
    </w:p>
    <w:p>
      <w:pPr>
        <w:pStyle w:val="ListParagraph"/>
        <w:numPr>
          <w:ilvl w:val="0"/>
          <w:numId w:val="2"/>
        </w:numPr>
        <w:spacing w:after="60"/>
      </w:pPr>
      <w:r>
        <w:rPr>
          <w:rFonts w:ascii="Arial" w:cs="Arial" w:eastAsia="Arial" w:hAnsi="Arial"/>
          <w:sz w:val="20"/>
          <w:szCs w:val="20"/>
        </w:rPr>
        <w:t xml:space="preserve">Verificación de tipos del core y de la aplicación sin errores; 147 pruebas de Jest correctas.</w:t>
      </w:r>
    </w:p>
    <w:p>
      <w:pPr>
        <w:pStyle w:val="ListParagraph"/>
        <w:numPr>
          <w:ilvl w:val="0"/>
          <w:numId w:val="2"/>
        </w:numPr>
        <w:spacing w:after="60"/>
      </w:pPr>
      <w:r>
        <w:rPr>
          <w:rFonts w:ascii="Arial" w:cs="Arial" w:eastAsia="Arial" w:hAnsi="Arial"/>
          <w:sz w:val="20"/>
          <w:szCs w:val="20"/>
        </w:rPr>
        <w:t xml:space="preserve">Revisión en un Motorola edge 50 fusion (Android 15) de Inicio, selector de gravedad, emergencia activa, Durante, Prevención, Después, Ayuda, Mapa, Alertas y Perfil, sin errores de JavaScript ni excepciones de vistas.</w:t>
      </w:r>
    </w:p>
    <w:p>
      <w:pPr>
        <w:pStyle w:val="ListParagraph"/>
        <w:numPr>
          <w:ilvl w:val="0"/>
          <w:numId w:val="2"/>
        </w:numPr>
        <w:spacing w:after="60"/>
      </w:pPr>
      <w:r>
        <w:rPr>
          <w:rFonts w:ascii="Arial" w:cs="Arial" w:eastAsia="Arial" w:hAnsi="Arial"/>
          <w:sz w:val="20"/>
          <w:szCs w:val="20"/>
        </w:rPr>
        <w:t xml:space="preserve">Revisión del código: ningún emoji queda en src/ui y ninguna pantalla importa Text ni SafeAreaView de react-native.</w:t>
      </w:r>
    </w:p>
    <w:p>
      <w:pPr>
        <w:pStyle w:val="ListParagraph"/>
        <w:numPr>
          <w:ilvl w:val="0"/>
          <w:numId w:val="2"/>
        </w:numPr>
        <w:spacing w:after="60"/>
      </w:pPr>
      <w:r>
        <w:rPr>
          <w:rFonts w:ascii="Arial" w:cs="Arial" w:eastAsia="Arial" w:hAnsi="Arial"/>
          <w:sz w:val="20"/>
          <w:szCs w:val="20"/>
        </w:rPr>
        <w:t xml:space="preserve">Flujo de pánico repetido tras el cambio: selector, cuenta regresiva y emergencia activa se muestran con los valores reales.</w:t>
      </w:r>
    </w:p>
    <w:p>
      <w:pPr>
        <w:pStyle w:val="Heading2"/>
      </w:pPr>
      <w:bookmarkStart w:name="_Toc26" w:id="26"/>
      <w:r>
        <w:rPr>
          <w:rFonts w:ascii="Arial" w:cs="Arial" w:eastAsia="Arial" w:hAnsi="Arial"/>
        </w:rPr>
        <w:t xml:space="preserve">7.1 Diferencias respecto al mockup (deliberadas o pendientes)</w:t>
      </w:r>
      <w:bookmarkEnd w:id="26"/>
    </w:p>
    <w:p>
      <w:pPr>
        <w:pStyle w:val="ListParagraph"/>
        <w:numPr>
          <w:ilvl w:val="0"/>
          <w:numId w:val="2"/>
        </w:numPr>
        <w:spacing w:after="60"/>
      </w:pPr>
      <w:r>
        <w:rPr>
          <w:rFonts w:ascii="Arial" w:cs="Arial" w:eastAsia="Arial" w:hAnsi="Arial"/>
          <w:sz w:val="20"/>
          <w:szCs w:val="20"/>
        </w:rPr>
        <w:t xml:space="preserve">El mapa base usa los colores del sistema de diseño sobre datos de OpenStreetMap, por lo que su cartografía no es idéntica a la ilustración del mockup. No tiene íconos de lugares (no se empaquetan sprites).</w:t>
      </w:r>
    </w:p>
    <w:p>
      <w:pPr>
        <w:pStyle w:val="ListParagraph"/>
        <w:numPr>
          <w:ilvl w:val="0"/>
          <w:numId w:val="2"/>
        </w:numPr>
        <w:spacing w:after="60"/>
      </w:pPr>
      <w:r>
        <w:rPr>
          <w:rFonts w:ascii="Arial" w:cs="Arial" w:eastAsia="Arial" w:hAnsi="Arial"/>
          <w:sz w:val="20"/>
          <w:szCs w:val="20"/>
        </w:rPr>
        <w:t xml:space="preserve">El Perfil añade la tarjeta «Red comunitaria» y el estado de ficha protegida, que el mockup no tiene.</w:t>
      </w:r>
    </w:p>
    <w:p>
      <w:pPr>
        <w:pStyle w:val="ListParagraph"/>
        <w:numPr>
          <w:ilvl w:val="0"/>
          <w:numId w:val="2"/>
        </w:numPr>
        <w:spacing w:after="60"/>
      </w:pPr>
      <w:r>
        <w:rPr>
          <w:rFonts w:ascii="Arial" w:cs="Arial" w:eastAsia="Arial" w:hAnsi="Arial"/>
          <w:sz w:val="20"/>
          <w:szCs w:val="20"/>
        </w:rPr>
        <w:t xml:space="preserve">Algunos títulos largos se recortan en el modo crisis («Estado Vital &amp; Gravedad» comparte línea con una etiqueta).</w:t>
      </w:r>
    </w:p>
    <w:p>
      <w:pPr>
        <w:pStyle w:val="ListParagraph"/>
        <w:numPr>
          <w:ilvl w:val="0"/>
          <w:numId w:val="2"/>
        </w:numPr>
        <w:spacing w:after="60"/>
      </w:pPr>
      <w:r>
        <w:rPr>
          <w:rFonts w:ascii="Arial" w:cs="Arial" w:eastAsia="Arial" w:hAnsi="Arial"/>
          <w:sz w:val="20"/>
          <w:szCs w:val="20"/>
        </w:rPr>
        <w:t xml:space="preserve">Las pantallas sin mockup (ficha médica, desbloqueo, permisos, sincronización, socorrista) siguen DESIGN.md pero no pasaron por revisión de diseño.</w:t>
      </w:r>
    </w:p>
    <w:p>
      <w:pPr>
        <w:pStyle w:val="ListParagraph"/>
        <w:numPr>
          <w:ilvl w:val="0"/>
          <w:numId w:val="2"/>
        </w:numPr>
        <w:spacing w:after="60"/>
      </w:pPr>
      <w:r>
        <w:rPr>
          <w:rFonts w:ascii="Arial" w:cs="Arial" w:eastAsia="Arial" w:hAnsi="Arial"/>
          <w:sz w:val="20"/>
          <w:szCs w:val="20"/>
        </w:rPr>
        <w:t xml:space="preserve">El modo oscuro no formaba parte del rediseño original; se implementó en la revisión 1.4 (sección 4.7) y falta verificarlo en todas las pantallas del teléfono.</w:t>
      </w:r>
    </w:p>
    <w:p>
      <w:pPr>
        <w:pStyle w:val="Heading1"/>
      </w:pPr>
      <w:bookmarkStart w:name="_Toc27" w:id="27"/>
      <w:r>
        <w:rPr>
          <w:rFonts w:ascii="Arial" w:cs="Arial" w:eastAsia="Arial" w:hAnsi="Arial"/>
        </w:rPr>
        <w:t xml:space="preserve">8. Plan de reversión</w:t>
      </w:r>
      <w:bookmarkEnd w:id="27"/>
    </w:p>
    <w:p>
      <w:pPr>
        <w:spacing w:after="100" w:line="276"/>
      </w:pPr>
      <w:r>
        <w:rPr>
          <w:rFonts w:ascii="Arial" w:cs="Arial" w:eastAsia="Arial" w:hAnsi="Arial"/>
          <w:sz w:val="20"/>
          <w:szCs w:val="20"/>
        </w:rPr>
        <w:t xml:space="preserve">El cambio se puede revertir con el control de versiones: los archivos de src/ui, assets/fonts, react-native.config.js y los recursos de fuentes de android e ios pertenecen a un conjunto acotado. Revertir exige recompilar la app nativa. Mientras no exista un commit etiquetado, se recomienda crear uno con este cambio antes de continuar con nuevas modificaciones.</w:t>
      </w:r>
    </w:p>
    <w:p>
      <w:pPr>
        <w:pStyle w:val="Heading1"/>
      </w:pPr>
      <w:bookmarkStart w:name="_Toc28" w:id="28"/>
      <w:r>
        <w:rPr>
          <w:rFonts w:ascii="Arial" w:cs="Arial" w:eastAsia="Arial" w:hAnsi="Arial"/>
        </w:rPr>
        <w:t xml:space="preserve">9. Riesgos y acciones pendientes</w:t>
      </w:r>
      <w:bookmarkEnd w:id="2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5680"/>
        <w:gridCol w:w="2200"/>
        <w:gridCol w:w="1400"/>
      </w:tblGrid>
      <w:tr>
        <w:trPr>
          <w:tblHeader/>
        </w:trPr>
        <w:tc>
          <w:tcPr>
            <w:tcW w:type="dxa" w:w="8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56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Riesgo o acción</w:t>
            </w:r>
          </w:p>
        </w:tc>
        <w:tc>
          <w:tcPr>
            <w:tcW w:type="dxa" w:w="2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Responsable sugerido</w:t>
            </w:r>
          </w:p>
        </w:tc>
        <w:tc>
          <w:tcPr>
            <w:tcW w:type="dxa" w:w="14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Estado</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R-1</w:t>
            </w:r>
          </w:p>
        </w:tc>
        <w:tc>
          <w:tcPr>
            <w:tcW w:type="dxa" w:w="56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Compilar y revisar en iOS (fuentes, SVG y SafeArea).</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Equipo con Mac</w:t>
            </w:r>
          </w:p>
        </w:tc>
        <w:tc>
          <w:tcPr>
            <w:tcW w:type="dxa" w:w="14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Pendiente</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R-2</w:t>
            </w:r>
          </w:p>
        </w:tc>
        <w:tc>
          <w:tcPr>
            <w:tcW w:type="dxa" w:w="56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Aprobación del nuevo botón de pánico (pastilla espresso) frente a la propuesta original.</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Líder de producto</w:t>
            </w:r>
          </w:p>
        </w:tc>
        <w:tc>
          <w:tcPr>
            <w:tcW w:type="dxa" w:w="14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Pendiente</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R-3</w:t>
            </w:r>
          </w:p>
        </w:tc>
        <w:tc>
          <w:tcPr>
            <w:tcW w:type="dxa" w:w="56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Auditoría de accesibilidad WCAG 2.1 AA y prueba con TalkBack.</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Diseño / QA</w:t>
            </w:r>
          </w:p>
        </w:tc>
        <w:tc>
          <w:tcPr>
            <w:tcW w:type="dxa" w:w="14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Parcial: implementado en el código (rev. 1.4); falta TalkBack y verificar en el teléfono</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R-4</w:t>
            </w:r>
          </w:p>
        </w:tc>
        <w:tc>
          <w:tcPr>
            <w:tcW w:type="dxa" w:w="56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Probar con fuente grande del sistema (textos recortados).</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QA</w:t>
            </w:r>
          </w:p>
        </w:tc>
        <w:tc>
          <w:tcPr>
            <w:tcW w:type="dxa" w:w="14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Pendiente</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R-5</w:t>
            </w:r>
          </w:p>
        </w:tc>
        <w:tc>
          <w:tcPr>
            <w:tcW w:type="dxa" w:w="56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Mapa vectorial de Bogotá con MapLibre y PMTiles propio.</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Desarrollo</w:t>
            </w:r>
          </w:p>
        </w:tc>
        <w:tc>
          <w:tcPr>
            <w:tcW w:type="dxa" w:w="14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Resuelto en rev. 1.1</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R-7</w:t>
            </w:r>
          </w:p>
        </w:tc>
        <w:tc>
          <w:tcPr>
            <w:tcW w:type="dxa" w:w="56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Sustituir los puntos de socorro de ejemplo por un inventario verificado (IDIGER, Datos Abiertos Bogotá) y probar el GPS con señal real.</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Desarrollo / Gestión del riesgo</w:t>
            </w:r>
          </w:p>
        </w:tc>
        <w:tc>
          <w:tcPr>
            <w:tcW w:type="dxa" w:w="14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Pendiente</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R-8</w:t>
            </w:r>
          </w:p>
        </w:tc>
        <w:tc>
          <w:tcPr>
            <w:tcW w:type="dxa" w:w="56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Añadir la carpeta assets/bundle al proyecto de Xcode para que iOS encuentre el mapa.</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Equipo con Mac</w:t>
            </w:r>
          </w:p>
        </w:tc>
        <w:tc>
          <w:tcPr>
            <w:tcW w:type="dxa" w:w="14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Pendiente</w:t>
            </w:r>
          </w:p>
        </w:tc>
      </w:tr>
      <w:tr>
        <w:trPr>
          <w:cantSplit/>
        </w:trPr>
        <w:tc>
          <w:tcPr>
            <w:tcW w:type="dxa" w:w="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R-6</w:t>
            </w:r>
          </w:p>
        </w:tc>
        <w:tc>
          <w:tcPr>
            <w:tcW w:type="dxa" w:w="56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Añadir pruebas automáticas de interfaz (por ejemplo Maestro, D-27).</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QA</w:t>
            </w:r>
          </w:p>
        </w:tc>
        <w:tc>
          <w:tcPr>
            <w:tcW w:type="dxa" w:w="14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Pendiente</w:t>
            </w:r>
          </w:p>
        </w:tc>
      </w:tr>
    </w:tbl>
    <w:p>
      <w:pPr>
        <w:pStyle w:val="Heading1"/>
      </w:pPr>
      <w:bookmarkStart w:name="_Toc29" w:id="29"/>
      <w:r>
        <w:rPr>
          <w:rFonts w:ascii="Arial" w:cs="Arial" w:eastAsia="Arial" w:hAnsi="Arial"/>
        </w:rPr>
        <w:t xml:space="preserve">10. Aprobaciones</w:t>
      </w:r>
      <w:bookmarkEnd w:id="29"/>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700"/>
        <w:gridCol w:w="2980"/>
      </w:tblGrid>
      <w:tr>
        <w:trPr>
          <w:tblHeader/>
        </w:trPr>
        <w:tc>
          <w:tcPr>
            <w:tcW w:type="dxa" w:w="30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Rol</w:t>
            </w:r>
          </w:p>
        </w:tc>
        <w:tc>
          <w:tcPr>
            <w:tcW w:type="dxa" w:w="24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Nombre</w:t>
            </w:r>
          </w:p>
        </w:tc>
        <w:tc>
          <w:tcPr>
            <w:tcW w:type="dxa" w:w="17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Decisión</w:t>
            </w:r>
          </w:p>
        </w:tc>
        <w:tc>
          <w:tcPr>
            <w:tcW w:type="dxa" w:w="29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Firma y fecha</w:t>
            </w:r>
          </w:p>
        </w:tc>
      </w:tr>
      <w:tr>
        <w:trPr>
          <w:cantSplit/>
        </w:trPr>
        <w:tc>
          <w:tcPr>
            <w:tcW w:type="dxa" w:w="30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Solicitante</w:t>
            </w:r>
          </w:p>
        </w:tc>
        <w:tc>
          <w:tcPr>
            <w:tcW w:type="dxa" w:w="24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
            </w:r>
          </w:p>
        </w:tc>
        <w:tc>
          <w:tcPr>
            <w:tcW w:type="dxa" w:w="17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
            </w:r>
          </w:p>
        </w:tc>
        <w:tc>
          <w:tcPr>
            <w:tcW w:type="dxa" w:w="29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
            </w:r>
          </w:p>
        </w:tc>
      </w:tr>
      <w:tr>
        <w:trPr>
          <w:cantSplit/>
        </w:trPr>
        <w:tc>
          <w:tcPr>
            <w:tcW w:type="dxa" w:w="30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Líder de desarrollo (backend / core)</w:t>
            </w:r>
          </w:p>
        </w:tc>
        <w:tc>
          <w:tcPr>
            <w:tcW w:type="dxa" w:w="24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
            </w:r>
          </w:p>
        </w:tc>
        <w:tc>
          <w:tcPr>
            <w:tcW w:type="dxa" w:w="17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
            </w:r>
          </w:p>
        </w:tc>
        <w:tc>
          <w:tcPr>
            <w:tcW w:type="dxa" w:w="29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
            </w:r>
          </w:p>
        </w:tc>
      </w:tr>
      <w:tr>
        <w:trPr>
          <w:cantSplit/>
        </w:trPr>
        <w:tc>
          <w:tcPr>
            <w:tcW w:type="dxa" w:w="30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Líder de interfaz (frontend)</w:t>
            </w:r>
          </w:p>
        </w:tc>
        <w:tc>
          <w:tcPr>
            <w:tcW w:type="dxa" w:w="24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
            </w:r>
          </w:p>
        </w:tc>
        <w:tc>
          <w:tcPr>
            <w:tcW w:type="dxa" w:w="17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
            </w:r>
          </w:p>
        </w:tc>
        <w:tc>
          <w:tcPr>
            <w:tcW w:type="dxa" w:w="29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
            </w:r>
          </w:p>
        </w:tc>
      </w:tr>
      <w:tr>
        <w:trPr>
          <w:cantSplit/>
        </w:trPr>
        <w:tc>
          <w:tcPr>
            <w:tcW w:type="dxa" w:w="30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Docente / revisor</w:t>
            </w:r>
          </w:p>
        </w:tc>
        <w:tc>
          <w:tcPr>
            <w:tcW w:type="dxa" w:w="24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
            </w:r>
          </w:p>
        </w:tc>
        <w:tc>
          <w:tcPr>
            <w:tcW w:type="dxa" w:w="17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
            </w:r>
          </w:p>
        </w:tc>
        <w:tc>
          <w:tcPr>
            <w:tcW w:type="dxa" w:w="29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
            </w:r>
          </w:p>
        </w:tc>
      </w:tr>
    </w:tbl>
    <w:p>
      <w:pPr>
        <w:spacing w:after="120"/>
      </w:pPr>
      <w:r>
        <w:rPr>
          <w:rFonts w:ascii="Arial" w:cs="Arial" w:eastAsia="Arial" w:hAnsi="Arial"/>
          <w:sz w:val="20"/>
          <w:szCs w:val="20"/>
        </w:rPr>
        <w:t xml:space="preserve"/>
      </w:r>
    </w:p>
    <w:p>
      <w:pPr>
        <w:pStyle w:val="Heading2"/>
      </w:pPr>
      <w:bookmarkStart w:name="_Toc30" w:id="30"/>
      <w:r>
        <w:rPr>
          <w:rFonts w:ascii="Arial" w:cs="Arial" w:eastAsia="Arial" w:hAnsi="Arial"/>
        </w:rPr>
        <w:t xml:space="preserve">10.1 Registro de revisiones del documento</w:t>
      </w:r>
      <w:bookmarkEnd w:id="3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4880"/>
      </w:tblGrid>
      <w:tr>
        <w:trPr>
          <w:tblHeader/>
        </w:trPr>
        <w:tc>
          <w:tcPr>
            <w:tcW w:type="dxa" w:w="1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Versión</w:t>
            </w:r>
          </w:p>
        </w:tc>
        <w:tc>
          <w:tcPr>
            <w:tcW w:type="dxa" w:w="18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Fecha</w:t>
            </w:r>
          </w:p>
        </w:tc>
        <w:tc>
          <w:tcPr>
            <w:tcW w:type="dxa" w:w="220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Autor</w:t>
            </w:r>
          </w:p>
        </w:tc>
        <w:tc>
          <w:tcPr>
            <w:tcW w:type="dxa" w:w="4880"/>
            <w:tcBorders>
              <w:top w:val="single" w:color="CFC7BE" w:sz="4"/>
              <w:left w:val="single" w:color="CFC7BE" w:sz="4"/>
              <w:bottom w:val="single" w:color="CFC7BE" w:sz="4"/>
              <w:right w:val="single" w:color="CFC7BE" w:sz="4"/>
            </w:tcBorders>
            <w:shd w:fill="2A1D14"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Descripción</w:t>
            </w:r>
          </w:p>
        </w:tc>
      </w:tr>
      <w:tr>
        <w:trPr>
          <w:cantSplit/>
        </w:trPr>
        <w:tc>
          <w:tcPr>
            <w:tcW w:type="dxa" w:w="1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1.0</w:t>
            </w:r>
          </w:p>
        </w:tc>
        <w:tc>
          <w:tcPr>
            <w:tcW w:type="dxa" w:w="1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12-oct-2026</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Claude Code</w:t>
            </w:r>
          </w:p>
        </w:tc>
        <w:tc>
          <w:tcPr>
            <w:tcW w:type="dxa" w:w="4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Primera emisión tras implementar y verificar el cambio en dispositivo.</w:t>
            </w:r>
          </w:p>
        </w:tc>
      </w:tr>
      <w:tr>
        <w:trPr>
          <w:cantSplit/>
        </w:trPr>
        <w:tc>
          <w:tcPr>
            <w:tcW w:type="dxa" w:w="1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1.1</w:t>
            </w:r>
          </w:p>
        </w:tc>
        <w:tc>
          <w:tcPr>
            <w:tcW w:type="dxa" w:w="1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12-oct-2026</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Claude Code</w:t>
            </w:r>
          </w:p>
        </w:tc>
        <w:tc>
          <w:tcPr>
            <w:tcW w:type="dxa" w:w="4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Se añade el mapa vectorial offline de Bogotá (sección 4.4), se actualizan pantallas afectadas, diferencias y riesgos.</w:t>
            </w:r>
          </w:p>
        </w:tc>
      </w:tr>
      <w:tr>
        <w:trPr>
          <w:cantSplit/>
        </w:trPr>
        <w:tc>
          <w:tcPr>
            <w:tcW w:type="dxa" w:w="1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1.2</w:t>
            </w:r>
          </w:p>
        </w:tc>
        <w:tc>
          <w:tcPr>
            <w:tcW w:type="dxa" w:w="1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12-oct-2026</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Claude Code</w:t>
            </w:r>
          </w:p>
        </w:tc>
        <w:tc>
          <w:tcPr>
            <w:tcW w:type="dxa" w:w="4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Se añade la sección 4.5: usabilidad del mapa (mapa fijo, estados de ubicación, marcadores) y catálogo real de puntos de socorro.</w:t>
            </w:r>
          </w:p>
        </w:tc>
      </w:tr>
      <w:tr>
        <w:trPr>
          <w:cantSplit/>
        </w:trPr>
        <w:tc>
          <w:tcPr>
            <w:tcW w:type="dxa" w:w="1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1.3</w:t>
            </w:r>
          </w:p>
        </w:tc>
        <w:tc>
          <w:tcPr>
            <w:tcW w:type="dxa" w:w="1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12-oct-2026</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Claude Code</w:t>
            </w:r>
          </w:p>
        </w:tc>
        <w:tc>
          <w:tcPr>
            <w:tcW w:type="dxa" w:w="4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Se añade la sección 4.6: navegación del Inicio, compartir estado y coherencia del porcentaje de preparación.</w:t>
            </w:r>
          </w:p>
        </w:tc>
      </w:tr>
      <w:tr>
        <w:trPr>
          <w:cantSplit/>
        </w:trPr>
        <w:tc>
          <w:tcPr>
            <w:tcW w:type="dxa" w:w="1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1.4</w:t>
            </w:r>
          </w:p>
        </w:tc>
        <w:tc>
          <w:tcPr>
            <w:tcW w:type="dxa" w:w="18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12-oct-2026</w:t>
            </w:r>
          </w:p>
        </w:tc>
        <w:tc>
          <w:tcPr>
            <w:tcW w:type="dxa" w:w="220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Claude Code</w:t>
            </w:r>
          </w:p>
        </w:tc>
        <w:tc>
          <w:tcPr>
            <w:tcW w:type="dxa" w:w="4880"/>
            <w:tcBorders>
              <w:top w:val="single" w:color="CFC7BE" w:sz="4"/>
              <w:left w:val="single" w:color="CFC7BE" w:sz="4"/>
              <w:bottom w:val="single" w:color="CFC7BE" w:sz="4"/>
              <w:right w:val="single" w:color="CFC7BE" w:sz="4"/>
            </w:tcBorders>
            <w:tcMar>
              <w:top w:type="dxa" w:w="60"/>
              <w:left w:type="dxa" w:w="90"/>
              <w:bottom w:type="dxa" w:w="60"/>
              <w:right w:type="dxa" w:w="90"/>
            </w:tcMar>
          </w:tcPr>
          <w:p>
            <w:pPr>
              <w:spacing w:after="20"/>
            </w:pPr>
            <w:r>
              <w:rPr>
                <w:rFonts w:ascii="Arial" w:cs="Arial" w:eastAsia="Arial" w:hAnsi="Arial"/>
                <w:sz w:val="17"/>
                <w:szCs w:val="17"/>
              </w:rPr>
              <w:t xml:space="preserve">Se añade la sección 4.7: corrección del modo oscuro (botones y barra inferior claros, F-42), selector de tema en Perfil y arreglo de la rueda de fases del Inicio (F-43). Pasa tsc; pendiente de verificar en el teléfono. Se actualizan la sección 1.2, la 7.1 y el riesgo R-3.</w:t>
            </w:r>
          </w:p>
        </w:tc>
      </w:tr>
    </w:tbl>
    <w:sectPr>
      <w:headerReference w:type="default" r:id="rId6"/>
      <w:footerReference w:type="default" r:id="rId7"/>
      <w:pgSz w:w="12240" w:h="15840" w:orient="portrait"/>
      <w:pgMar w:top="126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5"/>
        <w:szCs w:val="15"/>
      </w:rPr>
      <w:t xml:space="preserve">Página </w:t>
    </w:r>
    <w:r>
      <w:rPr>
        <w:rFonts w:ascii="Arial" w:cs="Arial" w:eastAsia="Arial" w:hAnsi="Arial"/>
        <w:color w:val="666666"/>
        <w:sz w:val="15"/>
        <w:szCs w:val="15"/>
      </w:rPr>
      <w:fldChar w:fldCharType="begin"/>
      <w:instrText xml:space="preserve">PAGE</w:instrText>
      <w:fldChar w:fldCharType="separate"/>
      <w:fldChar w:fldCharType="end"/>
    </w:r>
    <w:r>
      <w:rPr>
        <w:rFonts w:ascii="Arial" w:cs="Arial" w:eastAsia="Arial" w:hAnsi="Arial"/>
        <w:color w:val="666666"/>
        <w:sz w:val="15"/>
        <w:szCs w:val="15"/>
      </w:rPr>
      <w:t xml:space="preserve"> de </w:t>
    </w:r>
    <w:r>
      <w:rPr>
        <w:rFonts w:ascii="Arial" w:cs="Arial" w:eastAsia="Arial" w:hAnsi="Arial"/>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7BE" w:sz="4" w:space="4"/>
      </w:pBdr>
      <w:jc w:val="right"/>
    </w:pPr>
    <w:r>
      <w:rPr>
        <w:rFonts w:ascii="Arial" w:cs="Arial" w:eastAsia="Arial" w:hAnsi="Arial"/>
        <w:color w:val="666666"/>
        <w:sz w:val="15"/>
        <w:szCs w:val="15"/>
      </w:rPr>
      <w:t xml:space="preserve">EarthQuakeTracker · Control de cambios CC-2026-001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7B1E" w:sz="8" w:space="4"/>
      </w:pBdr>
      <w:spacing w:after="160" w:before="320"/>
      <w:outlineLvl w:val="0"/>
    </w:pPr>
    <w:rPr>
      <w:rFonts w:ascii="Arial" w:cs="Arial" w:eastAsia="Arial" w:hAnsi="Arial"/>
      <w:b/>
      <w:bCs/>
      <w:color w:val="2A1D14"/>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2A1D14"/>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3231f51cfcc483196f3b5cd77f14d463542a799.jpg"/><Relationship Id="rId10" Type="http://schemas.openxmlformats.org/officeDocument/2006/relationships/image" Target="media/c861962529ca8d1cd8835c4720a359143726eb85.jpg"/><Relationship Id="rId11" Type="http://schemas.openxmlformats.org/officeDocument/2006/relationships/image" Target="media/c3b69cd9ba70e8cdaec8f34ea03c56d1d38c9b43.jpg"/><Relationship Id="rId12" Type="http://schemas.openxmlformats.org/officeDocument/2006/relationships/image" Target="media/34b9914a5964556f040d1f915113cffe7cf31474.jpg"/><Relationship Id="rId13" Type="http://schemas.openxmlformats.org/officeDocument/2006/relationships/image" Target="media/0235ca61cbf8aa595df5290a4ffba7d8de72f6bf.jpg"/><Relationship Id="rId14" Type="http://schemas.openxmlformats.org/officeDocument/2006/relationships/image" Target="media/346b4dbb755632bf9a1b7164878b468e096f60ff.jpg"/><Relationship Id="rId15" Type="http://schemas.openxmlformats.org/officeDocument/2006/relationships/image" Target="media/5f474ae7191210b0156b283697704904d5181fe9.jpg"/><Relationship Id="rId16" Type="http://schemas.openxmlformats.org/officeDocument/2006/relationships/image" Target="media/5c6761ba14c22d694276ce15e2ce2c14e6339c86.jpg"/><Relationship Id="rId17" Type="http://schemas.openxmlformats.org/officeDocument/2006/relationships/image" Target="media/a7745b90ef08e95c30c6448eafb555cccacd74ab.jpg"/><Relationship Id="rId18" Type="http://schemas.openxmlformats.org/officeDocument/2006/relationships/image" Target="media/0a57e5ffb387f13ce8884e1ae333abee360c67b6.jpg"/><Relationship Id="rId19" Type="http://schemas.openxmlformats.org/officeDocument/2006/relationships/image" Target="media/5174113e8df4bebbbd5e7aa664cc12d4c089bb71.jpg"/><Relationship Id="rId20" Type="http://schemas.openxmlformats.org/officeDocument/2006/relationships/image" Target="media/79b2938560d47f25bd8839bd1572ec136b7c9855.jpg"/><Relationship Id="rId21" Type="http://schemas.openxmlformats.org/officeDocument/2006/relationships/image" Target="media/169cf31e893c61891fc4eb24af221a63132ffaf3.jpg"/><Relationship Id="rId22" Type="http://schemas.openxmlformats.org/officeDocument/2006/relationships/image" Target="media/f6761f6c9fa1d1331a58f15c3429a3b11f847a04.jpg"/><Relationship Id="rId23" Type="http://schemas.openxmlformats.org/officeDocument/2006/relationships/image" Target="media/0042852f20e32bf9437b2569e3171c5ed11dc7c9.jpg"/><Relationship Id="rId24" Type="http://schemas.openxmlformats.org/officeDocument/2006/relationships/image" Target="media/55f85b1d61795a674bf64fbbef03972fb50e8216.jpg"/><Relationship Id="rId25" Type="http://schemas.openxmlformats.org/officeDocument/2006/relationships/image" Target="media/fe7a84b50d15ee49bc1bc67c14f5016f7cf6b83f.jpg"/><Relationship Id="rId26" Type="http://schemas.openxmlformats.org/officeDocument/2006/relationships/image" Target="media/4445baf244de28f3da91eb2733248fc40b8d2ca3.jpg"/><Relationship Id="rId27" Type="http://schemas.openxmlformats.org/officeDocument/2006/relationships/image" Target="media/d99c55c8faca548e66c02ad90329a9a883e2fdf9.jpg"/><Relationship Id="rId28" Type="http://schemas.openxmlformats.org/officeDocument/2006/relationships/image" Target="media/17e67194ef311c23a3a8b36ae53c78624ad93d90.jpg"/><Relationship Id="rId29" Type="http://schemas.openxmlformats.org/officeDocument/2006/relationships/image" Target="media/73c9bf8b15112ff593572f58575ea21f97ed99ef.jpg"/><Relationship Id="rId30" Type="http://schemas.openxmlformats.org/officeDocument/2006/relationships/image" Target="media/911c737688a74b89b2dc979754b0df58e356c0ac.jpg"/><Relationship Id="rId31" Type="http://schemas.openxmlformats.org/officeDocument/2006/relationships/image" Target="media/fd50b17e20d4032f35c29ba85c02876bbb30d270.jpg"/><Relationship Id="rId32" Type="http://schemas.openxmlformats.org/officeDocument/2006/relationships/image" Target="media/80256656892c251b8958850854ee56d40430cdb5.jpg"/><Relationship Id="rId33" Type="http://schemas.openxmlformats.org/officeDocument/2006/relationships/image" Target="media/0fb5cdf9132c6925c9ede7526f17b1b7fbf29461.jpg"/><Relationship Id="rId34" Type="http://schemas.openxmlformats.org/officeDocument/2006/relationships/image" Target="media/bfbe432681aa2c244b9671889f9613f8af7e4df1.jpg"/><Relationship Id="rId35" Type="http://schemas.openxmlformats.org/officeDocument/2006/relationships/image" Target="media/1af12e3fb477f35e1851214cc1dd009a3e2e486c.jpg"/><Relationship Id="rId36" Type="http://schemas.openxmlformats.org/officeDocument/2006/relationships/image" Target="media/fcca3cda4d906430a44b3693d29d690a5ab66f6d.jp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de cambios CC-2026-001</dc:title>
  <dc:creator>EarthQuakeTracker</dc:creator>
  <cp:lastModifiedBy>Un-named</cp:lastModifiedBy>
  <cp:revision>1</cp:revision>
  <dcterms:created xsi:type="dcterms:W3CDTF">2026-10-12T23:55:56.753Z</dcterms:created>
  <dcterms:modified xsi:type="dcterms:W3CDTF">2026-10-12T23:55:56.754Z</dcterms:modified>
</cp:coreProperties>
</file>

<file path=docProps/custom.xml><?xml version="1.0" encoding="utf-8"?>
<Properties xmlns="http://schemas.openxmlformats.org/officeDocument/2006/custom-properties" xmlns:vt="http://schemas.openxmlformats.org/officeDocument/2006/docPropsVTypes"/>
</file>