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ec175dc1bd2b6c71a4f9cdadff1f3bb2859d58e"/>
    <w:p>
      <w:pPr>
        <w:pStyle w:val="Heading1"/>
      </w:pPr>
      <w:r>
        <w:t xml:space="preserve">Validation Report — sabr_localvol_consistency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2026-03-15</w:t>
      </w:r>
      <w:r>
        <w:br/>
      </w:r>
      <w:r>
        <w:rPr>
          <w:bCs/>
          <w:b/>
        </w:rPr>
        <w:t xml:space="preserve">Underlying:</w:t>
      </w:r>
      <w:r>
        <w:t xml:space="preserve"> </w:t>
      </w:r>
      <w:r>
        <w:t xml:space="preserve">SP5</w:t>
      </w:r>
      <w:r>
        <w:br/>
      </w:r>
      <w:r>
        <w:rPr>
          <w:bCs/>
          <w:b/>
        </w:rPr>
        <w:t xml:space="preserve">Valuation Date:</w:t>
      </w:r>
      <w:r>
        <w:t xml:space="preserve"> </w:t>
      </w:r>
      <w:r>
        <w:t xml:space="preserve">2026-03-15</w:t>
      </w:r>
    </w:p>
    <w:bookmarkStart w:id="38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Item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Overall Status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PASSED ✓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Total Trades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Failed Trades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Stability Score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0.022124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Path-Dep Bias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-0.013448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Xa250a080568b2a243b5f8f479adfffa3677811f"/>
    <w:p>
      <w:pPr>
        <w:pStyle w:val="Heading3"/>
      </w:pPr>
      <w:r>
        <w:t xml:space="preserve">How the Volatility Surfaces Are Constructed</w:t>
      </w:r>
    </w:p>
    <w:p>
      <w:pPr>
        <w:pStyle w:val="FirstParagraph"/>
      </w:pPr>
      <w:r>
        <w:t xml:space="preserve">This experiment validates consistency between a</w:t>
      </w:r>
      <w:r>
        <w:t xml:space="preserve"> </w:t>
      </w:r>
      <w:r>
        <w:rPr>
          <w:bCs/>
          <w:b/>
        </w:rPr>
        <w:t xml:space="preserve">SABR implied-vol surface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Dupire local-vol surface</w:t>
      </w:r>
      <w:r>
        <w:t xml:space="preserve"> </w:t>
      </w:r>
      <w:r>
        <w:t xml:space="preserve">derived from it. The two surfaces are built in sequence</w:t>
      </w:r>
      <w:r>
        <w:t xml:space="preserve"> </w:t>
      </w:r>
      <w:r>
        <w:t xml:space="preserve">through the pipeline stages described below.</w:t>
      </w:r>
    </w:p>
    <w:bookmarkStart w:id="20" w:name="step-1-sabr-calibration-stage-3"/>
    <w:p>
      <w:pPr>
        <w:pStyle w:val="Heading4"/>
      </w:pPr>
      <w:r>
        <w:t xml:space="preserve">Step 1 — SABR Calibration (Stage 3)</w:t>
      </w:r>
    </w:p>
    <w:p>
      <w:pPr>
        <w:pStyle w:val="FirstParagraph"/>
      </w:pPr>
      <w:r>
        <w:t xml:space="preserve">The SABR model (Hagan et al. 2002) parameterises the implied vol smile at each</w:t>
      </w:r>
      <w:r>
        <w:t xml:space="preserve"> </w:t>
      </w:r>
      <w:r>
        <w:t xml:space="preserve">maturity slice with four parameters: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(vol level),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(CEV elasticity),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(spot/vol correlation), and</w:t>
      </w:r>
      <w:r>
        <w:t xml:space="preserve"> </w:t>
      </w:r>
      <w:r>
        <w:rPr>
          <w:rStyle w:val="VerbatimChar"/>
        </w:rPr>
        <w:t xml:space="preserve">nu</w:t>
      </w:r>
      <w:r>
        <w:t xml:space="preserve"> </w:t>
      </w:r>
      <w:r>
        <w:t xml:space="preserve">(vol-of-vol). For this experiment the</w:t>
      </w:r>
      <w:r>
        <w:t xml:space="preserve"> </w:t>
      </w:r>
      <w:r>
        <w:t xml:space="preserve">parameters are set directly from config (synthetic market — no real quotes to fit):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Parameter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alpha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Sets the overall ATM vol level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beta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Controls the backbone (0=normal, 1=log-normal)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rho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Drives the skew slope (negative = equity skew)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nu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Controls smile curvature via stochastic vol</w:t>
            </w:r>
          </w:p>
        </w:tc>
      </w:tr>
    </w:tbl>
    <w:p>
      <w:pPr>
        <w:pStyle w:val="BodyText"/>
      </w:pPr>
      <w:r>
        <w:t xml:space="preserve">The Hagan formula is evaluated on a dense grid of</w:t>
      </w:r>
      <w:r>
        <w:t xml:space="preserve"> </w:t>
      </w:r>
      <w:r>
        <w:rPr>
          <w:bCs/>
          <w:b/>
        </w:rPr>
        <w:t xml:space="preserve">106 strikes ×</w:t>
      </w:r>
      <w:r>
        <w:rPr>
          <w:bCs/>
          <w:b/>
        </w:rPr>
        <w:t xml:space="preserve"> </w:t>
      </w:r>
      <w:r>
        <w:rPr>
          <w:bCs/>
          <w:b/>
        </w:rPr>
        <w:t xml:space="preserve">36 tenors</w:t>
      </w:r>
      <w:r>
        <w:t xml:space="preserve">, producing a matrix of Black implied vols. This matrix is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SABR surface</w:t>
      </w:r>
      <w:r>
        <w:t xml:space="preserve"> </w:t>
      </w:r>
      <w:r>
        <w:t xml:space="preserve">— it represents what the SABR stochastic vol model predicts</w:t>
      </w:r>
      <w:r>
        <w:t xml:space="preserve"> </w:t>
      </w:r>
      <w:r>
        <w:t xml:space="preserve">for option prices across all strikes and maturities.</w:t>
      </w:r>
    </w:p>
    <w:bookmarkEnd w:id="20"/>
    <w:bookmarkStart w:id="21" w:name="X3a0449178cc75b4a2b06c291d88d46b847136e4"/>
    <w:p>
      <w:pPr>
        <w:pStyle w:val="Heading4"/>
      </w:pPr>
      <w:r>
        <w:t xml:space="preserve">Step 2 — Dupire Local Vol Construction (Stage 5)</w:t>
      </w:r>
    </w:p>
    <w:p>
      <w:pPr>
        <w:pStyle w:val="FirstParagraph"/>
      </w:pPr>
      <w:r>
        <w:t xml:space="preserve">The implied vol matrix is loaded into QuantLib’s</w:t>
      </w:r>
      <w:r>
        <w:t xml:space="preserve"> </w:t>
      </w:r>
      <w:r>
        <w:rPr>
          <w:rStyle w:val="VerbatimChar"/>
        </w:rPr>
        <w:t xml:space="preserve">BlackVarianceSurface</w:t>
      </w:r>
      <w:r>
        <w:t xml:space="preserve">, which</w:t>
      </w:r>
      <w:r>
        <w:t xml:space="preserve"> </w:t>
      </w:r>
      <w:r>
        <w:t xml:space="preserve">stores total variance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rPr>
                <m:nor/>
                <m:sty m:val="p"/>
              </m:rPr>
              <m:t>impl</m:t>
            </m:r>
          </m:sub>
          <m:sup>
            <m:r>
              <m:t>2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interpolates bicubically across the grid. A</w:t>
      </w:r>
      <w:r>
        <w:t xml:space="preserve"> </w:t>
      </w:r>
      <w:r>
        <w:rPr>
          <w:rStyle w:val="VerbatimChar"/>
        </w:rPr>
        <w:t xml:space="preserve">NoExceptLocalVolSurface</w:t>
      </w:r>
      <w:r>
        <w:t xml:space="preserve"> </w:t>
      </w:r>
      <w:r>
        <w:t xml:space="preserve">wrapper then</w:t>
      </w:r>
      <w:r>
        <w:t xml:space="preserve"> </w:t>
      </w:r>
      <w:r>
        <w:t xml:space="preserve">applies</w:t>
      </w:r>
      <w:r>
        <w:t xml:space="preserve"> </w:t>
      </w:r>
      <w:r>
        <w:rPr>
          <w:bCs/>
          <w:b/>
        </w:rPr>
        <w:t xml:space="preserve">Dupire’s formula</w:t>
      </w:r>
      <w:r>
        <w:t xml:space="preserve"> </w:t>
      </w:r>
      <w:r>
        <w:t xml:space="preserve">to extract the local vol function: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L</m:t>
              </m:r>
              <m:r>
                <m:t>V</m:t>
              </m:r>
            </m:sub>
            <m:sup>
              <m:r>
                <m:t>2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V</m:t>
                          </m:r>
                        </m:num>
                        <m:den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V</m:t>
                      </m:r>
                    </m:den>
                  </m:f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V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t>K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Cs/>
          <w:i/>
        </w:rPr>
        <w:t xml:space="preserve">unique</w:t>
      </w:r>
      <w:r>
        <w:t xml:space="preserve"> </w:t>
      </w:r>
      <w:r>
        <w:t xml:space="preserve">local vol surface that is consistent with the input implied</w:t>
      </w:r>
      <w:r>
        <w:t xml:space="preserve"> </w:t>
      </w:r>
      <w:r>
        <w:t xml:space="preserve">vol surface under a diffusion process — i.e., it will reprice all vanilla options</w:t>
      </w:r>
      <w:r>
        <w:t xml:space="preserve"> </w:t>
      </w:r>
      <w:r>
        <w:t xml:space="preserve">identically to the SABR model (up to numerical error). The LV surface is persisted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surfaces/localvol/</w:t>
      </w:r>
      <w:r>
        <w:t xml:space="preserve"> </w:t>
      </w:r>
      <w:r>
        <w:t xml:space="preserve">and its smoothing is controlled by</w:t>
      </w:r>
      <w:r>
        <w:t xml:space="preserve"> </w:t>
      </w:r>
      <w:r>
        <w:rPr>
          <w:rStyle w:val="VerbatimChar"/>
        </w:rPr>
        <w:t xml:space="preserve">localvol.smoothing = 0.0001</w:t>
      </w:r>
      <w:r>
        <w:t xml:space="preserve">.</w:t>
      </w:r>
    </w:p>
    <w:bookmarkEnd w:id="21"/>
    <w:bookmarkStart w:id="22" w:name="step-3-pricing-both-models-stage-7"/>
    <w:p>
      <w:pPr>
        <w:pStyle w:val="Heading4"/>
      </w:pPr>
      <w:r>
        <w:t xml:space="preserve">Step 3 — Pricing Both Models (Stage 7)</w:t>
      </w:r>
    </w:p>
    <w:p>
      <w:pPr>
        <w:pStyle w:val="FirstParagraph"/>
      </w:pPr>
      <w:r>
        <w:t xml:space="preserve">The same portfolio of 32 trades is priced twice</w:t>
      </w:r>
      <w:r>
        <w:t xml:space="preserve"> </w:t>
      </w:r>
      <w:r>
        <w:t xml:space="preserve">using ORE Python bindings, under identical market inputs (spot, rate, div yield)</w:t>
      </w:r>
      <w:r>
        <w:t xml:space="preserve"> </w:t>
      </w:r>
      <w:r>
        <w:t xml:space="preserve">but different vol processes: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65"/>
        <w:gridCol w:w="3111"/>
        <w:gridCol w:w="4242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</w:pP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SABR Pass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Local Vol Pass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Vanilla options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Analytic Black (per-strike flat vol from SABR formula)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FD engine on Dupire GBM process (200×200 grid)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Path-dependent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MC 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MCEuropeanEngine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with flat ATM vol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MC 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MCEuropeanEngine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with Dupire GBM process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MC paths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65,536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65,536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bCs/>
                <w:rFonts w:ascii="Calibri" w:hAnsi="Calibri"/>
                <w:b/>
                <w:sz w:val="20"/>
              </w:rPr>
              <w:t xml:space="preserve">Random seed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42</w:t>
            </w:r>
          </w:p>
        </w:tc>
      </w:tr>
    </w:tbl>
    <w:p>
      <w:pPr>
        <w:pStyle w:val="BodyText"/>
      </w:pPr>
      <w:r>
        <w:t xml:space="preserve">Using the same seed and path count for both MC passes isolates</w:t>
      </w:r>
      <w:r>
        <w:t xml:space="preserve"> </w:t>
      </w:r>
      <w:r>
        <w:rPr>
          <w:iCs/>
          <w:i/>
        </w:rPr>
        <w:t xml:space="preserve">model error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Monte Carlo noise</w:t>
      </w:r>
      <w:r>
        <w:t xml:space="preserve">.</w:t>
      </w:r>
    </w:p>
    <w:bookmarkEnd w:id="22"/>
    <w:bookmarkStart w:id="23" w:name="step-4-comparison-metric-stage-8"/>
    <w:p>
      <w:pPr>
        <w:pStyle w:val="Heading4"/>
      </w:pPr>
      <w:r>
        <w:t xml:space="preserve">Step 4 — Comparison Metric (Stage 8)</w:t>
      </w:r>
    </w:p>
    <w:p>
      <w:pPr>
        <w:pStyle w:val="FirstParagraph"/>
      </w:pPr>
      <w:r>
        <w:t xml:space="preserve">Prices are merged and the</w:t>
      </w:r>
      <w:r>
        <w:t xml:space="preserve"> </w:t>
      </w:r>
      <w:r>
        <w:rPr>
          <w:bCs/>
          <w:b/>
        </w:rPr>
        <w:t xml:space="preserve">vega-normalised model error</w:t>
      </w:r>
      <w:r>
        <w:t xml:space="preserve"> </w:t>
      </w:r>
      <w:r>
        <w:t xml:space="preserve">is computed per trade: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NPV</m:t>
                  </m:r>
                </m:e>
                <m:sub>
                  <m:r>
                    <m:rPr>
                      <m:nor/>
                      <m:sty m:val="p"/>
                    </m:rPr>
                    <m:t>SABR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NPV</m:t>
                  </m:r>
                </m:e>
                <m:sub>
                  <m:r>
                    <m:rPr>
                      <m:nor/>
                      <m:sty m:val="p"/>
                    </m:rPr>
                    <m:t>LV</m:t>
                  </m:r>
                </m:sub>
              </m:sSub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Vega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SABR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Normalising by vega converts an absolute price difference into units of implied vol</w:t>
      </w:r>
      <w:r>
        <w:t xml:space="preserve"> </w:t>
      </w:r>
      <w:r>
        <w:t xml:space="preserve">(roughly: how many vol points would you need to move to explain the discrepancy).</w:t>
      </w:r>
      <w:r>
        <w:t xml:space="preserve"> </w:t>
      </w:r>
      <w:r>
        <w:t xml:space="preserve">This makes errors comparable across strikes and maturities with very different</w:t>
      </w:r>
      <w:r>
        <w:t xml:space="preserve"> </w:t>
      </w:r>
      <w:r>
        <w:t xml:space="preserve">price magnitudes. For near-zero vega (deep OTM), the metric falls back to</w:t>
      </w:r>
      <w:r>
        <w:t xml:space="preserve"> </w:t>
      </w:r>
      <w:r>
        <w:t xml:space="preserve">relative NPV difference.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Stability Score</w:t>
      </w:r>
      <w:r>
        <w:t xml:space="preserve"> </w:t>
      </w:r>
      <w:r>
        <w:t xml:space="preserve">(0.022124) measures the</w:t>
      </w:r>
      <w:r>
        <w:t xml:space="preserve"> </w:t>
      </w:r>
      <w:r>
        <w:t xml:space="preserve">standard deviation of model errors across all vanilla trades — a lower value means</w:t>
      </w:r>
      <w:r>
        <w:t xml:space="preserve"> </w:t>
      </w:r>
      <w:r>
        <w:t xml:space="preserve">the two surfaces are more uniformly consistent. The</w:t>
      </w:r>
      <w:r>
        <w:t xml:space="preserve"> </w:t>
      </w:r>
      <w:r>
        <w:rPr>
          <w:bCs/>
          <w:b/>
        </w:rPr>
        <w:t xml:space="preserve">Path-Dep Bias</w:t>
      </w:r>
      <w:r>
        <w:t xml:space="preserve"> </w:t>
      </w:r>
      <w:r>
        <w:t xml:space="preserve">(-0.013448) is the mean model error across</w:t>
      </w:r>
      <w:r>
        <w:t xml:space="preserve"> </w:t>
      </w:r>
      <w:r>
        <w:t xml:space="preserve">path-dependent trades, capturing the systematic direction in which the two models</w:t>
      </w:r>
      <w:r>
        <w:t xml:space="preserve"> </w:t>
      </w:r>
      <w:r>
        <w:t xml:space="preserve">diverge for non-vanilla payoffs.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surface-visualisations"/>
    <w:p>
      <w:pPr>
        <w:pStyle w:val="Heading3"/>
      </w:pPr>
      <w:r>
        <w:t xml:space="preserve">Surface Visualisations</w:t>
      </w:r>
    </w:p>
    <w:p>
      <w:pPr>
        <w:pStyle w:val="FirstParagraph"/>
      </w:pPr>
      <w:r>
        <w:t xml:space="preserve">The three plots below give an immediate visual intuition for the construction and</w:t>
      </w:r>
      <w:r>
        <w:t xml:space="preserve"> </w:t>
      </w:r>
      <w:r>
        <w:t xml:space="preserve">comparison described above.</w:t>
      </w:r>
    </w:p>
    <w:bookmarkStart w:id="28" w:name="sabr-implied-volatility-surface"/>
    <w:p>
      <w:pPr>
        <w:pStyle w:val="Heading4"/>
      </w:pPr>
      <w:r>
        <w:t xml:space="preserve">SABR Implied Volatility Surface</w:t>
      </w:r>
    </w:p>
    <w:p>
      <w:pPr>
        <w:pStyle w:val="CaptionedFigure"/>
        <w:spacing w:before="160" w:after="160"/>
        <w:jc w:val="center"/>
      </w:pPr>
      <w:r>
        <w:drawing>
          <wp:inline>
            <wp:extent cx="5486400" cy="3657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SABR Implied Vol Surface</w:t>
      </w:r>
    </w:p>
    <w:p>
      <w:pPr>
        <w:pStyle w:val="BodyText"/>
      </w:pPr>
      <w:r>
        <w:t xml:space="preserve">The SABR surface is evaluated on a dense 106-strike × 36-tenor</w:t>
      </w:r>
      <w:r>
        <w:t xml:space="preserve"> </w:t>
      </w:r>
      <w:r>
        <w:t xml:space="preserve">grid by interpolating the calibrated parameters linearly between the three</w:t>
      </w:r>
      <w:r>
        <w:t xml:space="preserve"> </w:t>
      </w:r>
      <w:r>
        <w:t xml:space="preserve">calibrated maturity slices (6M, 1Y, 2Y) and extrapolating flat beyond the furthest</w:t>
      </w:r>
      <w:r>
        <w:t xml:space="preserve"> </w:t>
      </w:r>
      <w:r>
        <w:t xml:space="preserve">maturity. The characteristic</w:t>
      </w:r>
      <w:r>
        <w:t xml:space="preserve"> </w:t>
      </w:r>
      <w:r>
        <w:rPr>
          <w:bCs/>
          <w:b/>
        </w:rPr>
        <w:t xml:space="preserve">skew ridge</w:t>
      </w:r>
      <w:r>
        <w:t xml:space="preserve"> </w:t>
      </w:r>
      <w:r>
        <w:t xml:space="preserve">running diagonally from low-strike /</w:t>
      </w:r>
      <w:r>
        <w:t xml:space="preserve"> </w:t>
      </w:r>
      <w:r>
        <w:t xml:space="preserve">short-tenor to high-strike / long-tenor reflects the negative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(-0.3).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curvature</w:t>
      </w:r>
      <w:r>
        <w:t xml:space="preserve"> </w:t>
      </w:r>
      <w:r>
        <w:t xml:space="preserve">at each tenor is controlled by</w:t>
      </w:r>
      <w:r>
        <w:t xml:space="preserve"> </w:t>
      </w:r>
      <w:r>
        <w:rPr>
          <w:rStyle w:val="VerbatimChar"/>
        </w:rPr>
        <w:t xml:space="preserve">nu</w:t>
      </w:r>
      <w:r>
        <w:t xml:space="preserve"> </w:t>
      </w:r>
      <w:r>
        <w:t xml:space="preserve">(0.4): a higher</w:t>
      </w:r>
      <w:r>
        <w:t xml:space="preserve"> </w:t>
      </w:r>
      <w:r>
        <w:t xml:space="preserve">vol-of-vol would produce a more pronounced U-shape. Notice how the surface</w:t>
      </w:r>
      <w:r>
        <w:t xml:space="preserve"> </w:t>
      </w:r>
      <w:r>
        <w:rPr>
          <w:bCs/>
          <w:b/>
        </w:rPr>
        <w:t xml:space="preserve">flattens at longer tenors</w:t>
      </w:r>
      <w:r>
        <w:t xml:space="preserve"> </w:t>
      </w:r>
      <w:r>
        <w:t xml:space="preserve">— as the time horizon grows, the time-averaged</w:t>
      </w:r>
      <w:r>
        <w:t xml:space="preserve"> </w:t>
      </w:r>
      <w:r>
        <w:t xml:space="preserve">stochastic vol produces a less skewed terminal distribution.</w:t>
      </w:r>
    </w:p>
    <w:bookmarkEnd w:id="28"/>
    <w:bookmarkStart w:id="32" w:name="dupire-local-volatility-surface"/>
    <w:p>
      <w:pPr>
        <w:pStyle w:val="Heading4"/>
      </w:pPr>
      <w:r>
        <w:t xml:space="preserve">Dupire Local Volatility Surface</w:t>
      </w:r>
    </w:p>
    <w:p>
      <w:pPr>
        <w:pStyle w:val="CaptionedFigure"/>
        <w:spacing w:before="160" w:after="160"/>
        <w:jc w:val="center"/>
      </w:pPr>
      <w:r>
        <w:drawing>
          <wp:inline>
            <wp:extent cx="5486400" cy="3657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Dupire Local Vol Surface</w:t>
      </w:r>
    </w:p>
    <w:p>
      <w:pPr>
        <w:pStyle w:val="BodyText"/>
      </w:pPr>
      <w:r>
        <w:t xml:space="preserve">The local vol surface is derived from the SABR surface via Dupire’s formula (see</w:t>
      </w:r>
      <w:r>
        <w:t xml:space="preserve"> </w:t>
      </w:r>
      <w:r>
        <w:t xml:space="preserve">Step 2 above). Several structural differences from the implied vol surface are</w:t>
      </w:r>
      <w:r>
        <w:t xml:space="preserve"> </w:t>
      </w:r>
      <w:r>
        <w:t xml:space="preserve">immediately visible: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Steeper short-tenor skew</w:t>
      </w:r>
      <w:r>
        <w:t xml:space="preserve">: The Dupire transformation amplifies gradient</w:t>
      </w:r>
      <w:r>
        <w:t xml:space="preserve"> </w:t>
      </w:r>
      <w:r>
        <w:t xml:space="preserve">features. Butterfly curvature in the implied vol surface maps to a pronounced</w:t>
      </w:r>
      <w:r>
        <w:t xml:space="preserve"> </w:t>
      </w:r>
      <w:r>
        <w:t xml:space="preserve">spike in local vol at the wings for short tenors, since Dupire differentiates</w:t>
      </w:r>
      <w:r>
        <w:t xml:space="preserve"> </w:t>
      </w:r>
      <w:r>
        <w:t xml:space="preserve">twice with respect to strike.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Lower overall level</w:t>
      </w:r>
      <w:r>
        <w:t xml:space="preserve">: The local vol surface sits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the implied vol</w:t>
      </w:r>
      <w:r>
        <w:t xml:space="preserve"> </w:t>
      </w:r>
      <w:r>
        <w:t xml:space="preserve">surface on average. This is a well-known result — the implied vol is a</w:t>
      </w:r>
      <w:r>
        <w:t xml:space="preserve"> </w:t>
      </w:r>
      <w:r>
        <w:t xml:space="preserve">risk-neutral average of local vols along the integrating paths, so the</w:t>
      </w:r>
      <w:r>
        <w:t xml:space="preserve"> </w:t>
      </w:r>
      <w:r>
        <w:t xml:space="preserve">local vol must be lower in the wings to average back to the observed smile.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Surface instability at boundaries</w:t>
      </w:r>
      <w:r>
        <w:t xml:space="preserve">: Near the strike / tenor boundaries of</w:t>
      </w:r>
      <w:r>
        <w:t xml:space="preserve"> </w:t>
      </w:r>
      <w:r>
        <w:t xml:space="preserve">the dense grid, numerical differentiation of the bicubic spline can produce</w:t>
      </w:r>
      <w:r>
        <w:t xml:space="preserve"> </w:t>
      </w:r>
      <w:r>
        <w:t xml:space="preserve">artefacts. The</w:t>
      </w:r>
      <w:r>
        <w:t xml:space="preserve"> </w:t>
      </w:r>
      <w:r>
        <w:rPr>
          <w:rStyle w:val="VerbatimChar"/>
        </w:rPr>
        <w:t xml:space="preserve">smoothing = 0.0001</w:t>
      </w:r>
      <w:r>
        <w:t xml:space="preserve"> </w:t>
      </w:r>
      <w:r>
        <w:t xml:space="preserve">parameter in</w:t>
      </w:r>
      <w:r>
        <w:t xml:space="preserve"> </w:t>
      </w:r>
      <w:r>
        <w:rPr>
          <w:rStyle w:val="VerbatimChar"/>
        </w:rPr>
        <w:t xml:space="preserve">NoExceptLocalVolSurface</w:t>
      </w:r>
      <w:r>
        <w:t xml:space="preserve"> </w:t>
      </w:r>
      <w:r>
        <w:t xml:space="preserve">regularises the most extreme values.</w:t>
      </w:r>
    </w:p>
    <w:bookmarkEnd w:id="32"/>
    <w:bookmarkStart w:id="36" w:name="difference-sabr-implied-vol-local-vol"/>
    <w:p>
      <w:pPr>
        <w:pStyle w:val="Heading4"/>
      </w:pPr>
      <w:r>
        <w:t xml:space="preserve">Difference: SABR Implied Vol − Local Vol</w:t>
      </w:r>
    </w:p>
    <w:p>
      <w:pPr>
        <w:pStyle w:val="CaptionedFigure"/>
        <w:spacing w:before="160" w:after="160"/>
        <w:jc w:val="center"/>
      </w:pPr>
      <w:r>
        <w:drawing>
          <wp:inline>
            <wp:extent cx="5486400" cy="3657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 Difference Surface</w:t>
      </w:r>
    </w:p>
    <w:p>
      <w:pPr>
        <w:pStyle w:val="BodyText"/>
      </w:pPr>
      <w:r>
        <w:t xml:space="preserve">The difference surface (SABR implied minus Dupire local, in vol percent) quantifies</w:t>
      </w:r>
      <w:r>
        <w:t xml:space="preserve"> </w:t>
      </w:r>
      <w:r>
        <w:t xml:space="preserve">the structural divergence between the two representations. Key features: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Near-zero ATM region</w:t>
      </w:r>
      <w:r>
        <w:t xml:space="preserve">: Around the spot (K ≈ 100) and for short-to-medium</w:t>
      </w:r>
      <w:r>
        <w:t xml:space="preserve"> </w:t>
      </w:r>
      <w:r>
        <w:t xml:space="preserve">tenors the two representations are closest. This is the region where both the</w:t>
      </w:r>
      <w:r>
        <w:t xml:space="preserve"> </w:t>
      </w:r>
      <w:r>
        <w:t xml:space="preserve">Hagan approximation and Dupire’s numerical differentiation are most accurate.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Positive difference in OTM puts (low strikes)</w:t>
      </w:r>
      <w:r>
        <w:t xml:space="preserve">: SABR implied vol exceeds</w:t>
      </w:r>
      <w:r>
        <w:t xml:space="preserve"> </w:t>
      </w:r>
      <w:r>
        <w:t xml:space="preserve">local vol at low strikes. This is the</w:t>
      </w:r>
      <w:r>
        <w:t xml:space="preserve"> </w:t>
      </w:r>
      <w:r>
        <w:t xml:space="preserve">“</w:t>
      </w:r>
      <w:r>
        <w:t xml:space="preserve">forward skew</w:t>
      </w:r>
      <w:r>
        <w:t xml:space="preserve">”</w:t>
      </w:r>
      <w:r>
        <w:t xml:space="preserve"> </w:t>
      </w:r>
      <w:r>
        <w:t xml:space="preserve">effect — SABR with negative</w:t>
      </w:r>
      <w:r>
        <w:t xml:space="preserve"> </w:t>
      </w:r>
      <w:r>
        <w:t xml:space="preserve">rho predicts a persistent skew in the future; Dupire’s local vol encodes that</w:t>
      </w:r>
      <w:r>
        <w:t xml:space="preserve"> </w:t>
      </w:r>
      <w:r>
        <w:t xml:space="preserve">same skew as a high local vol</w:t>
      </w:r>
      <w:r>
        <w:t xml:space="preserve"> </w:t>
      </w:r>
      <w:r>
        <w:rPr>
          <w:iCs/>
          <w:i/>
        </w:rPr>
        <w:t xml:space="preserve">today</w:t>
      </w:r>
      <w:r>
        <w:t xml:space="preserve"> </w:t>
      </w:r>
      <w:r>
        <w:t xml:space="preserve">at low strikes but then predicts it will</w:t>
      </w:r>
      <w:r>
        <w:t xml:space="preserve"> </w:t>
      </w:r>
      <w:r>
        <w:t xml:space="preserve">flatten, producing a lower time-averaged implied vol.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Negative difference in OTM calls (high strikes)</w:t>
      </w:r>
      <w:r>
        <w:t xml:space="preserve">: Symmetrically, SABR implies</w:t>
      </w:r>
      <w:r>
        <w:t xml:space="preserve"> </w:t>
      </w:r>
      <w:r>
        <w:t xml:space="preserve">a steeper call wing than the Dupire LV surface predicts.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Growing divergence with tenor</w:t>
      </w:r>
      <w:r>
        <w:t xml:space="preserve">: The difference surface fans out at longer</w:t>
      </w:r>
      <w:r>
        <w:t xml:space="preserve"> </w:t>
      </w:r>
      <w:r>
        <w:t xml:space="preserve">maturities, explaining why the 2Y vanilla trades show the largest model error in</w:t>
      </w:r>
      <w:r>
        <w:t xml:space="preserve"> </w:t>
      </w:r>
      <w:r>
        <w:t xml:space="preserve">the pricing comparison below.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experiment-configuration"/>
    <w:p>
      <w:pPr>
        <w:pStyle w:val="Heading2"/>
      </w:pPr>
      <w:r>
        <w:t xml:space="preserve">Experiment Configuration</w:t>
      </w:r>
    </w:p>
    <w:bookmarkStart w:id="39" w:name="sabr-parameters"/>
    <w:p>
      <w:pPr>
        <w:pStyle w:val="Heading3"/>
      </w:pPr>
      <w:r>
        <w:t xml:space="preserve">SABR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Param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alpha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beta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rho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-0.3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nu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0.4</w:t>
            </w:r>
          </w:p>
        </w:tc>
      </w:tr>
    </w:tbl>
    <w:bookmarkEnd w:id="39"/>
    <w:bookmarkStart w:id="40" w:name="pricing-settings"/>
    <w:p>
      <w:pPr>
        <w:pStyle w:val="Heading3"/>
      </w:pPr>
      <w:r>
        <w:t xml:space="preserve">Pricing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Setting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MC Paths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65,536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Random Seed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LV FD T-grid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200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LV FD X-grid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LV FD Scheme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Douglas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LV Smoothing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sabr-calibration-results"/>
    <w:p>
      <w:pPr>
        <w:pStyle w:val="Heading2"/>
      </w:pPr>
      <w:r>
        <w:t xml:space="preserve">SABR Calibration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Maturity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alpha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beta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rho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nu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RMSE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Conv.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-0.300000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0.400000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-0.300000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0.400000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-0.300000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0.400000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Yes</w:t>
            </w:r>
          </w:p>
        </w:tc>
      </w:tr>
    </w:tbl>
    <w:p>
      <w:pPr>
        <w:pStyle w:val="CaptionedFigure"/>
        <w:spacing w:before="160" w:after="160"/>
        <w:jc w:val="center"/>
      </w:pPr>
      <w:r>
        <w:drawing>
          <wp:inline>
            <wp:extent cx="5486400" cy="30861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SABR Implied Vol Smile</w:t>
      </w:r>
    </w:p>
    <w:p>
      <w:pPr>
        <w:pStyle w:val="BodyText"/>
      </w:pPr>
      <w:r>
        <w:rPr>
          <w:bCs/>
          <w:b/>
        </w:rPr>
        <w:t xml:space="preserve">Reading the smile curves: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Skew (slope)</w:t>
      </w:r>
      <w:r>
        <w:t xml:space="preserve"> </w:t>
      </w:r>
      <w:r>
        <w:t xml:space="preserve">is controlled by</w:t>
      </w:r>
      <w:r>
        <w:t xml:space="preserve"> </w:t>
      </w:r>
      <w:r>
        <w:rPr>
          <w:rStyle w:val="VerbatimChar"/>
        </w:rPr>
        <w:t xml:space="preserve">rho</w:t>
      </w:r>
      <w:r>
        <w:t xml:space="preserve"> </w:t>
      </w:r>
      <w:r>
        <w:t xml:space="preserve">(-0.3). A negative rho tilts the smile</w:t>
      </w:r>
      <w:r>
        <w:t xml:space="preserve"> </w:t>
      </w:r>
      <w:r>
        <w:t xml:space="preserve">downward to the left — puts (low strikes) have higher implied vol than calls (high</w:t>
      </w:r>
      <w:r>
        <w:t xml:space="preserve"> </w:t>
      </w:r>
      <w:r>
        <w:t xml:space="preserve">strikes). This reflects the well-known equity skew: markets price downside protection</w:t>
      </w:r>
      <w:r>
        <w:t xml:space="preserve"> </w:t>
      </w:r>
      <w:r>
        <w:t xml:space="preserve">at a premium.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Curvature (convexity)</w:t>
      </w:r>
      <w:r>
        <w:t xml:space="preserve"> </w:t>
      </w:r>
      <w:r>
        <w:t xml:space="preserve">is driven by</w:t>
      </w:r>
      <w:r>
        <w:t xml:space="preserve"> </w:t>
      </w:r>
      <w:r>
        <w:rPr>
          <w:rStyle w:val="VerbatimChar"/>
        </w:rPr>
        <w:t xml:space="preserve">nu</w:t>
      </w:r>
      <w:r>
        <w:t xml:space="preserve"> </w:t>
      </w:r>
      <w:r>
        <w:t xml:space="preserve">(0.4), the vol-of-vol. Higher nu</w:t>
      </w:r>
      <w:r>
        <w:t xml:space="preserve"> </w:t>
      </w:r>
      <w:r>
        <w:t xml:space="preserve">produces a more pronounced U-shaped smile, as large moves in either direction become</w:t>
      </w:r>
      <w:r>
        <w:t xml:space="preserve"> </w:t>
      </w:r>
      <w:r>
        <w:t xml:space="preserve">more probable under higher randomness of volatility.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Level</w:t>
      </w:r>
      <w:r>
        <w:t xml:space="preserve"> </w:t>
      </w:r>
      <w:r>
        <w:t xml:space="preserve">is set by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and modulated by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(0.5). With beta=0.5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CEV</w:t>
      </w:r>
      <w:r>
        <w:t xml:space="preserve">”</w:t>
      </w:r>
      <w:r>
        <w:t xml:space="preserve"> </w:t>
      </w:r>
      <w:r>
        <w:t xml:space="preserve">mid-point between normal and log-normal dynamics), the overall vol</w:t>
      </w:r>
      <w:r>
        <w:t xml:space="preserve"> </w:t>
      </w:r>
      <w:r>
        <w:t xml:space="preserve">level scales as</w:t>
      </w:r>
      <w:r>
        <w:t xml:space="preserve"> </w:t>
      </w:r>
      <m:oMath>
        <m:sSup>
          <m:e>
            <m:r>
              <m:t>F</m:t>
            </m:r>
          </m:e>
          <m:sup>
            <m:r>
              <m:t>β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causing vol to rise for low forward prices.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Maturity flattening:</w:t>
      </w:r>
      <w:r>
        <w:t xml:space="preserve"> </w:t>
      </w:r>
      <w:r>
        <w:t xml:space="preserve">longer maturities show a flatter smile because the</w:t>
      </w:r>
      <w:r>
        <w:t xml:space="preserve"> </w:t>
      </w:r>
      <w:r>
        <w:t xml:space="preserve">time-averaged effect of stochastic vol mean-reverts. The 6M smile is steepest;</w:t>
      </w:r>
      <w:r>
        <w:t xml:space="preserve"> </w:t>
      </w:r>
      <w:r>
        <w:t xml:space="preserve">2Y is the most compressed.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Dots</w:t>
      </w:r>
      <w:r>
        <w:t xml:space="preserve"> </w:t>
      </w:r>
      <w:r>
        <w:t xml:space="preserve">mark the discrete calibration strikes. The smooth curve is the Hagan</w:t>
      </w:r>
      <w:r>
        <w:t xml:space="preserve"> </w:t>
      </w:r>
      <w:r>
        <w:t xml:space="preserve">et al. (2002) closed-form approximation evaluated on a dense grid.</w:t>
      </w:r>
    </w:p>
    <w:p>
      <w:r>
        <w:pict>
          <v:rect style="width:0;height:1.5pt" o:hralign="center" o:hrstd="t" o:hr="t"/>
        </w:pict>
      </w:r>
    </w:p>
    <w:bookmarkEnd w:id="45"/>
    <w:bookmarkStart w:id="46" w:name="surface-diagnostics"/>
    <w:p>
      <w:pPr>
        <w:pStyle w:val="Heading2"/>
      </w:pPr>
      <w:r>
        <w:t xml:space="preserve">Surface Diagnostics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Check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Arbitrage-free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PASSED ✓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Vol min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0.1797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Vol max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0.2815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Issues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3" w:name="model-comparison-vanilla-grid"/>
    <w:p>
      <w:pPr>
        <w:pStyle w:val="Heading2"/>
      </w:pPr>
      <w:r>
        <w:t xml:space="preserve">Model Comparison — Vanilla Grid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TradeId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Maturity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Strike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NPV_SABR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NPV_LV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AbsDiff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ModelError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VAN_1Y_60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0.228052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0.210169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0.017883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0.003632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VAN_1Y_70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70.000000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0.624936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0.620158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0.004778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0.000440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VAN_1Y_80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1.557125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1.556036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0.001089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0.000054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VAN_1Y_90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3.499416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3.499318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0.000098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0.000003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VAN_1Y_100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8.995875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8.997082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0.001206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-0.000031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VAN_1Y_110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4.645724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4.646270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0.000546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-0.000014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VAN_1Y_120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120.000000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2.110572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2.110820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0.000247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VAN_1Y_130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130.000000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0.864457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0.864632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0.000174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-0.000009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VAN_1Y_140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140.000000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0.331492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0.331611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0.000119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-0.000012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VAN_2Y_60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1.135977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0.983422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0.152555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0.009412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VAN_2Y_70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70.000000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2.040891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1.965461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0.075430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0.003007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VAN_2Y_80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3.534482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3.504913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0.029569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0.000827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5.892308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5.880547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0.011761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0.000253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VAN_2Y_100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13.332775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13.331231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0.001544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0.000028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VAN_2Y_110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8.604184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8.604423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0.000240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-0.000004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VAN_2Y_120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120.000000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5.255354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5.255616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0.000263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-0.000005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VAN_2Y_130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130.000000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3.085710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3.085241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0.000469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0.000011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VAN_2Y_140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140.000000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1.776831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1.774387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0.002444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0.000074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VAN_6M_60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0.018396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0.017907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0.000489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0.000756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VAN_6M_70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70.000000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0.108026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0.108051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0.000024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-0.000008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VAN_6M_80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0.505706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0.505785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0.000079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-0.000009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VAN_6M_90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1.847034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1.847320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0.000286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-0.000014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VAN_6M_100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6.175893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6.176979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0.001086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-0.000039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VAN_6M_110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2.286260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2.286682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0.000421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-0.000017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VAN_6M_120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120.000000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0.635936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0.636108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0.000172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-0.000013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VAN_6M_130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130.000000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0.137942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0.138065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0.000122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-0.000026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VAN_6M_140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140.000000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0.025120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0.025197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0.000077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-0.000060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</w:tbl>
    <w:p>
      <w:pPr>
        <w:pStyle w:val="CaptionedFigure"/>
        <w:spacing w:before="160" w:after="160"/>
        <w:jc w:val="center"/>
      </w:pPr>
      <w:r>
        <w:drawing>
          <wp:inline>
            <wp:extent cx="5486400" cy="5486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SABR vs LV NPV Scatter</w:t>
      </w:r>
    </w:p>
    <w:p>
      <w:pPr>
        <w:pStyle w:val="BodyText"/>
      </w:pPr>
      <w:r>
        <w:rPr>
          <w:bCs/>
          <w:b/>
        </w:rPr>
        <w:t xml:space="preserve">NPV scatter interpretation:</w:t>
      </w:r>
    </w:p>
    <w:p>
      <w:pPr>
        <w:pStyle w:val="BodyText"/>
      </w:pPr>
      <w:r>
        <w:t xml:space="preserve">Points clustered tightly on the 45° diagonal confirm that the Dupire local vol</w:t>
      </w:r>
      <w:r>
        <w:t xml:space="preserve"> </w:t>
      </w:r>
      <w:r>
        <w:t xml:space="preserve">surface was correctly constructed from the SABR smile — in theory, any arbitrage-free</w:t>
      </w:r>
      <w:r>
        <w:t xml:space="preserve"> </w:t>
      </w:r>
      <w:r>
        <w:t xml:space="preserve">implied vol surface uniquely determines a local vol surface (Dupire 1994) that</w:t>
      </w:r>
      <w:r>
        <w:t xml:space="preserve"> </w:t>
      </w:r>
      <w:r>
        <w:t xml:space="preserve">reproduces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vanilla prices exactly. The tight agreement here validates that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BlackVarianceSurface → NoExceptLocalVolSurface</w:t>
      </w:r>
      <w:r>
        <w:t xml:space="preserve"> </w:t>
      </w:r>
      <w:r>
        <w:t xml:space="preserve">pipeline is numerically sound.</w:t>
      </w:r>
    </w:p>
    <w:p>
      <w:pPr>
        <w:pStyle w:val="BodyText"/>
      </w:pPr>
      <w:r>
        <w:t xml:space="preserve">Residual deviations at the bottom-left of the scatter (low NPV, deep OTM options)</w:t>
      </w:r>
      <w:r>
        <w:t xml:space="preserve"> </w:t>
      </w:r>
      <w:r>
        <w:t xml:space="preserve">arise for two reasons: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Boundary extrapolation</w:t>
      </w:r>
      <w:r>
        <w:t xml:space="preserve">: The dense surface grid has finite extent. Beyond the</w:t>
      </w:r>
      <w:r>
        <w:t xml:space="preserve"> </w:t>
      </w:r>
      <w:r>
        <w:t xml:space="preserve">grid boundary (very low strikes, long maturities), QuantLib extrapolates flatly,</w:t>
      </w:r>
      <w:r>
        <w:t xml:space="preserve"> </w:t>
      </w:r>
      <w:r>
        <w:t xml:space="preserve">causing the LV surface to diverge from the SABR model.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FD discretisation error</w:t>
      </w:r>
      <w:r>
        <w:t xml:space="preserve">: The finite-difference engine uses a fixed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×</m:t>
            </m:r>
            <m:r>
              <m:t>X</m:t>
            </m:r>
          </m:e>
        </m:d>
      </m:oMath>
      <w:r>
        <w:t xml:space="preserve"> </w:t>
      </w:r>
      <w:r>
        <w:t xml:space="preserve">grid of 200×200. Deep OTM options with small NPV</w:t>
      </w:r>
      <w:r>
        <w:t xml:space="preserve"> </w:t>
      </w:r>
      <w:r>
        <w:t xml:space="preserve">accumulate larger relative discretisation error.</w:t>
      </w:r>
    </w:p>
    <w:p>
      <w:pPr>
        <w:pStyle w:val="CaptionedFigure"/>
        <w:spacing w:before="160" w:after="160"/>
        <w:jc w:val="center"/>
      </w:pPr>
      <w:r>
        <w:drawing>
          <wp:inline>
            <wp:extent cx="5486400" cy="30861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Error by Strike</w:t>
      </w:r>
    </w:p>
    <w:p>
      <w:pPr>
        <w:pStyle w:val="BodyText"/>
      </w:pPr>
      <w:r>
        <w:rPr>
          <w:bCs/>
          <w:b/>
        </w:rPr>
        <w:t xml:space="preserve">Model error by strike interpretation:</w:t>
      </w:r>
    </w:p>
    <w:p>
      <w:pPr>
        <w:pStyle w:val="BodyText"/>
      </w:pPr>
      <w:r>
        <w:t xml:space="preserve">Vega-normalised model error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nor/>
                    <m:sty m:val="p"/>
                  </m:rPr>
                  <m:t>NPV</m:t>
                </m:r>
              </m:e>
              <m:sub>
                <m:r>
                  <m:rPr>
                    <m:nor/>
                    <m:sty m:val="p"/>
                  </m:rPr>
                  <m:t>SABR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nor/>
                    <m:sty m:val="p"/>
                  </m:rPr>
                  <m:t>NPV</m:t>
                </m:r>
              </m:e>
              <m:sub>
                <m:r>
                  <m:rPr>
                    <m:nor/>
                    <m:sty m:val="p"/>
                  </m:rPr>
                  <m:t>LV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Vega</m:t>
            </m:r>
          </m:e>
        </m:d>
      </m:oMath>
      <w:r>
        <w:t xml:space="preserve"> </w:t>
      </w:r>
      <w:r>
        <w:t xml:space="preserve">is plotted per maturity. Several features are notable: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Near-ATM (K ≈ 100):</w:t>
      </w:r>
      <w:r>
        <w:t xml:space="preserve"> </w:t>
      </w:r>
      <w:r>
        <w:t xml:space="preserve">errors are smallest — both models are anchored to the same</w:t>
      </w:r>
      <w:r>
        <w:t xml:space="preserve"> </w:t>
      </w:r>
      <w:r>
        <w:t xml:space="preserve">ATM vol point, and FD/analytic Greeks converge well there.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Deep OTM wings:</w:t>
      </w:r>
      <w:r>
        <w:t xml:space="preserve"> </w:t>
      </w:r>
      <w:r>
        <w:t xml:space="preserve">errors grow as vega → 0. Even tiny absolute NPV differences</w:t>
      </w:r>
      <w:r>
        <w:t xml:space="preserve"> </w:t>
      </w:r>
      <w:r>
        <w:t xml:space="preserve">produce large normalised errors when vega is near zero, which inflates the metric for</w:t>
      </w:r>
      <w:r>
        <w:t xml:space="preserve"> </w:t>
      </w:r>
      <w:r>
        <w:t xml:space="preserve">out-of-the-money options. The absolute price difference (</w:t>
      </w:r>
      <w:r>
        <w:rPr>
          <w:rStyle w:val="VerbatimChar"/>
        </w:rPr>
        <w:t xml:space="preserve">AbsDiff</w:t>
      </w:r>
      <w:r>
        <w:t xml:space="preserve">) for these trades</w:t>
      </w:r>
      <w:r>
        <w:t xml:space="preserve"> </w:t>
      </w:r>
      <w:r>
        <w:t xml:space="preserve">is typically sub-cent.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2Y maturity shows the largest spread:</w:t>
      </w:r>
      <w:r>
        <w:t xml:space="preserve"> </w:t>
      </w:r>
      <w:r>
        <w:t xml:space="preserve">the local vol surface is sampled over a</w:t>
      </w:r>
      <w:r>
        <w:t xml:space="preserve"> </w:t>
      </w:r>
      <w:r>
        <w:t xml:space="preserve">longer period, accumulating more numerical integration error along the Dupire PDE,</w:t>
      </w:r>
      <w:r>
        <w:t xml:space="preserve"> </w:t>
      </w:r>
      <w:r>
        <w:t xml:space="preserve">and the SABR ↔ LV forward vol disagreement grows with time horizon.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Sign flip (positive for puts, negative for calls):</w:t>
      </w:r>
      <w:r>
        <w:t xml:space="preserve"> </w:t>
      </w:r>
      <w:r>
        <w:t xml:space="preserve">SABR slightly over-prices</w:t>
      </w:r>
      <w:r>
        <w:t xml:space="preserve"> </w:t>
      </w:r>
      <w:r>
        <w:t xml:space="preserve">deep OTM puts relative to LV (positive error) and under-prices OTM calls (negative</w:t>
      </w:r>
      <w:r>
        <w:t xml:space="preserve"> </w:t>
      </w:r>
      <w:r>
        <w:t xml:space="preserve">error). This reflects LV’s tendency to produce a flatter smile than SABR in the wings.</w:t>
      </w:r>
    </w:p>
    <w:p>
      <w:r>
        <w:pict>
          <v:rect style="width:0;height:1.5pt" o:hralign="center" o:hrstd="t" o:hr="t"/>
        </w:pict>
      </w:r>
    </w:p>
    <w:bookmarkEnd w:id="53"/>
    <w:bookmarkStart w:id="54" w:name="validation-metrics-by-maturity-vanillas"/>
    <w:p>
      <w:pPr>
        <w:pStyle w:val="Heading2"/>
      </w:pPr>
      <w:r>
        <w:t xml:space="preserve">Validation Metrics by Maturity (Vanillas)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Maturity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RMSE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0.001220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0.003306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0.000253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8" w:name="validation-metrics-by-product-type"/>
    <w:p>
      <w:pPr>
        <w:pStyle w:val="Heading2"/>
      </w:pPr>
      <w:r>
        <w:t xml:space="preserve">Validation Metrics by Product 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ProductType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RMSE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MeanError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MaxAbsError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StdError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N_Failed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PassRate_%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Asian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0.011769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0.011769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nan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Barrier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0.011769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0.011769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ForwardStart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0.016786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-0.016786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0.016786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nan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Vanilla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27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0.002040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0.000675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0.009412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0.001962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</w:tr>
    </w:tbl>
    <w:p>
      <w:pPr>
        <w:pStyle w:val="CaptionedFigure"/>
        <w:spacing w:before="160" w:after="160"/>
        <w:jc w:val="center"/>
      </w:pPr>
      <w:r>
        <w:drawing>
          <wp:inline>
            <wp:extent cx="5486400" cy="313508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RMSE by Product Type</w:t>
      </w:r>
    </w:p>
    <w:p>
      <w:pPr>
        <w:pStyle w:val="BodyText"/>
      </w:pPr>
      <w:r>
        <w:rPr>
          <w:bCs/>
          <w:b/>
        </w:rPr>
        <w:t xml:space="preserve">Product-level RMSE interpretation: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Vanilla options</w:t>
      </w:r>
      <w:r>
        <w:t xml:space="preserve"> </w:t>
      </w:r>
      <w:r>
        <w:t xml:space="preserve">show the smallest RMSE. These are the instruments used to</w:t>
      </w:r>
      <w:r>
        <w:t xml:space="preserve"> </w:t>
      </w:r>
      <w:r>
        <w:t xml:space="preserve">calibrate both models — any well-implemented LV surface derived from SABR should</w:t>
      </w:r>
      <w:r>
        <w:t xml:space="preserve"> </w:t>
      </w:r>
      <w:r>
        <w:t xml:space="preserve">reproduce vanilla prices to high accuracy, and this is confirmed here.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Barrier options</w:t>
      </w:r>
      <w:r>
        <w:t xml:space="preserve"> </w:t>
      </w:r>
      <w:r>
        <w:t xml:space="preserve">carry a larger error than vanillas because their price depends</w:t>
      </w:r>
      <w:r>
        <w:t xml:space="preserve"> </w:t>
      </w:r>
      <w:r>
        <w:t xml:space="preserve">on the</w:t>
      </w:r>
      <w:r>
        <w:t xml:space="preserve"> </w:t>
      </w:r>
      <w:r>
        <w:rPr>
          <w:iCs/>
          <w:i/>
        </w:rPr>
        <w:t xml:space="preserve">path</w:t>
      </w:r>
      <w:r>
        <w:t xml:space="preserve"> </w:t>
      </w:r>
      <w:r>
        <w:t xml:space="preserve">of the underlying, not just its terminal distribution. The local vol</w:t>
      </w:r>
      <w:r>
        <w:t xml:space="preserve"> </w:t>
      </w:r>
      <w:r>
        <w:t xml:space="preserve">model assigns different weight to paths near the barrier than SABR does, since</w:t>
      </w:r>
      <w:r>
        <w:t xml:space="preserve"> </w:t>
      </w:r>
      <w:r>
        <w:t xml:space="preserve">SABR’s stochastic vol creates path-dependent vol clustering that LV cannot replicate.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Asian options</w:t>
      </w:r>
      <w:r>
        <w:t xml:space="preserve"> </w:t>
      </w:r>
      <w:r>
        <w:t xml:space="preserve">show a similar order of error to barriers. Arithmetic averaging</w:t>
      </w:r>
      <w:r>
        <w:t xml:space="preserve"> </w:t>
      </w:r>
      <w:r>
        <w:t xml:space="preserve">reduces sensitivity to terminal vol, but increases sensitivity to the vol of realized</w:t>
      </w:r>
      <w:r>
        <w:t xml:space="preserve"> </w:t>
      </w:r>
      <w:r>
        <w:t xml:space="preserve">variance along the path — again an area where SABR and LV differ.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ForwardStart options</w:t>
      </w:r>
      <w:r>
        <w:t xml:space="preserve"> </w:t>
      </w:r>
      <w:r>
        <w:t xml:space="preserve">show the largest error. See the analysis section below.</w:t>
      </w:r>
    </w:p>
    <w:p>
      <w:pPr>
        <w:pStyle w:val="BlockText"/>
      </w:pPr>
      <w:r>
        <w:rPr>
          <w:bCs/>
          <w:b/>
        </w:rPr>
        <w:t xml:space="preserve">Threshold logic:</w:t>
      </w:r>
      <w:r>
        <w:t xml:space="preserve"> </w:t>
      </w:r>
      <w:r>
        <w:t xml:space="preserve">Vanilla errors above 10% would indicate a flaw in the LV</w:t>
      </w:r>
      <w:r>
        <w:t xml:space="preserve"> </w:t>
      </w:r>
      <w:r>
        <w:t xml:space="preserve">surface construction or pricing engine. Exotic errors up to 20% are accepted as</w:t>
      </w:r>
      <w:r>
        <w:t xml:space="preserve"> </w:t>
      </w:r>
      <w:r>
        <w:t xml:space="preserve">structural model risk — these products are inherently sensitive to smile dynamics</w:t>
      </w:r>
      <w:r>
        <w:t xml:space="preserve"> </w:t>
      </w:r>
      <w:r>
        <w:t xml:space="preserve">that the two models represent differently by design.</w:t>
      </w:r>
    </w:p>
    <w:p>
      <w:r>
        <w:pict>
          <v:rect style="width:0;height:1.5pt" o:hralign="center" o:hrstd="t" o:hr="t"/>
        </w:pict>
      </w:r>
    </w:p>
    <w:bookmarkEnd w:id="58"/>
    <w:bookmarkStart w:id="59" w:name="worst-trades-top-5-by-diff"/>
    <w:p>
      <w:pPr>
        <w:pStyle w:val="Heading2"/>
      </w:pPr>
      <w:r>
        <w:t xml:space="preserve">Worst Trades (Top 5 by |Diff|)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TradeId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ProductType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NPV_SABR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NPV_LV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ModelError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FWDSTART_6M_18M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ForwardStart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11.159010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11.346329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-0.016786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VAN_2Y_60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Vanilla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1.135977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0.983422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0.009412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BAR_Up_120_1Y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Barrier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BAR_Up_130_1Y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Barrier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BAR_Do_80_1Y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Barrier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ath-dependent-trade-results"/>
    <w:p>
      <w:pPr>
        <w:pStyle w:val="Heading2"/>
      </w:pPr>
      <w:r>
        <w:t xml:space="preserve">Path-Dependent Trade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TradeId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Maturity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Strike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NPV_SABR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NPV_LV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AbsDiff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ModelError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ASIAN_ATM_1Y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0.104897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BAR_Up_120_1Y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0.104897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BAR_Up_130_1Y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0.104897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BAR_Do_80_1Y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1Y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8.912821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9.017718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0.104897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-0.011769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FWDSTART_6M_18M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6M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100.000000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11.159010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11.346329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0.187319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-0.016786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5" w:name="Xbe58608548467483872cfac8a6043d36c83c0ce"/>
    <w:p>
      <w:pPr>
        <w:pStyle w:val="Heading2"/>
      </w:pPr>
      <w:r>
        <w:t xml:space="preserve">Model Risk Analysis: Why ForwardStart Shows the Largest Error</w:t>
      </w:r>
    </w:p>
    <w:p>
      <w:pPr>
        <w:pStyle w:val="FirstParagraph"/>
      </w:pPr>
      <w:r>
        <w:t xml:space="preserve">The forward-start option (</w:t>
      </w:r>
      <w:r>
        <w:rPr>
          <w:rStyle w:val="VerbatimChar"/>
        </w:rPr>
        <w:t xml:space="preserve">FWDSTART_6M_18M</w:t>
      </w:r>
      <w:r>
        <w:t xml:space="preserve">) prices an at-the-money option whose</w:t>
      </w:r>
      <w:r>
        <w:t xml:space="preserve"> </w:t>
      </w:r>
      <w:r>
        <w:t xml:space="preserve">strike is</w:t>
      </w:r>
      <w:r>
        <w:t xml:space="preserve"> </w:t>
      </w:r>
      <w:r>
        <w:rPr>
          <w:iCs/>
          <w:i/>
        </w:rPr>
        <w:t xml:space="preserve">set at the spot level prevailing at T=6M</w:t>
      </w:r>
      <w:r>
        <w:t xml:space="preserve">, with the option then expiring</w:t>
      </w:r>
      <w:r>
        <w:t xml:space="preserve"> </w:t>
      </w:r>
      <w:r>
        <w:t xml:space="preserve">at T=18M. The payoff is therefore: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18</m:t>
                      </m:r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6</m:t>
                      </m:r>
                      <m: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This means pricing depends entirely on the</w:t>
      </w:r>
      <w:r>
        <w:t xml:space="preserve"> </w:t>
      </w:r>
      <w:r>
        <w:rPr>
          <w:bCs/>
          <w:b/>
        </w:rPr>
        <w:t xml:space="preserve">forward implied vol over the period</w:t>
      </w:r>
      <w:r>
        <w:rPr>
          <w:bCs/>
          <w:b/>
        </w:rPr>
        <w:t xml:space="preserve"> </w:t>
      </w:r>
      <w:r>
        <w:rPr>
          <w:bCs/>
          <w:b/>
        </w:rPr>
        <w:t xml:space="preserve">[6M, 18M]</w:t>
      </w:r>
      <w:r>
        <w:t xml:space="preserve"> </w:t>
      </w:r>
      <w:r>
        <w:t xml:space="preserve">— i.e., the volatility smile as it will be observed</w:t>
      </w:r>
      <w:r>
        <w:t xml:space="preserve"> </w:t>
      </w:r>
      <w:r>
        <w:rPr>
          <w:iCs/>
          <w:i/>
        </w:rPr>
        <w:t xml:space="preserve">in the future</w:t>
      </w:r>
      <w:r>
        <w:t xml:space="preserve">, not</w:t>
      </w:r>
      <w:r>
        <w:t xml:space="preserve"> </w:t>
      </w:r>
      <w:r>
        <w:t xml:space="preserve">today. This is precisely where SABR and Local Vol diverge most fundamentally.</w:t>
      </w:r>
    </w:p>
    <w:bookmarkStart w:id="61" w:name="the-forward-smile-problem"/>
    <w:p>
      <w:pPr>
        <w:pStyle w:val="Heading3"/>
      </w:pPr>
      <w:r>
        <w:t xml:space="preserve">1. The Forward Smile Problem</w:t>
      </w:r>
    </w:p>
    <w:p>
      <w:pPr>
        <w:pStyle w:val="FirstParagraph"/>
      </w:pPr>
      <w:r>
        <w:t xml:space="preserve">Both models are calibrated to reproduce today’s vanilla prices identically (within</w:t>
      </w:r>
      <w:r>
        <w:t xml:space="preserve"> </w:t>
      </w:r>
      <w:r>
        <w:t xml:space="preserve">calibration RMSE). However, they make very different predictions about how the smile</w:t>
      </w:r>
      <w:r>
        <w:t xml:space="preserve"> </w:t>
      </w:r>
      <w:r>
        <w:t xml:space="preserve">will look at a future date: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Dupire Local Vol</w:t>
      </w:r>
      <w:r>
        <w:t xml:space="preserve"> </w:t>
      </w:r>
      <w:r>
        <w:t xml:space="preserve">encodes all future smile evolution deterministically in the</w:t>
      </w:r>
      <w:r>
        <w:t xml:space="preserve"> </w:t>
      </w:r>
      <w:r>
        <w:t xml:space="preserve">local vol function</w:t>
      </w:r>
      <w:r>
        <w:t xml:space="preserve"> </w:t>
      </w:r>
      <m:oMath>
        <m:sSub>
          <m:e>
            <m:r>
              <m:t>σ</m:t>
            </m:r>
          </m:e>
          <m:sub>
            <m:r>
              <m:t>L</m:t>
            </m:r>
            <m:r>
              <m:t>V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. Once the surface is fixed today, the</w:t>
      </w:r>
      <w:r>
        <w:t xml:space="preserve"> </w:t>
      </w:r>
      <w:r>
        <w:t xml:space="preserve">entire future smile dynamics are fully determined. Under LV, the conditional</w:t>
      </w:r>
      <w:r>
        <w:t xml:space="preserve"> </w:t>
      </w:r>
      <w:r>
        <w:t xml:space="preserve">distribution of</w:t>
      </w:r>
      <w:r>
        <w:t xml:space="preserve"> </w:t>
      </w:r>
      <m:oMath>
        <m:sSub>
          <m:e>
            <m:r>
              <m:t>S</m:t>
            </m:r>
          </m:e>
          <m:sub>
            <m:r>
              <m:t>18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6</m:t>
            </m:r>
            <m:r>
              <m:t>M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  <m:r>
              <m:t>M</m:t>
            </m:r>
          </m:sub>
        </m:sSub>
      </m:oMath>
      <w:r>
        <w:t xml:space="preserve"> </w:t>
      </w:r>
      <w:r>
        <w:t xml:space="preserve">corresponds to a</w:t>
      </w:r>
      <w:r>
        <w:t xml:space="preserve"> </w:t>
      </w:r>
      <w:r>
        <w:rPr>
          <w:bCs/>
          <w:b/>
        </w:rPr>
        <w:t xml:space="preserve">near-flat</w:t>
      </w:r>
      <w:r>
        <w:rPr>
          <w:bCs/>
          <w:b/>
        </w:rPr>
        <w:t xml:space="preserve"> </w:t>
      </w:r>
      <w:r>
        <w:rPr>
          <w:bCs/>
          <w:b/>
        </w:rPr>
        <w:t xml:space="preserve">forward smile</w:t>
      </w:r>
      <w:r>
        <w:t xml:space="preserve"> </w:t>
      </w:r>
      <w:r>
        <w:t xml:space="preserve">— LV systematically predicts that skew will flatten in the future.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SABR</w:t>
      </w:r>
      <w:r>
        <w:t xml:space="preserve"> </w:t>
      </w:r>
      <w:r>
        <w:t xml:space="preserve">evolves vol stochastically via</w:t>
      </w:r>
      <w:r>
        <w:t xml:space="preserve"> </w:t>
      </w:r>
      <m:oMath>
        <m:r>
          <m:t>d</m:t>
        </m:r>
        <m:r>
          <m:t>σ</m:t>
        </m:r>
        <m:r>
          <m:rPr>
            <m:sty m:val="p"/>
          </m:rPr>
          <m:t>=</m:t>
        </m:r>
        <m:r>
          <m:t>ν</m:t>
        </m:r>
        <m:r>
          <m:t>σ</m:t>
        </m:r>
        <m:r>
          <m:t> </m:t>
        </m:r>
        <m:r>
          <m:t>d</m:t>
        </m:r>
        <m:sSup>
          <m:e>
            <m:r>
              <m:t>W</m:t>
            </m:r>
          </m:e>
          <m:sup>
            <m:r>
              <m:t>σ</m:t>
            </m:r>
          </m:sup>
        </m:sSup>
      </m:oMath>
      <w:r>
        <w:t xml:space="preserve">,</w:t>
      </w:r>
      <w:r>
        <w:t xml:space="preserve"> </w:t>
      </w:r>
      <w:r>
        <w:t xml:space="preserve">correlated with the spot via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 The vol process has memory: a</w:t>
      </w:r>
      <w:r>
        <w:t xml:space="preserve"> </w:t>
      </w:r>
      <w:r>
        <w:t xml:space="preserve">high-vol regime at T=6M generates a skewed conditional distribution at T=18M. SABR</w:t>
      </w:r>
      <w:r>
        <w:t xml:space="preserve"> </w:t>
      </w:r>
      <w:r>
        <w:t xml:space="preserve">predicts a</w:t>
      </w:r>
      <w:r>
        <w:t xml:space="preserve"> </w:t>
      </w:r>
      <w:r>
        <w:rPr>
          <w:bCs/>
          <w:b/>
        </w:rPr>
        <w:t xml:space="preserve">forward smile that preserves much of the current skew structure</w:t>
      </w:r>
      <w:r>
        <w:t xml:space="preserve">.</w:t>
      </w:r>
    </w:p>
    <w:bookmarkEnd w:id="61"/>
    <w:bookmarkStart w:id="62" w:name="quantitative-impact"/>
    <w:p>
      <w:pPr>
        <w:pStyle w:val="Heading3"/>
      </w:pPr>
      <w:r>
        <w:t xml:space="preserve">2. Quantitative Impact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864"/>
          </w:tcPr>
          <w:p>
            <w:pPr>
              <w:pStyle w:val="Compact"/>
              <w:spacing w:before="40" w:after="40"/>
            </w:pP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SABR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Local Vol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Difference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ForwardStart NPV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11.1590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11.3463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-0.1873</w:t>
            </w:r>
          </w:p>
        </w:tc>
      </w:tr>
      <w:tr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Vega-normalised error</w:t>
            </w: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</w:pP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</w:pPr>
          </w:p>
        </w:tc>
        <w:tc>
          <w:tcPr>
            <w:shd w:val="clear" w:color="auto" w:fill="EBF3FB"/>
          </w:tcPr>
          <w:p>
            <w:pPr>
              <w:pStyle w:val="Compact"/>
              <w:spacing w:before="40" w:after="40"/>
              <w:jc w:val="left"/>
            </w:pPr>
            <w:r>
              <w:rPr>
                <w:rFonts w:ascii="Calibri" w:hAnsi="Calibri"/>
                <w:sz w:val="20"/>
              </w:rPr>
              <w:t xml:space="preserve">-0.0168</w:t>
            </w:r>
          </w:p>
        </w:tc>
      </w:tr>
    </w:tbl>
    <w:p>
      <w:pPr>
        <w:pStyle w:val="BodyText"/>
      </w:pPr>
      <w:r>
        <w:t xml:space="preserve">SABR prices the forward-start</w:t>
      </w:r>
      <w:r>
        <w:t xml:space="preserve"> </w:t>
      </w:r>
      <w:r>
        <w:rPr>
          <w:bCs/>
          <w:b/>
        </w:rPr>
        <w:t xml:space="preserve">lower</w:t>
      </w:r>
      <w:r>
        <w:t xml:space="preserve"> </w:t>
      </w:r>
      <w:r>
        <w:t xml:space="preserve">than Local Vol here. Under SABR, the</w:t>
      </w:r>
      <w:r>
        <w:t xml:space="preserve"> </w:t>
      </w:r>
      <w:r>
        <w:t xml:space="preserve">negative rho (-0.3) means that when the market rallies to a new spot level at</w:t>
      </w:r>
      <w:r>
        <w:t xml:space="preserve"> </w:t>
      </w:r>
      <w:r>
        <w:t xml:space="preserve">T=6M, the conditional vol at that future spot is lower (negative spot-vol correlation</w:t>
      </w:r>
      <w:r>
        <w:t xml:space="preserve"> </w:t>
      </w:r>
      <w:r>
        <w:t xml:space="preserve">moves vol down when spot moves up). This compresses the forward ATM vol seen by the</w:t>
      </w:r>
      <w:r>
        <w:t xml:space="preserve"> </w:t>
      </w:r>
      <w:r>
        <w:t xml:space="preserve">option. LV does not reproduce this spot-vol dynamic faithfully — its flat forward</w:t>
      </w:r>
      <w:r>
        <w:t xml:space="preserve"> </w:t>
      </w:r>
      <w:r>
        <w:t xml:space="preserve">smile produces a higher effective ATM vol for the forward-starting window, inflating</w:t>
      </w:r>
      <w:r>
        <w:t xml:space="preserve"> </w:t>
      </w:r>
      <w:r>
        <w:t xml:space="preserve">the price.</w:t>
      </w:r>
    </w:p>
    <w:bookmarkEnd w:id="62"/>
    <w:bookmarkStart w:id="63" w:name="role-of-nu-0.4"/>
    <w:p>
      <w:pPr>
        <w:pStyle w:val="Heading3"/>
      </w:pPr>
      <w:r>
        <w:t xml:space="preserve">3. Role of nu = 0.4</w:t>
      </w:r>
    </w:p>
    <w:p>
      <w:pPr>
        <w:pStyle w:val="FirstParagraph"/>
      </w:pPr>
      <w:r>
        <w:t xml:space="preserve">The vol-of-vol parameter</w:t>
      </w:r>
      <w:r>
        <w:t xml:space="preserve"> </w:t>
      </w:r>
      <w:r>
        <w:rPr>
          <w:rStyle w:val="VerbatimChar"/>
        </w:rPr>
        <w:t xml:space="preserve">nu = 0.4</w:t>
      </w:r>
      <w:r>
        <w:t xml:space="preserve"> </w:t>
      </w:r>
      <w:r>
        <w:t xml:space="preserve">is the primary driver of the magnitude of</w:t>
      </w:r>
      <w:r>
        <w:t xml:space="preserve"> </w:t>
      </w:r>
      <w:r>
        <w:t xml:space="preserve">this divergence. Higher nu means:</w:t>
      </w:r>
      <w:r>
        <w:t xml:space="preserve"> </w:t>
      </w:r>
      <w:r>
        <w:t xml:space="preserve">- SABR’s future vol distribution is wider and more skewed</w:t>
      </w:r>
      <w:r>
        <w:t xml:space="preserve"> </w:t>
      </w:r>
      <w:r>
        <w:t xml:space="preserve">- The forward smile under SABR retains more curvature and skew</w:t>
      </w:r>
      <w:r>
        <w:t xml:space="preserve"> </w:t>
      </w:r>
      <w:r>
        <w:t xml:space="preserve">- LV’s deterministic forward smile is increasingly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relative to SABR</w:t>
      </w:r>
    </w:p>
    <w:p>
      <w:pPr>
        <w:pStyle w:val="BodyText"/>
      </w:pPr>
      <w:r>
        <w:t xml:space="preserve">With nu=0.4 (moderate-to-high vol-of-vol for an equity index), the divergence</w:t>
      </w:r>
      <w:r>
        <w:t xml:space="preserve"> </w:t>
      </w:r>
      <w:r>
        <w:t xml:space="preserve">between the two models for the 12M forward-start window is material but within the</w:t>
      </w:r>
      <w:r>
        <w:t xml:space="preserve"> </w:t>
      </w:r>
      <w:r>
        <w:t xml:space="preserve">accepted 20% exotic threshold.</w:t>
      </w:r>
    </w:p>
    <w:bookmarkEnd w:id="63"/>
    <w:bookmarkStart w:id="64" w:name="industry-context"/>
    <w:p>
      <w:pPr>
        <w:pStyle w:val="Heading3"/>
      </w:pPr>
      <w:r>
        <w:t xml:space="preserve">4. Industry Context</w:t>
      </w:r>
    </w:p>
    <w:p>
      <w:pPr>
        <w:pStyle w:val="FirstParagraph"/>
      </w:pPr>
      <w:r>
        <w:t xml:space="preserve">This is the well-known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cliquet / forward-start problem</w:t>
      </w:r>
      <w:r>
        <w:rPr>
          <w:bCs/>
          <w:b/>
        </w:rPr>
        <w:t xml:space="preserve">”</w:t>
      </w:r>
      <w:r>
        <w:t xml:space="preserve"> </w:t>
      </w:r>
      <w:r>
        <w:t xml:space="preserve">with local vol models,</w:t>
      </w:r>
      <w:r>
        <w:t xml:space="preserve"> </w:t>
      </w:r>
      <w:r>
        <w:t xml:space="preserve">first documented by Derman &amp; Kani (1994) and Hagan et al. (2002). It is the primary</w:t>
      </w:r>
      <w:r>
        <w:t xml:space="preserve"> </w:t>
      </w:r>
      <w:r>
        <w:t xml:space="preserve">reason practitioners use</w:t>
      </w:r>
      <w:r>
        <w:t xml:space="preserve"> </w:t>
      </w:r>
      <w:r>
        <w:rPr>
          <w:bCs/>
          <w:b/>
        </w:rPr>
        <w:t xml:space="preserve">stochastic-local vol (SLV)</w:t>
      </w:r>
      <w:r>
        <w:t xml:space="preserve"> </w:t>
      </w:r>
      <w:r>
        <w:t xml:space="preserve">hybrid models (e.g.,</w:t>
      </w:r>
      <w:r>
        <w:t xml:space="preserve"> </w:t>
      </w:r>
      <w:r>
        <w:t xml:space="preserve">Heston-LV) for books containing forward-starting or cliquet payoffs — SLV is</w:t>
      </w:r>
      <w:r>
        <w:t xml:space="preserve"> </w:t>
      </w:r>
      <w:r>
        <w:t xml:space="preserve">calibrated to today’s smile like LV but retains stochastic vol dynamics like SABR,</w:t>
      </w:r>
      <w:r>
        <w:t xml:space="preserve"> </w:t>
      </w:r>
      <w:r>
        <w:t xml:space="preserve">bringing the two model prices into closer agreement for path-dependent trades.</w:t>
      </w:r>
    </w:p>
    <w:bookmarkEnd w:id="64"/>
    <w:bookmarkEnd w:id="65"/>
    <w:bookmarkEnd w:id="66"/>
    <w:sectPr>
      <w:headerReference r:id="rId9" w:type="default"/>
      <w:footerReference r:id="rId10" w:type="default"/>
      <w:pgMar w:bottom="1417" w:left="1587" w:right="158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/>
        <w:sz w:val="18"/>
      </w:rPr>
      <w:t xml:space="preserve">Page </w:t>
      <w:fldChar w:fldCharType="begin"/>
      <w:instrText>PAGE</w:instrText>
      <w:fldChar w:fldCharType="end"/>
    </w:r>
    <w:r>
      <w:rPr>
        <w:rFonts w:ascii="Calibri" w:hAnsi="Calibri"/>
        <w:sz w:val="18"/>
      </w:rPr>
      <w:t xml:space="preserve"> of </w:t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1" w:color="2E74B5"/>
      </w:pBdr>
    </w:pPr>
    <w:r>
      <w:rPr>
        <w:rFonts w:ascii="Calibri" w:hAnsi="Calibri"/>
        <w:b/>
        <w:color w:val="1F3864"/>
        <w:sz w:val="18"/>
      </w:rPr>
      <w:t>SABR ↔ Local Vol Consistency Validation Report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80" w:lineRule="exact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1F3864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74B5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2F5496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="Calibri Light" w:asciiTheme="majorHAnsi" w:cstheme="majorBidi" w:eastAsiaTheme="majorEastAsia" w:hAnsi="Calibri Light" w:hAnsiTheme="majorHAnsi"/>
      <w:i/>
      <w:b/>
      <w:bCs/>
      <w:color w:val="2F549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i/>
      <w:color w:val="2F5496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rId29.png"/><Relationship Id="rId25" Type="http://schemas.openxmlformats.org/officeDocument/2006/relationships/image" Target="media/rId25.png"/><Relationship Id="rId33" Type="http://schemas.openxmlformats.org/officeDocument/2006/relationships/image" Target="media/rId33.png"/><Relationship Id="rId50" Type="http://schemas.openxmlformats.org/officeDocument/2006/relationships/image" Target="media/rId50.png"/><Relationship Id="rId47" Type="http://schemas.openxmlformats.org/officeDocument/2006/relationships/image" Target="media/rId47.png"/><Relationship Id="rId55" Type="http://schemas.openxmlformats.org/officeDocument/2006/relationships/image" Target="media/rId55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2026-03-15T19:51:05Z</dcterms:created>
  <dcterms:modified xsi:type="dcterms:W3CDTF">2026-03-15T19:51:05Z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