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rFonts w:ascii="Arial" w:cs="Arial" w:eastAsia="Arial" w:hAnsi="Arial"/>
          <w:b/>
          <w:bCs/>
          <w:color w:val="1F6FA5"/>
          <w:sz w:val="72"/>
          <w:szCs w:val="72"/>
        </w:rPr>
        <w:t xml:space="preserve">Sesame Street</w:t>
      </w:r>
    </w:p>
    <w:p>
      <w:pPr>
        <w:spacing w:after="200"/>
        <w:jc w:val="center"/>
      </w:pPr>
      <w:r>
        <w:rPr>
          <w:rFonts w:ascii="Arial" w:cs="Arial" w:eastAsia="Arial" w:hAnsi="Arial"/>
          <w:color w:val="263849"/>
          <w:sz w:val="32"/>
          <w:szCs w:val="32"/>
        </w:rPr>
        <w:t xml:space="preserve">Private Credit Monitoring Platform</w:t>
      </w:r>
    </w:p>
    <w:p>
      <w:pPr>
        <w:spacing w:after="1600"/>
        <w:jc w:val="center"/>
      </w:pPr>
      <w:r>
        <w:rPr>
          <w:rFonts w:ascii="Arial" w:cs="Arial" w:eastAsia="Arial" w:hAnsi="Arial"/>
          <w:i/>
          <w:iCs/>
          <w:color w:val="56718A"/>
          <w:sz w:val="36"/>
          <w:szCs w:val="36"/>
        </w:rPr>
        <w:t xml:space="preserve">Integrated System Specification — Addendum A</w:t>
      </w:r>
    </w:p>
    <w:p>
      <w:pPr>
        <w:spacing w:after="200"/>
        <w:jc w:val="center"/>
      </w:pPr>
      <w:r>
        <w:rPr>
          <w:rFonts w:ascii="Arial" w:cs="Arial" w:eastAsia="Arial" w:hAnsi="Arial"/>
          <w:color w:val="56718A"/>
          <w:sz w:val="22"/>
          <w:szCs w:val="22"/>
        </w:rPr>
        <w:t xml:space="preserve">Code-level completion pass covering the 10 remaining gaps</w:t>
      </w:r>
    </w:p>
    <w:p>
      <w:pPr>
        <w:spacing w:after="80"/>
        <w:jc w:val="center"/>
      </w:pPr>
      <w:r>
        <w:rPr>
          <w:rFonts w:ascii="Arial" w:cs="Arial" w:eastAsia="Arial" w:hAnsi="Arial"/>
          <w:i/>
          <w:iCs/>
          <w:color w:val="56718A"/>
          <w:sz w:val="20"/>
          <w:szCs w:val="20"/>
        </w:rPr>
        <w:t xml:space="preserve">Document Addendum of 8  ·  Version 1.0  ·  April 2026</w:t>
      </w:r>
    </w:p>
    <w:p>
      <w:pPr>
        <w:pStyle w:val="Heading1"/>
        <w:pageBreakBefore/>
        <w:spacing w:after="180" w:before="240"/>
      </w:pPr>
      <w:r>
        <w:rPr>
          <w:rFonts w:ascii="Arial" w:cs="Arial" w:eastAsia="Arial" w:hAnsi="Arial"/>
          <w:b/>
          <w:bCs/>
          <w:color w:val="1F6FA5"/>
          <w:sz w:val="40"/>
          <w:szCs w:val="40"/>
        </w:rPr>
        <w:t xml:space="preserve">Preface</w:t>
      </w:r>
    </w:p>
    <w:p>
      <w:pPr>
        <w:spacing w:after="140" w:line="280"/>
        <w:jc w:val="both"/>
      </w:pPr>
      <w:r>
        <w:rPr>
          <w:rFonts w:ascii="Arial" w:cs="Arial" w:eastAsia="Arial" w:hAnsi="Arial"/>
          <w:sz w:val="22"/>
          <w:szCs w:val="22"/>
        </w:rPr>
        <w:t xml:space="preserve">This addendum completes the integrated system specification by closing the 10 gaps identified on review: per-endpoint validation, postgres triggers/functions/views, per-deal seed enumeration, scripts/ internals, Dockerfiles + compose + bin scripts verbatim, package dependencies, environment variables, test suite coverage, UI copy / error strings, and client component deep logic.</w:t>
      </w:r>
    </w:p>
    <w:p>
      <w:pPr>
        <w:spacing w:after="140" w:line="280"/>
        <w:jc w:val="both"/>
      </w:pPr>
      <w:r>
        <w:rPr>
          <w:rFonts w:ascii="Arial" w:cs="Arial" w:eastAsia="Arial" w:hAnsi="Arial"/>
          <w:sz w:val="22"/>
          <w:szCs w:val="22"/>
        </w:rPr>
        <w:t xml:space="preserve">Each section is verbatim extraction from the current code — not design narrative. Read alongside the integrated spec.</w:t>
      </w:r>
    </w:p>
    <w:p>
      <w:pPr>
        <w:pStyle w:val="Heading2"/>
        <w:spacing w:after="120" w:before="240"/>
      </w:pPr>
      <w:r>
        <w:rPr>
          <w:rFonts w:ascii="Arial" w:cs="Arial" w:eastAsia="Arial" w:hAnsi="Arial"/>
          <w:b/>
          <w:bCs/>
          <w:color w:val="263849"/>
          <w:sz w:val="30"/>
          <w:szCs w:val="30"/>
        </w:rPr>
        <w:t xml:space="preserve">Extraction method</w:t>
      </w:r>
    </w:p>
    <w:p>
      <w:pPr>
        <w:pStyle w:val="ListParagraph"/>
        <w:numPr>
          <w:ilvl w:val="0"/>
          <w:numId w:val="2"/>
        </w:numPr>
        <w:spacing w:after="60"/>
      </w:pPr>
      <w:r>
        <w:rPr>
          <w:rFonts w:ascii="Arial" w:cs="Arial" w:eastAsia="Arial" w:hAnsi="Arial"/>
          <w:sz w:val="22"/>
          <w:szCs w:val="22"/>
        </w:rPr>
        <w:t xml:space="preserve">Three parallel Explore agents read the repo.</w:t>
      </w:r>
    </w:p>
    <w:p>
      <w:pPr>
        <w:pStyle w:val="ListParagraph"/>
        <w:numPr>
          <w:ilvl w:val="0"/>
          <w:numId w:val="2"/>
        </w:numPr>
        <w:spacing w:after="60"/>
      </w:pPr>
      <w:r>
        <w:rPr>
          <w:rFonts w:ascii="Arial" w:cs="Arial" w:eastAsia="Arial" w:hAnsi="Arial"/>
          <w:sz w:val="22"/>
          <w:szCs w:val="22"/>
        </w:rPr>
        <w:t xml:space="preserve">Only what exists in code is documented — no invention.</w:t>
      </w:r>
    </w:p>
    <w:p>
      <w:pPr>
        <w:pStyle w:val="ListParagraph"/>
        <w:numPr>
          <w:ilvl w:val="0"/>
          <w:numId w:val="2"/>
        </w:numPr>
        <w:spacing w:after="60"/>
      </w:pPr>
      <w:r>
        <w:rPr>
          <w:rFonts w:ascii="Arial" w:cs="Arial" w:eastAsia="Arial" w:hAnsi="Arial"/>
          <w:sz w:val="22"/>
          <w:szCs w:val="22"/>
        </w:rPr>
        <w:t xml:space="preserve">Where an agent reported an absence ("not present", "not seeded"), that fact is preserved.</w:t>
      </w:r>
    </w:p>
    <w:p>
      <w:pPr>
        <w:pStyle w:val="Heading1"/>
        <w:pageBreakBefore/>
        <w:spacing w:after="180" w:before="240"/>
      </w:pPr>
      <w:r>
        <w:rPr>
          <w:rFonts w:ascii="Arial" w:cs="Arial" w:eastAsia="Arial" w:hAnsi="Arial"/>
          <w:b/>
          <w:bCs/>
          <w:color w:val="1F6FA5"/>
          <w:sz w:val="40"/>
          <w:szCs w:val="40"/>
        </w:rPr>
        <w:t xml:space="preserve">1. Per-endpoint input validation</w:t>
      </w:r>
    </w:p>
    <w:p>
      <w:pPr>
        <w:spacing w:after="140" w:line="280"/>
        <w:jc w:val="both"/>
      </w:pPr>
      <w:r>
        <w:rPr>
          <w:rFonts w:ascii="Arial" w:cs="Arial" w:eastAsia="Arial" w:hAnsi="Arial"/>
          <w:sz w:val="22"/>
          <w:szCs w:val="22"/>
        </w:rPr>
        <w:t xml:space="preserve">For each critical write endpoint below: line number in server/main.py, request body shape, the validation checks the handler performs before writing, and the error responses it emits.</w:t>
      </w:r>
    </w:p>
    <w:p>
      <w:pPr>
        <w:pStyle w:val="Heading2"/>
        <w:spacing w:after="120" w:before="240"/>
      </w:pPr>
      <w:r>
        <w:rPr>
          <w:rFonts w:ascii="Arial" w:cs="Arial" w:eastAsia="Arial" w:hAnsi="Arial"/>
          <w:b/>
          <w:bCs/>
          <w:color w:val="263849"/>
          <w:sz w:val="30"/>
          <w:szCs w:val="30"/>
        </w:rPr>
        <w:t xml:space="preserve">1.1 POST /api/topsheet/import</w:t>
      </w:r>
    </w:p>
    <w:p>
      <w:pPr>
        <w:spacing w:after="140" w:line="280"/>
        <w:jc w:val="both"/>
      </w:pPr>
      <w:r>
        <w:rPr>
          <w:rFonts w:ascii="Arial" w:cs="Arial" w:eastAsia="Arial" w:hAnsi="Arial"/>
          <w:sz w:val="22"/>
          <w:szCs w:val="22"/>
        </w:rPr>
        <w:t xml:space="preserve">Line 8565. Handler: import_topsheet_endpoint(payload: TopSheetImportRequest).</w:t>
      </w:r>
    </w:p>
    <w:p>
      <w:pPr>
        <w:spacing w:after="80"/>
      </w:pPr>
      <w:r>
        <w:rPr>
          <w:rFonts w:ascii="Arial" w:cs="Arial" w:eastAsia="Arial" w:hAnsi="Arial"/>
          <w:b/>
          <w:bCs/>
          <w:sz w:val="22"/>
          <w:szCs w:val="22"/>
        </w:rPr>
        <w:t xml:space="preserve">Request body</w:t>
      </w:r>
    </w:p>
    <w:p>
      <w:pPr>
        <w:pStyle w:val="ListParagraph"/>
        <w:numPr>
          <w:ilvl w:val="0"/>
          <w:numId w:val="2"/>
        </w:numPr>
        <w:spacing w:after="60"/>
      </w:pPr>
      <w:r>
        <w:rPr>
          <w:rFonts w:ascii="Arial" w:cs="Arial" w:eastAsia="Arial" w:hAnsi="Arial"/>
          <w:sz w:val="22"/>
          <w:szCs w:val="22"/>
        </w:rPr>
        <w:t xml:space="preserve">fileContentBase64 — str, required. Base64-encoded .xlsx file.</w:t>
      </w:r>
    </w:p>
    <w:p>
      <w:pPr>
        <w:pStyle w:val="ListParagraph"/>
        <w:numPr>
          <w:ilvl w:val="0"/>
          <w:numId w:val="2"/>
        </w:numPr>
        <w:spacing w:after="60"/>
      </w:pPr>
      <w:r>
        <w:rPr>
          <w:rFonts w:ascii="Arial" w:cs="Arial" w:eastAsia="Arial" w:hAnsi="Arial"/>
          <w:sz w:val="22"/>
          <w:szCs w:val="22"/>
        </w:rPr>
        <w:t xml:space="preserve">dealSlug — str, required. Deal identifier.</w:t>
      </w:r>
    </w:p>
    <w:p>
      <w:pPr>
        <w:pStyle w:val="ListParagraph"/>
        <w:numPr>
          <w:ilvl w:val="0"/>
          <w:numId w:val="2"/>
        </w:numPr>
        <w:spacing w:after="60"/>
      </w:pPr>
      <w:r>
        <w:rPr>
          <w:rFonts w:ascii="Arial" w:cs="Arial" w:eastAsia="Arial" w:hAnsi="Arial"/>
          <w:sz w:val="22"/>
          <w:szCs w:val="22"/>
        </w:rPr>
        <w:t xml:space="preserve">requestedBy — str, required. Viewer identifier.</w:t>
      </w:r>
    </w:p>
    <w:p>
      <w:pPr>
        <w:spacing w:after="80"/>
      </w:pPr>
      <w:r>
        <w:rPr>
          <w:rFonts w:ascii="Arial" w:cs="Arial" w:eastAsia="Arial" w:hAnsi="Arial"/>
          <w:b/>
          <w:bCs/>
          <w:sz w:val="22"/>
          <w:szCs w:val="22"/>
        </w:rPr>
        <w:t xml:space="preserve">Validation sequence</w:t>
      </w:r>
    </w:p>
    <w:p>
      <w:pPr>
        <w:pStyle w:val="ListParagraph"/>
        <w:numPr>
          <w:ilvl w:val="0"/>
          <w:numId w:val="2"/>
        </w:numPr>
        <w:spacing w:after="60"/>
      </w:pPr>
      <w:r>
        <w:rPr>
          <w:rFonts w:ascii="Arial" w:cs="Arial" w:eastAsia="Arial" w:hAnsi="Arial"/>
          <w:sz w:val="22"/>
          <w:szCs w:val="22"/>
        </w:rPr>
        <w:t xml:space="preserve">base64.b64decode(payload.fileContentBase64, validate=True) — try/except → 400 "Invalid base64 file content" on failure.</w:t>
      </w:r>
    </w:p>
    <w:p>
      <w:pPr>
        <w:pStyle w:val="ListParagraph"/>
        <w:numPr>
          <w:ilvl w:val="0"/>
          <w:numId w:val="2"/>
        </w:numPr>
        <w:spacing w:after="60"/>
      </w:pPr>
      <w:r>
        <w:rPr>
          <w:rFonts w:ascii="Arial" w:cs="Arial" w:eastAsia="Arial" w:hAnsi="Arial"/>
          <w:sz w:val="22"/>
          <w:szCs w:val="22"/>
        </w:rPr>
        <w:t xml:space="preserve">ensure_permission(conn, viewer_context, "view_portfolio") — HTTPException with title "TopSheet import denied" if denied.</w:t>
      </w:r>
    </w:p>
    <w:p>
      <w:pPr>
        <w:pStyle w:val="ListParagraph"/>
        <w:numPr>
          <w:ilvl w:val="0"/>
          <w:numId w:val="2"/>
        </w:numPr>
        <w:spacing w:after="60"/>
      </w:pPr>
      <w:r>
        <w:rPr>
          <w:rFonts w:ascii="Arial" w:cs="Arial" w:eastAsia="Arial" w:hAnsi="Arial"/>
          <w:sz w:val="22"/>
          <w:szCs w:val="22"/>
        </w:rPr>
        <w:t xml:space="preserve">Post-import: check result["ok"] and result["counts"] — 422 with detail = result["errors"] if import failed.</w:t>
      </w:r>
    </w:p>
    <w:p>
      <w:pPr>
        <w:spacing w:after="80"/>
      </w:pPr>
      <w:r>
        <w:rPr>
          <w:rFonts w:ascii="Arial" w:cs="Arial" w:eastAsia="Arial" w:hAnsi="Arial"/>
          <w:b/>
          <w:bCs/>
          <w:sz w:val="22"/>
          <w:szCs w:val="22"/>
        </w:rPr>
        <w:t xml:space="preserve">Error responses</w:t>
      </w:r>
    </w:p>
    <w:p>
      <w:pPr>
        <w:pStyle w:val="ListParagraph"/>
        <w:numPr>
          <w:ilvl w:val="0"/>
          <w:numId w:val="2"/>
        </w:numPr>
        <w:spacing w:after="60"/>
      </w:pPr>
      <w:r>
        <w:rPr>
          <w:rFonts w:ascii="Arial" w:cs="Arial" w:eastAsia="Arial" w:hAnsi="Arial"/>
          <w:sz w:val="22"/>
          <w:szCs w:val="22"/>
        </w:rPr>
        <w:t xml:space="preserve">400 — invalid base64 content</w:t>
      </w:r>
    </w:p>
    <w:p>
      <w:pPr>
        <w:pStyle w:val="ListParagraph"/>
        <w:numPr>
          <w:ilvl w:val="0"/>
          <w:numId w:val="2"/>
        </w:numPr>
        <w:spacing w:after="60"/>
      </w:pPr>
      <w:r>
        <w:rPr>
          <w:rFonts w:ascii="Arial" w:cs="Arial" w:eastAsia="Arial" w:hAnsi="Arial"/>
          <w:sz w:val="22"/>
          <w:szCs w:val="22"/>
        </w:rPr>
        <w:t xml:space="preserve">403 — no view_portfolio permission</w:t>
      </w:r>
    </w:p>
    <w:p>
      <w:pPr>
        <w:pStyle w:val="ListParagraph"/>
        <w:numPr>
          <w:ilvl w:val="0"/>
          <w:numId w:val="2"/>
        </w:numPr>
        <w:spacing w:after="60"/>
      </w:pPr>
      <w:r>
        <w:rPr>
          <w:rFonts w:ascii="Arial" w:cs="Arial" w:eastAsia="Arial" w:hAnsi="Arial"/>
          <w:sz w:val="22"/>
          <w:szCs w:val="22"/>
        </w:rPr>
        <w:t xml:space="preserve">422 — import errors (field detail populated)</w:t>
      </w:r>
    </w:p>
    <w:p>
      <w:pPr>
        <w:pStyle w:val="Heading2"/>
        <w:spacing w:after="120" w:before="240"/>
      </w:pPr>
      <w:r>
        <w:rPr>
          <w:rFonts w:ascii="Arial" w:cs="Arial" w:eastAsia="Arial" w:hAnsi="Arial"/>
          <w:b/>
          <w:bCs/>
          <w:color w:val="263849"/>
          <w:sz w:val="30"/>
          <w:szCs w:val="30"/>
        </w:rPr>
        <w:t xml:space="preserve">1.2 POST /api/reports</w:t>
      </w:r>
    </w:p>
    <w:p>
      <w:pPr>
        <w:spacing w:after="140" w:line="280"/>
        <w:jc w:val="both"/>
      </w:pPr>
      <w:r>
        <w:rPr>
          <w:rFonts w:ascii="Arial" w:cs="Arial" w:eastAsia="Arial" w:hAnsi="Arial"/>
          <w:sz w:val="22"/>
          <w:szCs w:val="22"/>
        </w:rPr>
        <w:t xml:space="preserve">Line 12948. Handler: create_report_export(payload: ReportExportCreateRequest, organisation, owner, account, viewer).</w:t>
      </w:r>
    </w:p>
    <w:p>
      <w:pPr>
        <w:spacing w:after="80"/>
      </w:pPr>
      <w:r>
        <w:rPr>
          <w:rFonts w:ascii="Arial" w:cs="Arial" w:eastAsia="Arial" w:hAnsi="Arial"/>
          <w:b/>
          <w:bCs/>
          <w:sz w:val="22"/>
          <w:szCs w:val="22"/>
        </w:rPr>
        <w:t xml:space="preserve">Request body</w:t>
      </w:r>
    </w:p>
    <w:p>
      <w:pPr>
        <w:pStyle w:val="ListParagraph"/>
        <w:numPr>
          <w:ilvl w:val="0"/>
          <w:numId w:val="2"/>
        </w:numPr>
        <w:spacing w:after="60"/>
      </w:pPr>
      <w:r>
        <w:rPr>
          <w:rFonts w:ascii="Arial" w:cs="Arial" w:eastAsia="Arial" w:hAnsi="Arial"/>
          <w:sz w:val="22"/>
          <w:szCs w:val="22"/>
        </w:rPr>
        <w:t xml:space="preserve">reportKind — str, required (e.g. "monthly_summary", "risk_dashboard").</w:t>
      </w:r>
    </w:p>
    <w:p>
      <w:pPr>
        <w:pStyle w:val="ListParagraph"/>
        <w:numPr>
          <w:ilvl w:val="0"/>
          <w:numId w:val="2"/>
        </w:numPr>
        <w:spacing w:after="60"/>
      </w:pPr>
      <w:r>
        <w:rPr>
          <w:rFonts w:ascii="Arial" w:cs="Arial" w:eastAsia="Arial" w:hAnsi="Arial"/>
          <w:sz w:val="22"/>
          <w:szCs w:val="22"/>
        </w:rPr>
        <w:t xml:space="preserve">sourceDomain — str, required.</w:t>
      </w:r>
    </w:p>
    <w:p>
      <w:pPr>
        <w:pStyle w:val="ListParagraph"/>
        <w:numPr>
          <w:ilvl w:val="0"/>
          <w:numId w:val="2"/>
        </w:numPr>
        <w:spacing w:after="60"/>
      </w:pPr>
      <w:r>
        <w:rPr>
          <w:rFonts w:ascii="Arial" w:cs="Arial" w:eastAsia="Arial" w:hAnsi="Arial"/>
          <w:sz w:val="22"/>
          <w:szCs w:val="22"/>
        </w:rPr>
        <w:t xml:space="preserve">organisationId, ownerId, accountId — int, optional (scope identifiers).</w:t>
      </w:r>
    </w:p>
    <w:p>
      <w:pPr>
        <w:spacing w:after="80"/>
      </w:pPr>
      <w:r>
        <w:rPr>
          <w:rFonts w:ascii="Arial" w:cs="Arial" w:eastAsia="Arial" w:hAnsi="Arial"/>
          <w:b/>
          <w:bCs/>
          <w:sz w:val="22"/>
          <w:szCs w:val="22"/>
        </w:rPr>
        <w:t xml:space="preserve">Validation sequence</w:t>
      </w:r>
    </w:p>
    <w:p>
      <w:pPr>
        <w:pStyle w:val="ListParagraph"/>
        <w:numPr>
          <w:ilvl w:val="0"/>
          <w:numId w:val="2"/>
        </w:numPr>
        <w:spacing w:after="60"/>
      </w:pPr>
      <w:r>
        <w:rPr>
          <w:rFonts w:ascii="Arial" w:cs="Arial" w:eastAsia="Arial" w:hAnsi="Arial"/>
          <w:sz w:val="22"/>
          <w:szCs w:val="22"/>
        </w:rPr>
        <w:t xml:space="preserve">ensure_permission(conn, viewer_context, "generate_reports") → 403 "Report generation denied".</w:t>
      </w:r>
    </w:p>
    <w:p>
      <w:pPr>
        <w:pStyle w:val="ListParagraph"/>
        <w:numPr>
          <w:ilvl w:val="0"/>
          <w:numId w:val="2"/>
        </w:numPr>
        <w:spacing w:after="60"/>
      </w:pPr>
      <w:r>
        <w:rPr>
          <w:rFonts w:ascii="Arial" w:cs="Arial" w:eastAsia="Arial" w:hAnsi="Arial"/>
          <w:sz w:val="22"/>
          <w:szCs w:val="22"/>
        </w:rPr>
        <w:t xml:space="preserve">ensure_access_to_scope(conn, viewer_context, organisation_id, owner_id, account_id) → 403 if viewer lacks entitlement.</w:t>
      </w:r>
    </w:p>
    <w:p>
      <w:pPr>
        <w:pStyle w:val="ListParagraph"/>
        <w:numPr>
          <w:ilvl w:val="0"/>
          <w:numId w:val="2"/>
        </w:numPr>
        <w:spacing w:after="60"/>
      </w:pPr>
      <w:r>
        <w:rPr>
          <w:rFonts w:ascii="Arial" w:cs="Arial" w:eastAsia="Arial" w:hAnsi="Arial"/>
          <w:sz w:val="22"/>
          <w:szCs w:val="22"/>
        </w:rPr>
        <w:t xml:space="preserve">FK validation: report_schedule_id checked against report_generation_runs via DB FK.</w:t>
      </w:r>
    </w:p>
    <w:p>
      <w:pPr>
        <w:spacing w:after="80"/>
      </w:pPr>
      <w:r>
        <w:rPr>
          <w:rFonts w:ascii="Arial" w:cs="Arial" w:eastAsia="Arial" w:hAnsi="Arial"/>
          <w:b/>
          <w:bCs/>
          <w:sz w:val="22"/>
          <w:szCs w:val="22"/>
        </w:rPr>
        <w:t xml:space="preserve">Error responses</w:t>
      </w:r>
    </w:p>
    <w:p>
      <w:pPr>
        <w:pStyle w:val="ListParagraph"/>
        <w:numPr>
          <w:ilvl w:val="0"/>
          <w:numId w:val="2"/>
        </w:numPr>
        <w:spacing w:after="60"/>
      </w:pPr>
      <w:r>
        <w:rPr>
          <w:rFonts w:ascii="Arial" w:cs="Arial" w:eastAsia="Arial" w:hAnsi="Arial"/>
          <w:sz w:val="22"/>
          <w:szCs w:val="22"/>
        </w:rPr>
        <w:t xml:space="preserve">403 — missing permission</w:t>
      </w:r>
    </w:p>
    <w:p>
      <w:pPr>
        <w:pStyle w:val="ListParagraph"/>
        <w:numPr>
          <w:ilvl w:val="0"/>
          <w:numId w:val="2"/>
        </w:numPr>
        <w:spacing w:after="60"/>
      </w:pPr>
      <w:r>
        <w:rPr>
          <w:rFonts w:ascii="Arial" w:cs="Arial" w:eastAsia="Arial" w:hAnsi="Arial"/>
          <w:sz w:val="22"/>
          <w:szCs w:val="22"/>
        </w:rPr>
        <w:t xml:space="preserve">403 — scope access denied</w:t>
      </w:r>
    </w:p>
    <w:p>
      <w:pPr>
        <w:pStyle w:val="ListParagraph"/>
        <w:numPr>
          <w:ilvl w:val="0"/>
          <w:numId w:val="2"/>
        </w:numPr>
        <w:spacing w:after="60"/>
      </w:pPr>
      <w:r>
        <w:rPr>
          <w:rFonts w:ascii="Arial" w:cs="Arial" w:eastAsia="Arial" w:hAnsi="Arial"/>
          <w:sz w:val="22"/>
          <w:szCs w:val="22"/>
        </w:rPr>
        <w:t xml:space="preserve">422 — scope identifier not found</w:t>
      </w:r>
    </w:p>
    <w:p>
      <w:pPr>
        <w:pStyle w:val="Heading2"/>
        <w:spacing w:after="120" w:before="240"/>
      </w:pPr>
      <w:r>
        <w:rPr>
          <w:rFonts w:ascii="Arial" w:cs="Arial" w:eastAsia="Arial" w:hAnsi="Arial"/>
          <w:b/>
          <w:bCs/>
          <w:color w:val="263849"/>
          <w:sz w:val="30"/>
          <w:szCs w:val="30"/>
        </w:rPr>
        <w:t xml:space="preserve">1.3 POST /api/report-exports/{export_id}/review</w:t>
      </w:r>
    </w:p>
    <w:p>
      <w:pPr>
        <w:spacing w:after="140" w:line="280"/>
        <w:jc w:val="both"/>
      </w:pPr>
      <w:r>
        <w:rPr>
          <w:rFonts w:ascii="Arial" w:cs="Arial" w:eastAsia="Arial" w:hAnsi="Arial"/>
          <w:sz w:val="22"/>
          <w:szCs w:val="22"/>
        </w:rPr>
        <w:t xml:space="preserve">Line 13053. Handler: review_report_export(export_id, payload: ReportExportWorkflowRequest, viewer).</w:t>
      </w:r>
    </w:p>
    <w:p>
      <w:pPr>
        <w:spacing w:after="80"/>
      </w:pPr>
      <w:r>
        <w:rPr>
          <w:rFonts w:ascii="Arial" w:cs="Arial" w:eastAsia="Arial" w:hAnsi="Arial"/>
          <w:b/>
          <w:bCs/>
          <w:sz w:val="22"/>
          <w:szCs w:val="22"/>
        </w:rPr>
        <w:t xml:space="preserve">Request body</w:t>
      </w:r>
    </w:p>
    <w:p>
      <w:pPr>
        <w:pStyle w:val="ListParagraph"/>
        <w:numPr>
          <w:ilvl w:val="0"/>
          <w:numId w:val="2"/>
        </w:numPr>
        <w:spacing w:after="60"/>
      </w:pPr>
      <w:r>
        <w:rPr>
          <w:rFonts w:ascii="Arial" w:cs="Arial" w:eastAsia="Arial" w:hAnsi="Arial"/>
          <w:sz w:val="22"/>
          <w:szCs w:val="22"/>
        </w:rPr>
        <w:t xml:space="preserve">actorName — str, required.</w:t>
      </w:r>
    </w:p>
    <w:p>
      <w:pPr>
        <w:pStyle w:val="ListParagraph"/>
        <w:numPr>
          <w:ilvl w:val="0"/>
          <w:numId w:val="2"/>
        </w:numPr>
        <w:spacing w:after="60"/>
      </w:pPr>
      <w:r>
        <w:rPr>
          <w:rFonts w:ascii="Arial" w:cs="Arial" w:eastAsia="Arial" w:hAnsi="Arial"/>
          <w:sz w:val="22"/>
          <w:szCs w:val="22"/>
        </w:rPr>
        <w:t xml:space="preserve">note — str, optional.</w:t>
      </w:r>
    </w:p>
    <w:p>
      <w:pPr>
        <w:spacing w:after="80"/>
      </w:pPr>
      <w:r>
        <w:rPr>
          <w:rFonts w:ascii="Arial" w:cs="Arial" w:eastAsia="Arial" w:hAnsi="Arial"/>
          <w:b/>
          <w:bCs/>
          <w:sz w:val="22"/>
          <w:szCs w:val="22"/>
        </w:rPr>
        <w:t xml:space="preserve">Validation sequence</w:t>
      </w:r>
    </w:p>
    <w:p>
      <w:pPr>
        <w:pStyle w:val="ListParagraph"/>
        <w:numPr>
          <w:ilvl w:val="0"/>
          <w:numId w:val="2"/>
        </w:numPr>
        <w:spacing w:after="60"/>
      </w:pPr>
      <w:r>
        <w:rPr>
          <w:rFonts w:ascii="Arial" w:cs="Arial" w:eastAsia="Arial" w:hAnsi="Arial"/>
          <w:sz w:val="22"/>
          <w:szCs w:val="22"/>
        </w:rPr>
        <w:t xml:space="preserve">SELECT report_exports WHERE id = %s FOR UPDATE → 404 "Report export not found" if missing.</w:t>
      </w:r>
    </w:p>
    <w:p>
      <w:pPr>
        <w:pStyle w:val="ListParagraph"/>
        <w:numPr>
          <w:ilvl w:val="0"/>
          <w:numId w:val="2"/>
        </w:numPr>
        <w:spacing w:after="60"/>
      </w:pPr>
      <w:r>
        <w:rPr>
          <w:rFonts w:ascii="Arial" w:cs="Arial" w:eastAsia="Arial" w:hAnsi="Arial"/>
          <w:sz w:val="22"/>
          <w:szCs w:val="22"/>
        </w:rPr>
        <w:t xml:space="preserve">ensure_permission(conn, viewer_context, "review_reports") → 403 "Report review denied".</w:t>
      </w:r>
    </w:p>
    <w:p>
      <w:pPr>
        <w:pStyle w:val="ListParagraph"/>
        <w:numPr>
          <w:ilvl w:val="0"/>
          <w:numId w:val="2"/>
        </w:numPr>
        <w:spacing w:after="60"/>
      </w:pPr>
      <w:r>
        <w:rPr>
          <w:rFonts w:ascii="Arial" w:cs="Arial" w:eastAsia="Arial" w:hAnsi="Arial"/>
          <w:sz w:val="22"/>
          <w:szCs w:val="22"/>
        </w:rPr>
        <w:t xml:space="preserve">ensure_visible_scoped_item() → 403 if viewer cannot see the deal/org/owner/account.</w:t>
      </w:r>
    </w:p>
    <w:p>
      <w:pPr>
        <w:pStyle w:val="ListParagraph"/>
        <w:numPr>
          <w:ilvl w:val="0"/>
          <w:numId w:val="2"/>
        </w:numPr>
        <w:spacing w:after="60"/>
      </w:pPr>
      <w:r>
        <w:rPr>
          <w:rFonts w:ascii="Arial" w:cs="Arial" w:eastAsia="Arial" w:hAnsi="Arial"/>
          <w:sz w:val="22"/>
          <w:szCs w:val="22"/>
        </w:rPr>
        <w:t xml:space="preserve">FOR UPDATE lock prevents concurrent modification.</w:t>
      </w:r>
    </w:p>
    <w:p>
      <w:pPr>
        <w:spacing w:after="80"/>
      </w:pPr>
      <w:r>
        <w:rPr>
          <w:rFonts w:ascii="Arial" w:cs="Arial" w:eastAsia="Arial" w:hAnsi="Arial"/>
          <w:b/>
          <w:bCs/>
          <w:sz w:val="22"/>
          <w:szCs w:val="22"/>
        </w:rPr>
        <w:t xml:space="preserve">Error responses</w:t>
      </w:r>
    </w:p>
    <w:p>
      <w:pPr>
        <w:pStyle w:val="ListParagraph"/>
        <w:numPr>
          <w:ilvl w:val="0"/>
          <w:numId w:val="2"/>
        </w:numPr>
        <w:spacing w:after="60"/>
      </w:pPr>
      <w:r>
        <w:rPr>
          <w:rFonts w:ascii="Arial" w:cs="Arial" w:eastAsia="Arial" w:hAnsi="Arial"/>
          <w:sz w:val="22"/>
          <w:szCs w:val="22"/>
        </w:rPr>
        <w:t xml:space="preserve">404 — export_id not found</w:t>
      </w:r>
    </w:p>
    <w:p>
      <w:pPr>
        <w:pStyle w:val="ListParagraph"/>
        <w:numPr>
          <w:ilvl w:val="0"/>
          <w:numId w:val="2"/>
        </w:numPr>
        <w:spacing w:after="60"/>
      </w:pPr>
      <w:r>
        <w:rPr>
          <w:rFonts w:ascii="Arial" w:cs="Arial" w:eastAsia="Arial" w:hAnsi="Arial"/>
          <w:sz w:val="22"/>
          <w:szCs w:val="22"/>
        </w:rPr>
        <w:t xml:space="preserve">403 — no review_reports permission</w:t>
      </w:r>
    </w:p>
    <w:p>
      <w:pPr>
        <w:pStyle w:val="ListParagraph"/>
        <w:numPr>
          <w:ilvl w:val="0"/>
          <w:numId w:val="2"/>
        </w:numPr>
        <w:spacing w:after="60"/>
      </w:pPr>
      <w:r>
        <w:rPr>
          <w:rFonts w:ascii="Arial" w:cs="Arial" w:eastAsia="Arial" w:hAnsi="Arial"/>
          <w:sz w:val="22"/>
          <w:szCs w:val="22"/>
        </w:rPr>
        <w:t xml:space="preserve">403 — no scope visibility</w:t>
      </w:r>
    </w:p>
    <w:p>
      <w:pPr>
        <w:pStyle w:val="Heading2"/>
        <w:spacing w:after="120" w:before="240"/>
      </w:pPr>
      <w:r>
        <w:rPr>
          <w:rFonts w:ascii="Arial" w:cs="Arial" w:eastAsia="Arial" w:hAnsi="Arial"/>
          <w:b/>
          <w:bCs/>
          <w:color w:val="263849"/>
          <w:sz w:val="30"/>
          <w:szCs w:val="30"/>
        </w:rPr>
        <w:t xml:space="preserve">1.4 POST /api/report-exports/{export_id}/approve</w:t>
      </w:r>
    </w:p>
    <w:p>
      <w:pPr>
        <w:spacing w:after="140" w:line="280"/>
        <w:jc w:val="both"/>
      </w:pPr>
      <w:r>
        <w:rPr>
          <w:rFonts w:ascii="Arial" w:cs="Arial" w:eastAsia="Arial" w:hAnsi="Arial"/>
          <w:sz w:val="22"/>
          <w:szCs w:val="22"/>
        </w:rPr>
        <w:t xml:space="preserve">Line 13137. Same shape as review. Permission key: approve_reports. Updates review_status='approved' and report_generation_runs if report_schedule_id present.</w:t>
      </w:r>
    </w:p>
    <w:p>
      <w:pPr>
        <w:pStyle w:val="Heading2"/>
        <w:spacing w:after="120" w:before="240"/>
      </w:pPr>
      <w:r>
        <w:rPr>
          <w:rFonts w:ascii="Arial" w:cs="Arial" w:eastAsia="Arial" w:hAnsi="Arial"/>
          <w:b/>
          <w:bCs/>
          <w:color w:val="263849"/>
          <w:sz w:val="30"/>
          <w:szCs w:val="30"/>
        </w:rPr>
        <w:t xml:space="preserve">1.5 POST /api/report-exports/{export_id}/release</w:t>
      </w:r>
    </w:p>
    <w:p>
      <w:pPr>
        <w:spacing w:after="140" w:line="280"/>
        <w:jc w:val="both"/>
      </w:pPr>
      <w:r>
        <w:rPr>
          <w:rFonts w:ascii="Arial" w:cs="Arial" w:eastAsia="Arial" w:hAnsi="Arial"/>
          <w:sz w:val="22"/>
          <w:szCs w:val="22"/>
        </w:rPr>
        <w:t xml:space="preserve">Line 13221. Handler: release_report(export_id, payload, viewer).</w:t>
      </w:r>
    </w:p>
    <w:p>
      <w:pPr>
        <w:pStyle w:val="ListParagraph"/>
        <w:numPr>
          <w:ilvl w:val="0"/>
          <w:numId w:val="2"/>
        </w:numPr>
        <w:spacing w:after="60"/>
      </w:pPr>
      <w:r>
        <w:rPr>
          <w:rFonts w:ascii="Arial" w:cs="Arial" w:eastAsia="Arial" w:hAnsi="Arial"/>
          <w:sz w:val="22"/>
          <w:szCs w:val="22"/>
        </w:rPr>
        <w:t xml:space="preserve">SELECT report_exports WHERE id = %s (NO FOR UPDATE this time) → 404 if missing.</w:t>
      </w:r>
    </w:p>
    <w:p>
      <w:pPr>
        <w:pStyle w:val="ListParagraph"/>
        <w:numPr>
          <w:ilvl w:val="0"/>
          <w:numId w:val="2"/>
        </w:numPr>
        <w:spacing w:after="60"/>
      </w:pPr>
      <w:r>
        <w:rPr>
          <w:rFonts w:ascii="Arial" w:cs="Arial" w:eastAsia="Arial" w:hAnsi="Arial"/>
          <w:sz w:val="22"/>
          <w:szCs w:val="22"/>
        </w:rPr>
        <w:t xml:space="preserve">ensure_permission(conn, viewer_context, "release_reports") → 403 "Report release denied".</w:t>
      </w:r>
    </w:p>
    <w:p>
      <w:pPr>
        <w:pStyle w:val="ListParagraph"/>
        <w:numPr>
          <w:ilvl w:val="0"/>
          <w:numId w:val="2"/>
        </w:numPr>
        <w:spacing w:after="60"/>
      </w:pPr>
      <w:r>
        <w:rPr>
          <w:rFonts w:ascii="Arial" w:cs="Arial" w:eastAsia="Arial" w:hAnsi="Arial"/>
          <w:sz w:val="22"/>
          <w:szCs w:val="22"/>
        </w:rPr>
        <w:t xml:space="preserve">ensure_visible_scoped_item().</w:t>
      </w:r>
    </w:p>
    <w:p>
      <w:pPr>
        <w:pStyle w:val="ListParagraph"/>
        <w:numPr>
          <w:ilvl w:val="0"/>
          <w:numId w:val="2"/>
        </w:numPr>
        <w:spacing w:after="60"/>
      </w:pPr>
      <w:r>
        <w:rPr>
          <w:rFonts w:ascii="Arial" w:cs="Arial" w:eastAsia="Arial" w:hAnsi="Arial"/>
          <w:sz w:val="22"/>
          <w:szCs w:val="22"/>
        </w:rPr>
        <w:t xml:space="preserve">Calls release_report_export(conn, export_id, viewer_context["displayName"]) — handles state update internally.</w:t>
      </w:r>
    </w:p>
    <w:p>
      <w:pPr>
        <w:pStyle w:val="Heading2"/>
        <w:spacing w:after="120" w:before="240"/>
      </w:pPr>
      <w:r>
        <w:rPr>
          <w:rFonts w:ascii="Arial" w:cs="Arial" w:eastAsia="Arial" w:hAnsi="Arial"/>
          <w:b/>
          <w:bCs/>
          <w:color w:val="263849"/>
          <w:sz w:val="30"/>
          <w:szCs w:val="30"/>
        </w:rPr>
        <w:t xml:space="preserve">1.6 POST /api/borrower-requests/{request_id}/decide</w:t>
      </w:r>
    </w:p>
    <w:p>
      <w:pPr>
        <w:spacing w:after="140" w:line="280"/>
        <w:jc w:val="both"/>
      </w:pPr>
      <w:r>
        <w:rPr>
          <w:rFonts w:ascii="Arial" w:cs="Arial" w:eastAsia="Arial" w:hAnsi="Arial"/>
          <w:sz w:val="22"/>
          <w:szCs w:val="22"/>
        </w:rPr>
        <w:t xml:space="preserve">Line 14671. Handler: decide_borrower_request(request_id, payload: BorrowerRequestDecisionRequest, viewer).</w:t>
      </w:r>
    </w:p>
    <w:p>
      <w:pPr>
        <w:spacing w:after="80"/>
      </w:pPr>
      <w:r>
        <w:rPr>
          <w:rFonts w:ascii="Arial" w:cs="Arial" w:eastAsia="Arial" w:hAnsi="Arial"/>
          <w:b/>
          <w:bCs/>
          <w:sz w:val="22"/>
          <w:szCs w:val="22"/>
        </w:rPr>
        <w:t xml:space="preserve">Request body</w:t>
      </w:r>
    </w:p>
    <w:p>
      <w:pPr>
        <w:pStyle w:val="ListParagraph"/>
        <w:numPr>
          <w:ilvl w:val="0"/>
          <w:numId w:val="2"/>
        </w:numPr>
        <w:spacing w:after="60"/>
      </w:pPr>
      <w:r>
        <w:rPr>
          <w:rFonts w:ascii="Arial" w:cs="Arial" w:eastAsia="Arial" w:hAnsi="Arial"/>
          <w:sz w:val="22"/>
          <w:szCs w:val="22"/>
        </w:rPr>
        <w:t xml:space="preserve">decidedBy — str, required.</w:t>
      </w:r>
    </w:p>
    <w:p>
      <w:pPr>
        <w:pStyle w:val="ListParagraph"/>
        <w:numPr>
          <w:ilvl w:val="0"/>
          <w:numId w:val="2"/>
        </w:numPr>
        <w:spacing w:after="60"/>
      </w:pPr>
      <w:r>
        <w:rPr>
          <w:rFonts w:ascii="Arial" w:cs="Arial" w:eastAsia="Arial" w:hAnsi="Arial"/>
          <w:sz w:val="22"/>
          <w:szCs w:val="22"/>
        </w:rPr>
        <w:t xml:space="preserve">effectiveFrom — str, required, ISO date.</w:t>
      </w:r>
    </w:p>
    <w:p>
      <w:pPr>
        <w:pStyle w:val="ListParagraph"/>
        <w:numPr>
          <w:ilvl w:val="0"/>
          <w:numId w:val="2"/>
        </w:numPr>
        <w:spacing w:after="60"/>
      </w:pPr>
      <w:r>
        <w:rPr>
          <w:rFonts w:ascii="Arial" w:cs="Arial" w:eastAsia="Arial" w:hAnsi="Arial"/>
          <w:sz w:val="22"/>
          <w:szCs w:val="22"/>
        </w:rPr>
        <w:t xml:space="preserve">expiresOn — str, optional, ISO date.</w:t>
      </w:r>
    </w:p>
    <w:p>
      <w:pPr>
        <w:pStyle w:val="ListParagraph"/>
        <w:numPr>
          <w:ilvl w:val="0"/>
          <w:numId w:val="2"/>
        </w:numPr>
        <w:spacing w:after="60"/>
      </w:pPr>
      <w:r>
        <w:rPr>
          <w:rFonts w:ascii="Arial" w:cs="Arial" w:eastAsia="Arial" w:hAnsi="Arial"/>
          <w:sz w:val="22"/>
          <w:szCs w:val="22"/>
        </w:rPr>
        <w:t xml:space="preserve">status — str, required; one of approved | approved_with_conditions | declined.</w:t>
      </w:r>
    </w:p>
    <w:p>
      <w:pPr>
        <w:pStyle w:val="ListParagraph"/>
        <w:numPr>
          <w:ilvl w:val="0"/>
          <w:numId w:val="2"/>
        </w:numPr>
        <w:spacing w:after="60"/>
      </w:pPr>
      <w:r>
        <w:rPr>
          <w:rFonts w:ascii="Arial" w:cs="Arial" w:eastAsia="Arial" w:hAnsi="Arial"/>
          <w:sz w:val="22"/>
          <w:szCs w:val="22"/>
        </w:rPr>
        <w:t xml:space="preserve">conditionDetail — str, optional (required when status=approved_with_conditions).</w:t>
      </w:r>
    </w:p>
    <w:p>
      <w:pPr>
        <w:spacing w:after="80"/>
      </w:pPr>
      <w:r>
        <w:rPr>
          <w:rFonts w:ascii="Arial" w:cs="Arial" w:eastAsia="Arial" w:hAnsi="Arial"/>
          <w:b/>
          <w:bCs/>
          <w:sz w:val="22"/>
          <w:szCs w:val="22"/>
        </w:rPr>
        <w:t xml:space="preserve">Validation sequence</w:t>
      </w:r>
    </w:p>
    <w:p>
      <w:pPr>
        <w:pStyle w:val="ListParagraph"/>
        <w:numPr>
          <w:ilvl w:val="0"/>
          <w:numId w:val="2"/>
        </w:numPr>
        <w:spacing w:after="60"/>
      </w:pPr>
      <w:r>
        <w:rPr>
          <w:rFonts w:ascii="Arial" w:cs="Arial" w:eastAsia="Arial" w:hAnsi="Arial"/>
          <w:sz w:val="22"/>
          <w:szCs w:val="22"/>
        </w:rPr>
        <w:t xml:space="preserve">LEFT JOIN borrower_requests → deals → grade_overrides on request_id → 404 "Borrower request not found" if missing.</w:t>
      </w:r>
    </w:p>
    <w:p>
      <w:pPr>
        <w:pStyle w:val="ListParagraph"/>
        <w:numPr>
          <w:ilvl w:val="0"/>
          <w:numId w:val="2"/>
        </w:numPr>
        <w:spacing w:after="60"/>
      </w:pPr>
      <w:r>
        <w:rPr>
          <w:rFonts w:ascii="Arial" w:cs="Arial" w:eastAsia="Arial" w:hAnsi="Arial"/>
          <w:sz w:val="22"/>
          <w:szCs w:val="22"/>
        </w:rPr>
        <w:t xml:space="preserve">ensure_access_to_deal(conn, viewer_context, deal_id) → 403.</w:t>
      </w:r>
    </w:p>
    <w:p>
      <w:pPr>
        <w:pStyle w:val="ListParagraph"/>
        <w:numPr>
          <w:ilvl w:val="0"/>
          <w:numId w:val="2"/>
        </w:numPr>
        <w:spacing w:after="60"/>
      </w:pPr>
      <w:r>
        <w:rPr>
          <w:rFonts w:ascii="Arial" w:cs="Arial" w:eastAsia="Arial" w:hAnsi="Arial"/>
          <w:sz w:val="22"/>
          <w:szCs w:val="22"/>
        </w:rPr>
        <w:t xml:space="preserve">ensure_permission(conn, viewer_context, "decide_requests") → 403 "Borrower request decision denied".</w:t>
      </w:r>
    </w:p>
    <w:p>
      <w:pPr>
        <w:pStyle w:val="ListParagraph"/>
        <w:numPr>
          <w:ilvl w:val="0"/>
          <w:numId w:val="2"/>
        </w:numPr>
        <w:spacing w:after="60"/>
      </w:pPr>
      <w:r>
        <w:rPr>
          <w:rFonts w:ascii="Arial" w:cs="Arial" w:eastAsia="Arial" w:hAnsi="Arial"/>
          <w:sz w:val="22"/>
          <w:szCs w:val="22"/>
        </w:rPr>
        <w:t xml:space="preserve">datetime.fromisoformat(payload.effectiveFrom).date() → 400 on bad ISO date.</w:t>
      </w:r>
    </w:p>
    <w:p>
      <w:pPr>
        <w:pStyle w:val="ListParagraph"/>
        <w:numPr>
          <w:ilvl w:val="0"/>
          <w:numId w:val="2"/>
        </w:numPr>
        <w:spacing w:after="60"/>
      </w:pPr>
      <w:r>
        <w:rPr>
          <w:rFonts w:ascii="Arial" w:cs="Arial" w:eastAsia="Arial" w:hAnsi="Arial"/>
          <w:sz w:val="22"/>
          <w:szCs w:val="22"/>
        </w:rPr>
        <w:t xml:space="preserve">Enum check on status → 422 if out of set.</w:t>
      </w:r>
    </w:p>
    <w:p>
      <w:pPr>
        <w:pStyle w:val="ListParagraph"/>
        <w:numPr>
          <w:ilvl w:val="0"/>
          <w:numId w:val="2"/>
        </w:numPr>
        <w:spacing w:after="60"/>
      </w:pPr>
      <w:r>
        <w:rPr>
          <w:rFonts w:ascii="Arial" w:cs="Arial" w:eastAsia="Arial" w:hAnsi="Arial"/>
          <w:sz w:val="22"/>
          <w:szCs w:val="22"/>
        </w:rPr>
        <w:t xml:space="preserve">Overlap check: computes prior_version_end = effectiveFrom − 1 day; checks no overlapping amendment versions.</w:t>
      </w:r>
    </w:p>
    <w:p>
      <w:pPr>
        <w:pStyle w:val="Heading2"/>
        <w:spacing w:after="120" w:before="240"/>
      </w:pPr>
      <w:r>
        <w:rPr>
          <w:rFonts w:ascii="Arial" w:cs="Arial" w:eastAsia="Arial" w:hAnsi="Arial"/>
          <w:b/>
          <w:bCs/>
          <w:color w:val="263849"/>
          <w:sz w:val="30"/>
          <w:szCs w:val="30"/>
        </w:rPr>
        <w:t xml:space="preserve">1.7 POST /api/demo-clock</w:t>
      </w:r>
    </w:p>
    <w:p>
      <w:pPr>
        <w:spacing w:after="140" w:line="280"/>
        <w:jc w:val="both"/>
      </w:pPr>
      <w:r>
        <w:rPr>
          <w:rFonts w:ascii="Arial" w:cs="Arial" w:eastAsia="Arial" w:hAnsi="Arial"/>
          <w:sz w:val="22"/>
          <w:szCs w:val="22"/>
        </w:rPr>
        <w:t xml:space="preserve">Line 16513. Handler: update_demo_clock(payload: DemoClockUpdateRequest, viewer).</w:t>
      </w:r>
    </w:p>
    <w:p>
      <w:pPr>
        <w:spacing w:after="80"/>
      </w:pPr>
      <w:r>
        <w:rPr>
          <w:rFonts w:ascii="Arial" w:cs="Arial" w:eastAsia="Arial" w:hAnsi="Arial"/>
          <w:b/>
          <w:bCs/>
          <w:sz w:val="22"/>
          <w:szCs w:val="22"/>
        </w:rPr>
        <w:t xml:space="preserve">Request body</w:t>
      </w:r>
    </w:p>
    <w:p>
      <w:pPr>
        <w:pStyle w:val="ListParagraph"/>
        <w:numPr>
          <w:ilvl w:val="0"/>
          <w:numId w:val="2"/>
        </w:numPr>
        <w:spacing w:after="60"/>
      </w:pPr>
      <w:r>
        <w:rPr>
          <w:rFonts w:ascii="Arial" w:cs="Arial" w:eastAsia="Arial" w:hAnsi="Arial"/>
          <w:sz w:val="22"/>
          <w:szCs w:val="22"/>
        </w:rPr>
        <w:t xml:space="preserve">currentDemoDate — str, required, ISO date YYYY-MM-DD.</w:t>
      </w:r>
    </w:p>
    <w:p>
      <w:pPr>
        <w:pStyle w:val="ListParagraph"/>
        <w:numPr>
          <w:ilvl w:val="0"/>
          <w:numId w:val="2"/>
        </w:numPr>
        <w:spacing w:after="60"/>
      </w:pPr>
      <w:r>
        <w:rPr>
          <w:rFonts w:ascii="Arial" w:cs="Arial" w:eastAsia="Arial" w:hAnsi="Arial"/>
          <w:sz w:val="22"/>
          <w:szCs w:val="22"/>
        </w:rPr>
        <w:t xml:space="preserve">clockLabel — str, optional (retains previous label on null).</w:t>
      </w:r>
    </w:p>
    <w:p>
      <w:pPr>
        <w:pStyle w:val="ListParagraph"/>
        <w:numPr>
          <w:ilvl w:val="0"/>
          <w:numId w:val="2"/>
        </w:numPr>
        <w:spacing w:after="60"/>
      </w:pPr>
      <w:r>
        <w:rPr>
          <w:rFonts w:ascii="Arial" w:cs="Arial" w:eastAsia="Arial" w:hAnsi="Arial"/>
          <w:sz w:val="22"/>
          <w:szCs w:val="22"/>
        </w:rPr>
        <w:t xml:space="preserve">updatedBy — str, required.</w:t>
      </w:r>
    </w:p>
    <w:p>
      <w:pPr>
        <w:spacing w:after="80"/>
      </w:pPr>
      <w:r>
        <w:rPr>
          <w:rFonts w:ascii="Arial" w:cs="Arial" w:eastAsia="Arial" w:hAnsi="Arial"/>
          <w:b/>
          <w:bCs/>
          <w:sz w:val="22"/>
          <w:szCs w:val="22"/>
        </w:rPr>
        <w:t xml:space="preserve">Validation</w:t>
      </w:r>
    </w:p>
    <w:p>
      <w:pPr>
        <w:pStyle w:val="ListParagraph"/>
        <w:numPr>
          <w:ilvl w:val="0"/>
          <w:numId w:val="2"/>
        </w:numPr>
        <w:spacing w:after="60"/>
      </w:pPr>
      <w:r>
        <w:rPr>
          <w:rFonts w:ascii="Arial" w:cs="Arial" w:eastAsia="Arial" w:hAnsi="Arial"/>
          <w:sz w:val="22"/>
          <w:szCs w:val="22"/>
        </w:rPr>
        <w:t xml:space="preserve">ensure_permission(conn, viewer_context, "view_portfolio") → HTTPException "Demo clock update denied".</w:t>
      </w:r>
    </w:p>
    <w:p>
      <w:pPr>
        <w:pStyle w:val="ListParagraph"/>
        <w:numPr>
          <w:ilvl w:val="0"/>
          <w:numId w:val="2"/>
        </w:numPr>
        <w:spacing w:after="60"/>
      </w:pPr>
      <w:r>
        <w:rPr>
          <w:rFonts w:ascii="Arial" w:cs="Arial" w:eastAsia="Arial" w:hAnsi="Arial"/>
          <w:sz w:val="22"/>
          <w:szCs w:val="22"/>
        </w:rPr>
        <w:t xml:space="preserve">load_demo_clock(conn) — singleton table, id always exists.</w:t>
      </w:r>
    </w:p>
    <w:p>
      <w:pPr>
        <w:pStyle w:val="ListParagraph"/>
        <w:numPr>
          <w:ilvl w:val="0"/>
          <w:numId w:val="2"/>
        </w:numPr>
        <w:spacing w:after="60"/>
      </w:pPr>
      <w:r>
        <w:rPr>
          <w:rFonts w:ascii="Arial" w:cs="Arial" w:eastAsia="Arial" w:hAnsi="Arial"/>
          <w:sz w:val="22"/>
          <w:szCs w:val="22"/>
        </w:rPr>
        <w:t xml:space="preserve">Date format not explicitly validated; DB enforces DATE type (would 500).</w:t>
      </w:r>
    </w:p>
    <w:p>
      <w:pPr>
        <w:pStyle w:val="Heading2"/>
        <w:spacing w:after="120" w:before="240"/>
      </w:pPr>
      <w:r>
        <w:rPr>
          <w:rFonts w:ascii="Arial" w:cs="Arial" w:eastAsia="Arial" w:hAnsi="Arial"/>
          <w:b/>
          <w:bCs/>
          <w:color w:val="263849"/>
          <w:sz w:val="30"/>
          <w:szCs w:val="30"/>
        </w:rPr>
        <w:t xml:space="preserve">1.8 POST /api/deals/{slug}/snapshots</w:t>
      </w:r>
    </w:p>
    <w:p>
      <w:pPr>
        <w:spacing w:after="140" w:line="280"/>
        <w:jc w:val="both"/>
      </w:pPr>
      <w:r>
        <w:rPr>
          <w:rFonts w:ascii="Arial" w:cs="Arial" w:eastAsia="Arial" w:hAnsi="Arial"/>
          <w:sz w:val="22"/>
          <w:szCs w:val="22"/>
        </w:rPr>
        <w:t xml:space="preserve">Line 15349. Handler: capture_deal_snapshot(slug, payload: TopsheetSnapshotCaptureRequest, viewer).</w:t>
      </w:r>
    </w:p>
    <w:p>
      <w:pPr>
        <w:spacing w:after="80"/>
      </w:pPr>
      <w:r>
        <w:rPr>
          <w:rFonts w:ascii="Arial" w:cs="Arial" w:eastAsia="Arial" w:hAnsi="Arial"/>
          <w:b/>
          <w:bCs/>
          <w:sz w:val="22"/>
          <w:szCs w:val="22"/>
        </w:rPr>
        <w:t xml:space="preserve">Request body</w:t>
      </w:r>
    </w:p>
    <w:p>
      <w:pPr>
        <w:pStyle w:val="ListParagraph"/>
        <w:numPr>
          <w:ilvl w:val="0"/>
          <w:numId w:val="2"/>
        </w:numPr>
        <w:spacing w:after="60"/>
      </w:pPr>
      <w:r>
        <w:rPr>
          <w:rFonts w:ascii="Arial" w:cs="Arial" w:eastAsia="Arial" w:hAnsi="Arial"/>
          <w:sz w:val="22"/>
          <w:szCs w:val="22"/>
        </w:rPr>
        <w:t xml:space="preserve">capturedBy — str, required.</w:t>
      </w:r>
    </w:p>
    <w:p>
      <w:pPr>
        <w:pStyle w:val="ListParagraph"/>
        <w:numPr>
          <w:ilvl w:val="0"/>
          <w:numId w:val="2"/>
        </w:numPr>
        <w:spacing w:after="60"/>
      </w:pPr>
      <w:r>
        <w:rPr>
          <w:rFonts w:ascii="Arial" w:cs="Arial" w:eastAsia="Arial" w:hAnsi="Arial"/>
          <w:sz w:val="22"/>
          <w:szCs w:val="22"/>
        </w:rPr>
        <w:t xml:space="preserve">snapshotLabel — str, required.</w:t>
      </w:r>
    </w:p>
    <w:p>
      <w:pPr>
        <w:pStyle w:val="ListParagraph"/>
        <w:numPr>
          <w:ilvl w:val="0"/>
          <w:numId w:val="2"/>
        </w:numPr>
        <w:spacing w:after="60"/>
      </w:pPr>
      <w:r>
        <w:rPr>
          <w:rFonts w:ascii="Arial" w:cs="Arial" w:eastAsia="Arial" w:hAnsi="Arial"/>
          <w:sz w:val="22"/>
          <w:szCs w:val="22"/>
        </w:rPr>
        <w:t xml:space="preserve">snapshotType — str, required (manual | scheduled | amendment).</w:t>
      </w:r>
    </w:p>
    <w:p>
      <w:pPr>
        <w:pStyle w:val="ListParagraph"/>
        <w:numPr>
          <w:ilvl w:val="0"/>
          <w:numId w:val="2"/>
        </w:numPr>
        <w:spacing w:after="60"/>
      </w:pPr>
      <w:r>
        <w:rPr>
          <w:rFonts w:ascii="Arial" w:cs="Arial" w:eastAsia="Arial" w:hAnsi="Arial"/>
          <w:sz w:val="22"/>
          <w:szCs w:val="22"/>
        </w:rPr>
        <w:t xml:space="preserve">summary — str, optional.</w:t>
      </w:r>
    </w:p>
    <w:p>
      <w:pPr>
        <w:spacing w:after="80"/>
      </w:pPr>
      <w:r>
        <w:rPr>
          <w:rFonts w:ascii="Arial" w:cs="Arial" w:eastAsia="Arial" w:hAnsi="Arial"/>
          <w:b/>
          <w:bCs/>
          <w:sz w:val="22"/>
          <w:szCs w:val="22"/>
        </w:rPr>
        <w:t xml:space="preserve">Validation</w:t>
      </w:r>
    </w:p>
    <w:p>
      <w:pPr>
        <w:pStyle w:val="ListParagraph"/>
        <w:numPr>
          <w:ilvl w:val="0"/>
          <w:numId w:val="2"/>
        </w:numPr>
        <w:spacing w:after="60"/>
      </w:pPr>
      <w:r>
        <w:rPr>
          <w:rFonts w:ascii="Arial" w:cs="Arial" w:eastAsia="Arial" w:hAnsi="Arial"/>
          <w:sz w:val="22"/>
          <w:szCs w:val="22"/>
        </w:rPr>
        <w:t xml:space="preserve">ensure_permission(conn, viewer_context, "capture_snapshots") → 403 "Snapshot capture denied".</w:t>
      </w:r>
    </w:p>
    <w:p>
      <w:pPr>
        <w:pStyle w:val="ListParagraph"/>
        <w:numPr>
          <w:ilvl w:val="0"/>
          <w:numId w:val="2"/>
        </w:numPr>
        <w:spacing w:after="60"/>
      </w:pPr>
      <w:r>
        <w:rPr>
          <w:rFonts w:ascii="Arial" w:cs="Arial" w:eastAsia="Arial" w:hAnsi="Arial"/>
          <w:sz w:val="22"/>
          <w:szCs w:val="22"/>
        </w:rPr>
        <w:t xml:space="preserve">SELECT id FROM deals WHERE slug = %s → 404 "Deal not found".</w:t>
      </w:r>
    </w:p>
    <w:p>
      <w:pPr>
        <w:pStyle w:val="ListParagraph"/>
        <w:numPr>
          <w:ilvl w:val="0"/>
          <w:numId w:val="2"/>
        </w:numPr>
        <w:spacing w:after="60"/>
      </w:pPr>
      <w:r>
        <w:rPr>
          <w:rFonts w:ascii="Arial" w:cs="Arial" w:eastAsia="Arial" w:hAnsi="Arial"/>
          <w:sz w:val="22"/>
          <w:szCs w:val="22"/>
        </w:rPr>
        <w:t xml:space="preserve">ensure_access_to_deal(conn, viewer_context, deal_id) → 403.</w:t>
      </w:r>
    </w:p>
    <w:p>
      <w:pPr>
        <w:pStyle w:val="ListParagraph"/>
        <w:numPr>
          <w:ilvl w:val="0"/>
          <w:numId w:val="2"/>
        </w:numPr>
        <w:spacing w:after="60"/>
      </w:pPr>
      <w:r>
        <w:rPr>
          <w:rFonts w:ascii="Arial" w:cs="Arial" w:eastAsia="Arial" w:hAnsi="Arial"/>
          <w:sz w:val="22"/>
          <w:szCs w:val="22"/>
        </w:rPr>
        <w:t xml:space="preserve">Non-empty check on snapshotLabel, snapshotType, capturedBy → 400 otherwise.</w:t>
      </w:r>
    </w:p>
    <w:p>
      <w:pPr>
        <w:pStyle w:val="ListParagraph"/>
        <w:numPr>
          <w:ilvl w:val="0"/>
          <w:numId w:val="2"/>
        </w:numPr>
        <w:spacing w:after="60"/>
      </w:pPr>
      <w:r>
        <w:rPr>
          <w:rFonts w:ascii="Arial" w:cs="Arial" w:eastAsia="Arial" w:hAnsi="Arial"/>
          <w:sz w:val="22"/>
          <w:szCs w:val="22"/>
        </w:rPr>
        <w:t xml:space="preserve">Counts existing snapshots for activity event delta.</w:t>
      </w:r>
    </w:p>
    <w:p>
      <w:pPr>
        <w:pStyle w:val="ListParagraph"/>
        <w:numPr>
          <w:ilvl w:val="0"/>
          <w:numId w:val="2"/>
        </w:numPr>
        <w:spacing w:after="60"/>
      </w:pPr>
      <w:r>
        <w:rPr>
          <w:rFonts w:ascii="Arial" w:cs="Arial" w:eastAsia="Arial" w:hAnsi="Arial"/>
          <w:sz w:val="22"/>
          <w:szCs w:val="22"/>
        </w:rPr>
        <w:t xml:space="preserve">Associates snapshot with activity_events via trigger_event_id.</w:t>
      </w:r>
    </w:p>
    <w:p>
      <w:pPr>
        <w:pStyle w:val="Heading2"/>
        <w:spacing w:after="120" w:before="240"/>
      </w:pPr>
      <w:r>
        <w:rPr>
          <w:rFonts w:ascii="Arial" w:cs="Arial" w:eastAsia="Arial" w:hAnsi="Arial"/>
          <w:b/>
          <w:bCs/>
          <w:color w:val="263849"/>
          <w:sz w:val="30"/>
          <w:szCs w:val="30"/>
        </w:rPr>
        <w:t xml:space="preserve">1.9 POST /api/todos</w:t>
      </w:r>
    </w:p>
    <w:p>
      <w:pPr>
        <w:spacing w:after="140" w:line="280"/>
        <w:jc w:val="both"/>
      </w:pPr>
      <w:r>
        <w:rPr>
          <w:rFonts w:ascii="Arial" w:cs="Arial" w:eastAsia="Arial" w:hAnsi="Arial"/>
          <w:sz w:val="22"/>
          <w:szCs w:val="22"/>
        </w:rPr>
        <w:t xml:space="preserve">Line 20890. Handler: create_todo(body: dict).</w:t>
      </w:r>
    </w:p>
    <w:p>
      <w:pPr>
        <w:pStyle w:val="ListParagraph"/>
        <w:numPr>
          <w:ilvl w:val="0"/>
          <w:numId w:val="2"/>
        </w:numPr>
        <w:spacing w:after="60"/>
      </w:pPr>
      <w:r>
        <w:rPr>
          <w:rFonts w:ascii="Arial" w:cs="Arial" w:eastAsia="Arial" w:hAnsi="Arial"/>
          <w:sz w:val="22"/>
          <w:szCs w:val="22"/>
        </w:rPr>
        <w:t xml:space="preserve">text = body.get("text", "").strip() → 400 "text is required" if empty.</w:t>
      </w:r>
    </w:p>
    <w:p>
      <w:pPr>
        <w:pStyle w:val="ListParagraph"/>
        <w:numPr>
          <w:ilvl w:val="0"/>
          <w:numId w:val="2"/>
        </w:numPr>
        <w:spacing w:after="60"/>
      </w:pPr>
      <w:r>
        <w:rPr>
          <w:rFonts w:ascii="Arial" w:cs="Arial" w:eastAsia="Arial" w:hAnsi="Arial"/>
          <w:sz w:val="22"/>
          <w:szCs w:val="22"/>
        </w:rPr>
        <w:t xml:space="preserve">No type-check; relies on SQL parameter binding.</w:t>
      </w:r>
    </w:p>
    <w:p>
      <w:pPr>
        <w:pStyle w:val="Heading1"/>
        <w:pageBreakBefore/>
        <w:spacing w:after="180" w:before="240"/>
      </w:pPr>
      <w:r>
        <w:rPr>
          <w:rFonts w:ascii="Arial" w:cs="Arial" w:eastAsia="Arial" w:hAnsi="Arial"/>
          <w:b/>
          <w:bCs/>
          <w:color w:val="1F6FA5"/>
          <w:sz w:val="40"/>
          <w:szCs w:val="40"/>
        </w:rPr>
        <w:t xml:space="preserve">2. Postgres triggers, functions, and views</w:t>
      </w:r>
    </w:p>
    <w:p>
      <w:pPr>
        <w:spacing w:after="140" w:line="280"/>
        <w:jc w:val="both"/>
      </w:pPr>
      <w:r>
        <w:rPr>
          <w:rFonts w:ascii="Arial" w:cs="Arial" w:eastAsia="Arial" w:hAnsi="Arial"/>
          <w:sz w:val="22"/>
          <w:szCs w:val="22"/>
        </w:rPr>
        <w:t xml:space="preserve">Comprehensive grep of init.sql + migrations.sql.</w:t>
      </w:r>
    </w:p>
    <w:p>
      <w:pPr>
        <w:pStyle w:val="Heading2"/>
        <w:spacing w:after="120" w:before="240"/>
      </w:pPr>
      <w:r>
        <w:rPr>
          <w:rFonts w:ascii="Arial" w:cs="Arial" w:eastAsia="Arial" w:hAnsi="Arial"/>
          <w:b/>
          <w:bCs/>
          <w:color w:val="263849"/>
          <w:sz w:val="30"/>
          <w:szCs w:val="30"/>
        </w:rPr>
        <w:t xml:space="preserve">2.1 Views</w:t>
      </w:r>
    </w:p>
    <w:p>
      <w:pPr>
        <w:spacing w:after="140" w:line="280"/>
        <w:jc w:val="both"/>
      </w:pPr>
      <w:r>
        <w:rPr>
          <w:rFonts w:ascii="Arial" w:cs="Arial" w:eastAsia="Arial" w:hAnsi="Arial"/>
          <w:sz w:val="22"/>
          <w:szCs w:val="22"/>
        </w:rPr>
        <w:t xml:space="preserve">No CREATE VIEW statements found in either file. The v_topsheet_field_audit_status referenced in the integrated spec must therefore be an older reference that was since removed, or exists only as an in-query sub-select. Flagging as inconsistency worth checking.</w:t>
      </w:r>
    </w:p>
    <w:p>
      <w:pPr>
        <w:pBdr>
          <w:left w:val="single" w:color="B63A3A" w:sz="16" w:space="10"/>
        </w:pBdr>
        <w:spacing w:after="160" w:before="80"/>
        <w:ind w:left="200"/>
      </w:pPr>
      <w:r>
        <w:rPr>
          <w:rFonts w:ascii="Arial" w:cs="Arial" w:eastAsia="Arial" w:hAnsi="Arial"/>
          <w:b/>
          <w:bCs/>
          <w:color w:val="B63A3A"/>
          <w:sz w:val="22"/>
          <w:szCs w:val="22"/>
        </w:rPr>
        <w:t xml:space="preserve">TBD / OUTSTANDING — </w:t>
      </w:r>
      <w:r>
        <w:rPr>
          <w:rFonts w:ascii="Arial" w:cs="Arial" w:eastAsia="Arial" w:hAnsi="Arial"/>
          <w:color w:val="263849"/>
          <w:sz w:val="22"/>
          <w:szCs w:val="22"/>
        </w:rPr>
        <w:t xml:space="preserve">Resolve: v_topsheet_field_audit_status referenced in integrated spec Part II but not found in schema DDL. Either it needs to be added to migrations.sql, or the reference needs to be removed from the spec.</w:t>
      </w:r>
    </w:p>
    <w:p>
      <w:pPr>
        <w:pStyle w:val="Heading2"/>
        <w:spacing w:after="120" w:before="240"/>
      </w:pPr>
      <w:r>
        <w:rPr>
          <w:rFonts w:ascii="Arial" w:cs="Arial" w:eastAsia="Arial" w:hAnsi="Arial"/>
          <w:b/>
          <w:bCs/>
          <w:color w:val="263849"/>
          <w:sz w:val="30"/>
          <w:szCs w:val="30"/>
        </w:rPr>
        <w:t xml:space="preserve">2.2 Functions — exactly one</w:t>
      </w:r>
    </w:p>
    <w:p>
      <w:pPr>
        <w:spacing w:after="140" w:line="280"/>
        <w:jc w:val="both"/>
      </w:pPr>
      <w:r>
        <w:rPr>
          <w:rFonts w:ascii="Arial" w:cs="Arial" w:eastAsia="Arial" w:hAnsi="Arial"/>
          <w:sz w:val="22"/>
          <w:szCs w:val="22"/>
        </w:rPr>
        <w:t xml:space="preserve">enforce_onboarding_snapshot_immutability() — migrations.sql lines 828–880.</w:t>
      </w:r>
    </w:p>
    <w:p>
      <w:pPr>
        <w:spacing w:after="80"/>
      </w:pPr>
      <w:r>
        <w:rPr>
          <w:rFonts w:ascii="Consolas" w:cs="Consolas" w:eastAsia="Consolas" w:hAnsi="Consolas"/>
          <w:color w:val="444444"/>
          <w:sz w:val="20"/>
          <w:szCs w:val="20"/>
        </w:rPr>
        <w:t xml:space="preserve">CREATE OR REPLACE FUNCTION enforce_onboarding_snapshot_immutability()
RETURNS TRIGGER AS $$
BEGIN
    IF OLD.is_current = FALSE THEN
        RAISE EXCEPTION 'deal_onboarding_snapshot % is superseded and immutable', OLD.id;
    END IF;
    IF NEW.snapshot_date IS DISTINCT FROM OLD.snapshot_date
       OR NEW.snapshot_number IS DISTINCT FROM OLD.snapshot_number
       OR NEW.snapshot_reason IS DISTINCT FROM OLD.snapshot_reason
       OR NEW.tail_years_at_onboarding IS DISTINCT FROM OLD.tail_years_at_onboarding
       OR NEW.tail_classification_at_onboarding IS DISTINCT FROM OLD.tail_classification_at_onboarding
       OR NEW.renewal_profile_at_onboarding IS DISTINCT FROM OLD.renewal_profile_at_onboarding
       OR NEW.debt_repayment_from_renewal_pct_at_onboarding IS DISTINCT FROM OLD.debt_repayment_from_renewal_pct_at_onboarding
       OR NEW.revenue_risk_code_at_onboarding IS DISTINCT FROM OLD.revenue_risk_code_at_onboarding
       OR NEW.concession_years_remaining_at_onboarding IS DISTINCT FROM OLD.concession_years_remaining_at_onboarding
       OR NEW.entry_leverage IS DISTINCT FROM OLD.entry_leverage
       OR NEW.entry_dscr_year_1 IS DISTINCT FROM OLD.entry_dscr_year_1
       OR NEW.entry_dscr_min_life IS DISTINCT FROM OLD.entry_dscr_min_life
       OR NEW.entry_llcr IS DISTINCT FROM OLD.entry_llcr
       OR NEW.entry_loan_life_years IS DISTINCT FROM OLD.entry_loan_life_years
       OR NEW.entry_wal_years IS DISTINCT FROM OLD.entry_wal_years
       OR NEW.lender_case_dscr_min IS DISTINCT FROM OLD.lender_case_dscr_min
       OR NEW.lender_case_leverage_peak IS DISTINCT FROM OLD.lender_case_leverage_peak
       OR NEW.stress_break_even_pct IS DISTINCT FROM OLD.stress_break_even_pct
       OR NEW.stress_cases_tested IS DISTINCT FROM OLD.stress_cases_tested
       OR NEW.ic_memo_date IS DISTINCT FROM OLD.ic_memo_date
       OR NEW.ic_memo_reference IS DISTINCT FROM OLD.ic_memo_reference
       OR NEW.ic_approved_by IS DISTINCT FROM OLD.ic_approved_by
       OR NEW.ic_approval_conditions IS DISTINCT FROM OLD.ic_approval_conditions
       OR NEW.ic_vote_margin IS DISTINCT FROM OLD.ic_vote_margin
       OR NEW.entry_all_in_margin_bps IS DISTINCT FROM OLD.entry_all_in_margin_bps
       OR NEW.entry_upfront_fees_bps IS DISTINCT FROM OLD.entry_upfront_fees_bps
       OR NEW.entry_secondary_purchase_price_pct IS DISTINCT FROM OLD.entry_secondary_purchase_price_pct
       OR NEW.entry_yield_to_maturity IS DISTINCT FROM OLD.entry_yield_to_maturity
       OR NEW.expected_hold_period_years IS DISTINCT FROM OLD.expected_hold_period_years
       OR NEW.exit_strategy IS DISTINCT FROM OLD.exit_strategy
       OR NEW.entry_risk_free_rate_bps IS DISTINCT FROM OLD.entry_risk_free_rate_bps
       OR NEW.entry_credit_spread_bps IS DISTINCT FROM OLD.entry_credit_spread_bps
       OR NEW.entry_relative_value_notes IS DISTINCT FROM OLD.entry_relative_value_notes
       OR NEW.initial_risk_score IS DISTINCT FROM OLD.initial_risk_score
       OR NEW.initial_grade IS DISTINCT FROM OLD.initial_grade
       OR NEW.critical_risks_at_onboarding IS DISTINCT FROM OLD.critical_risks_at_onboarding
       OR NEW.notes IS DISTINCT FROM OLD.notes
    THEN
        RAISE EXCEPTION 'Onboarding snapshot fields are write-once. Create a new snapshot (snapshot_number = %) instead of updating this one.', OLD.snapshot_number + 1;
    END IF;
    RETURN NEW;
END;
$$ LANGUAGE plpgsql;</w:t>
      </w:r>
    </w:p>
    <w:p>
      <w:pPr>
        <w:spacing w:after="140" w:line="280"/>
        <w:jc w:val="both"/>
      </w:pPr>
      <w:r>
        <w:rPr>
          <w:rFonts w:ascii="Arial" w:cs="Arial" w:eastAsia="Arial" w:hAnsi="Arial"/>
          <w:sz w:val="22"/>
          <w:szCs w:val="22"/>
        </w:rPr>
        <w:t xml:space="preserve">Purpose: enforces immutability on already-superseded snapshots (hard block); enforces write-once on 40+ snapshot fields when the row is still current. Any change to protected columns raises an exception instructing the user to create a new snapshot with snapshot_number + 1.</w:t>
      </w:r>
    </w:p>
    <w:p>
      <w:pPr>
        <w:pStyle w:val="Heading2"/>
        <w:spacing w:after="120" w:before="240"/>
      </w:pPr>
      <w:r>
        <w:rPr>
          <w:rFonts w:ascii="Arial" w:cs="Arial" w:eastAsia="Arial" w:hAnsi="Arial"/>
          <w:b/>
          <w:bCs/>
          <w:color w:val="263849"/>
          <w:sz w:val="30"/>
          <w:szCs w:val="30"/>
        </w:rPr>
        <w:t xml:space="preserve">2.3 Triggers — exactly one</w:t>
      </w:r>
    </w:p>
    <w:p>
      <w:pPr>
        <w:spacing w:after="80"/>
      </w:pPr>
      <w:r>
        <w:rPr>
          <w:rFonts w:ascii="Consolas" w:cs="Consolas" w:eastAsia="Consolas" w:hAnsi="Consolas"/>
          <w:color w:val="444444"/>
          <w:sz w:val="20"/>
          <w:szCs w:val="20"/>
        </w:rPr>
        <w:t xml:space="preserve">CREATE TRIGGER trg_onboarding_snapshot_immutability
    BEFORE UPDATE ON deal_onboarding_snapshots
    FOR EACH ROW
    EXECUTE FUNCTION enforce_onboarding_snapshot_immutability();</w:t>
      </w:r>
    </w:p>
    <w:p>
      <w:pPr>
        <w:spacing w:after="140" w:line="280"/>
        <w:jc w:val="both"/>
      </w:pPr>
      <w:r>
        <w:rPr>
          <w:rFonts w:ascii="Arial" w:cs="Arial" w:eastAsia="Arial" w:hAnsi="Arial"/>
          <w:sz w:val="22"/>
          <w:szCs w:val="22"/>
        </w:rPr>
        <w:t xml:space="preserve">migrations.sql lines 883–886.</w:t>
      </w:r>
    </w:p>
    <w:p>
      <w:pPr>
        <w:pStyle w:val="Heading2"/>
        <w:spacing w:after="120" w:before="240"/>
      </w:pPr>
      <w:r>
        <w:rPr>
          <w:rFonts w:ascii="Arial" w:cs="Arial" w:eastAsia="Arial" w:hAnsi="Arial"/>
          <w:b/>
          <w:bCs/>
          <w:color w:val="263849"/>
          <w:sz w:val="30"/>
          <w:szCs w:val="30"/>
        </w:rPr>
        <w:t xml:space="preserve">2.4 Indexes — 118 total</w:t>
      </w:r>
    </w:p>
    <w:p>
      <w:pPr>
        <w:spacing w:after="140" w:line="280"/>
        <w:jc w:val="both"/>
      </w:pPr>
      <w:r>
        <w:rPr>
          <w:rFonts w:ascii="Arial" w:cs="Arial" w:eastAsia="Arial" w:hAnsi="Arial"/>
          <w:sz w:val="22"/>
          <w:szCs w:val="22"/>
        </w:rPr>
        <w:t xml:space="preserve">Comprehensive list of CREATE INDEX statements across init.sql and migrations.sql. Note that many are duplicated across both files (expected given migrations re-declares everything idempotently).</w:t>
      </w:r>
    </w:p>
    <w:p>
      <w:pPr>
        <w:pStyle w:val="Heading3"/>
        <w:spacing w:after="80" w:before="180"/>
      </w:pPr>
      <w:r>
        <w:rPr>
          <w:rFonts w:ascii="Arial" w:cs="Arial" w:eastAsia="Arial" w:hAnsi="Arial"/>
          <w:b/>
          <w:bCs/>
          <w:color w:val="263849"/>
          <w:sz w:val="26"/>
          <w:szCs w:val="26"/>
        </w:rPr>
        <w:t xml:space="preserve">Covenant &amp; test indexes</w:t>
      </w:r>
    </w:p>
    <w:p>
      <w:pPr>
        <w:spacing w:after="80"/>
      </w:pPr>
      <w:r>
        <w:rPr>
          <w:rFonts w:ascii="Consolas" w:cs="Consolas" w:eastAsia="Consolas" w:hAnsi="Consolas"/>
          <w:color w:val="444444"/>
          <w:sz w:val="20"/>
          <w:szCs w:val="20"/>
        </w:rPr>
        <w:t xml:space="preserve">idx_covenant_thresholds_deal   covenant_thresholds(deal_id)
idx_covenant_tests_deal        covenant_tests(deal_id)
idx_covenant_tests_period      covenant_tests(actual_period_id)</w:t>
      </w:r>
    </w:p>
    <w:p>
      <w:pPr>
        <w:pStyle w:val="Heading3"/>
        <w:spacing w:after="80" w:before="180"/>
      </w:pPr>
      <w:r>
        <w:rPr>
          <w:rFonts w:ascii="Arial" w:cs="Arial" w:eastAsia="Arial" w:hAnsi="Arial"/>
          <w:b/>
          <w:bCs/>
          <w:color w:val="263849"/>
          <w:sz w:val="26"/>
          <w:szCs w:val="26"/>
        </w:rPr>
        <w:t xml:space="preserve">Actual periods</w:t>
      </w:r>
    </w:p>
    <w:p>
      <w:pPr>
        <w:spacing w:after="80"/>
      </w:pPr>
      <w:r>
        <w:rPr>
          <w:rFonts w:ascii="Consolas" w:cs="Consolas" w:eastAsia="Consolas" w:hAnsi="Consolas"/>
          <w:color w:val="444444"/>
          <w:sz w:val="20"/>
          <w:szCs w:val="20"/>
        </w:rPr>
        <w:t xml:space="preserve">idx_actual_periods_deal   actual_periods(deal_id)
idx_actual_periods_flag   actual_periods(period_flag)</w:t>
      </w:r>
    </w:p>
    <w:p>
      <w:pPr>
        <w:pStyle w:val="Heading3"/>
        <w:spacing w:after="80" w:before="180"/>
      </w:pPr>
      <w:r>
        <w:rPr>
          <w:rFonts w:ascii="Arial" w:cs="Arial" w:eastAsia="Arial" w:hAnsi="Arial"/>
          <w:b/>
          <w:bCs/>
          <w:color w:val="263849"/>
          <w:sz w:val="26"/>
          <w:szCs w:val="26"/>
        </w:rPr>
        <w:t xml:space="preserve">Risk taxonomy</w:t>
      </w:r>
    </w:p>
    <w:p>
      <w:pPr>
        <w:spacing w:after="80"/>
      </w:pPr>
      <w:r>
        <w:rPr>
          <w:rFonts w:ascii="Consolas" w:cs="Consolas" w:eastAsia="Consolas" w:hAnsi="Consolas"/>
          <w:color w:val="444444"/>
          <w:sz w:val="20"/>
          <w:szCs w:val="20"/>
        </w:rPr>
        <w:t xml:space="preserve">idx_risk_tax_category   risk_taxonomy(category_code)
idx_risk_tax_subsector  risk_taxonomy(sub_sector)</w:t>
      </w:r>
    </w:p>
    <w:p>
      <w:pPr>
        <w:pStyle w:val="Heading3"/>
        <w:spacing w:after="80" w:before="180"/>
      </w:pPr>
      <w:r>
        <w:rPr>
          <w:rFonts w:ascii="Arial" w:cs="Arial" w:eastAsia="Arial" w:hAnsi="Arial"/>
          <w:b/>
          <w:bCs/>
          <w:color w:val="263849"/>
          <w:sz w:val="26"/>
          <w:szCs w:val="26"/>
        </w:rPr>
        <w:t xml:space="preserve">Deal risk register</w:t>
      </w:r>
    </w:p>
    <w:p>
      <w:pPr>
        <w:spacing w:after="80"/>
      </w:pPr>
      <w:r>
        <w:rPr>
          <w:rFonts w:ascii="Consolas" w:cs="Consolas" w:eastAsia="Consolas" w:hAnsi="Consolas"/>
          <w:color w:val="444444"/>
          <w:sz w:val="20"/>
          <w:szCs w:val="20"/>
        </w:rPr>
        <w:t xml:space="preserve">idx_drr_deal    deal_risk_register(deal_id)
idx_drr_risk    deal_risk_register(risk_id)
idx_drr_status  deal_risk_register(status)
idx_drr_level   deal_risk_register(risk_level)
idx_drr_score   deal_risk_register(risk_score)
idx_drrh_deal   deal_risk_register_history(deal_id)
idx_drrh_risk   deal_risk_register_history(deal_id, risk_id)</w:t>
      </w:r>
    </w:p>
    <w:p>
      <w:pPr>
        <w:pStyle w:val="Heading3"/>
        <w:spacing w:after="80" w:before="180"/>
      </w:pPr>
      <w:r>
        <w:rPr>
          <w:rFonts w:ascii="Arial" w:cs="Arial" w:eastAsia="Arial" w:hAnsi="Arial"/>
          <w:b/>
          <w:bCs/>
          <w:color w:val="263849"/>
          <w:sz w:val="26"/>
          <w:szCs w:val="26"/>
        </w:rPr>
        <w:t xml:space="preserve">Capital structure + entities + counterparties + reserves</w:t>
      </w:r>
    </w:p>
    <w:p>
      <w:pPr>
        <w:spacing w:after="80"/>
      </w:pPr>
      <w:r>
        <w:rPr>
          <w:rFonts w:ascii="Consolas" w:cs="Consolas" w:eastAsia="Consolas" w:hAnsi="Consolas"/>
          <w:color w:val="444444"/>
          <w:sz w:val="20"/>
          <w:szCs w:val="20"/>
        </w:rPr>
        <w:t xml:space="preserve">idx_csi_deal        capital_structure_instruments(deal_id)
idx_csi_src_doc     capital_structure_instruments(source_document_id)
idx_ec_deal         enforcement_classes(deal_id)
idx_ce_deal         corporate_entities(deal_id)
idx_ce_src_doc      corporate_entities(source_document_id)
idx_dcp_deal        deal_counterparties(deal_id)
idx_dcp_src_doc     deal_counterparties(source_document_id)
idx_dra_deal        deal_reserve_accounts(deal_id)
idx_dra_src_doc     deal_reserve_accounts(source_document_id)
idx_hp_deal         hedge_portfolio(deal_id)
idx_hp_src_doc      hedge_portfolio(source_document_id)
idx_ddp_deal        deal_development_phases(deal_id)
idx_ia_deal         investor_allocations(deal_id)</w:t>
      </w:r>
    </w:p>
    <w:p>
      <w:pPr>
        <w:pStyle w:val="Heading3"/>
        <w:spacing w:after="80" w:before="180"/>
      </w:pPr>
      <w:r>
        <w:rPr>
          <w:rFonts w:ascii="Arial" w:cs="Arial" w:eastAsia="Arial" w:hAnsi="Arial"/>
          <w:b/>
          <w:bCs/>
          <w:color w:val="263849"/>
          <w:sz w:val="26"/>
          <w:szCs w:val="26"/>
        </w:rPr>
        <w:t xml:space="preserve">Performance assessments</w:t>
      </w:r>
    </w:p>
    <w:p>
      <w:pPr>
        <w:spacing w:after="80"/>
      </w:pPr>
      <w:r>
        <w:rPr>
          <w:rFonts w:ascii="Consolas" w:cs="Consolas" w:eastAsia="Consolas" w:hAnsi="Consolas"/>
          <w:color w:val="444444"/>
          <w:sz w:val="20"/>
          <w:szCs w:val="20"/>
        </w:rPr>
        <w:t xml:space="preserve">idx_perf_assess_deal    performance_assessments(deal_id)
idx_perf_assess_period  performance_assessments(assessment_period)
idx_perf_assess_grade   performance_assessments(performance_grade)
idx_perf_assess_trend   performance_assessments(performance_trend)</w:t>
      </w:r>
    </w:p>
    <w:p>
      <w:pPr>
        <w:pStyle w:val="Heading3"/>
        <w:spacing w:after="80" w:before="180"/>
      </w:pPr>
      <w:r>
        <w:rPr>
          <w:rFonts w:ascii="Arial" w:cs="Arial" w:eastAsia="Arial" w:hAnsi="Arial"/>
          <w:b/>
          <w:bCs/>
          <w:color w:val="263849"/>
          <w:sz w:val="26"/>
          <w:szCs w:val="26"/>
        </w:rPr>
        <w:t xml:space="preserve">Reporting periods + line items + financial items</w:t>
      </w:r>
    </w:p>
    <w:p>
      <w:pPr>
        <w:spacing w:after="80"/>
      </w:pPr>
      <w:r>
        <w:rPr>
          <w:rFonts w:ascii="Consolas" w:cs="Consolas" w:eastAsia="Consolas" w:hAnsi="Consolas"/>
          <w:color w:val="444444"/>
          <w:sz w:val="20"/>
          <w:szCs w:val="20"/>
        </w:rPr>
        <w:t xml:space="preserve">idx_drp_deal_flag     deal_reporting_periods(deal_id, period_flag)
idx_drp_deal_ordinal  deal_reporting_periods(deal_id, period_ordinal)
idx_drp_status        deal_reporting_periods(data_status) WHERE data_status != 'approved'
idx_lid_section_order line_item_definitions(section, row_order)
idx_lid_parent        line_item_definitions(parent_line_key) WHERE parent_line_key IS NOT NULL
idx_pfi_period        period_financial_items(reporting_period_id)
idx_pfi_deal_line     period_financial_items(deal_id, line_key)
idx_pfi_deal_period   period_financial_items(deal_id, reporting_period_id)
idx_pfi_status        period_financial_items(item_status) WHERE item_status IN ('pending', 'flagged')
idx_dlil_deal         deal_line_item_labels(deal_id)</w:t>
      </w:r>
    </w:p>
    <w:p>
      <w:pPr>
        <w:pStyle w:val="Heading3"/>
        <w:spacing w:after="80" w:before="180"/>
      </w:pPr>
      <w:r>
        <w:rPr>
          <w:rFonts w:ascii="Arial" w:cs="Arial" w:eastAsia="Arial" w:hAnsi="Arial"/>
          <w:b/>
          <w:bCs/>
          <w:color w:val="263849"/>
          <w:sz w:val="26"/>
          <w:szCs w:val="26"/>
        </w:rPr>
        <w:t xml:space="preserve">Forecasts + KPIs</w:t>
      </w:r>
    </w:p>
    <w:p>
      <w:pPr>
        <w:spacing w:after="80"/>
      </w:pPr>
      <w:r>
        <w:rPr>
          <w:rFonts w:ascii="Consolas" w:cs="Consolas" w:eastAsia="Consolas" w:hAnsi="Consolas"/>
          <w:color w:val="444444"/>
          <w:sz w:val="20"/>
          <w:szCs w:val="20"/>
        </w:rPr>
        <w:t xml:space="preserve">idx_fpi_deal_version    forecast_period_items(deal_id, forecast_case_version_id)
idx_fpi_deal_line       forecast_period_items(deal_id, line_key)
idx_fpi_version_period  forecast_period_items(forecast_case_version_id, reporting_period_id)
idx_fmm_deal            forecast_model_metadata(deal_id)
idx_forecast_cases_driving_risk    forecast_cases(driving_risk_id)
idx_forecast_cases_scenario_kind   forecast_cases(scenario_kind)
idx_dkt_deal        deal_kpi_targets(deal_id)   — table since dropped
idx_dkt_scenario    deal_kpi_targets(deal_id, scenario)  — table since dropped
idx_dko_deal        deal_kpi_observations(deal_id)
idx_dko_period      deal_kpi_observations(reporting_period_id)
idx_dko_status      deal_kpi_observations(status) WHERE status != 'on_track'</w:t>
      </w:r>
    </w:p>
    <w:p>
      <w:pPr>
        <w:pStyle w:val="Heading3"/>
        <w:spacing w:after="80" w:before="180"/>
      </w:pPr>
      <w:r>
        <w:rPr>
          <w:rFonts w:ascii="Arial" w:cs="Arial" w:eastAsia="Arial" w:hAnsi="Arial"/>
          <w:b/>
          <w:bCs/>
          <w:color w:val="263849"/>
          <w:sz w:val="26"/>
          <w:szCs w:val="26"/>
        </w:rPr>
        <w:t xml:space="preserve">Obligations + EoDs + triggers + distribution conditions</w:t>
      </w:r>
    </w:p>
    <w:p>
      <w:pPr>
        <w:spacing w:after="80"/>
      </w:pPr>
      <w:r>
        <w:rPr>
          <w:rFonts w:ascii="Consolas" w:cs="Consolas" w:eastAsia="Consolas" w:hAnsi="Consolas"/>
          <w:color w:val="444444"/>
          <w:sz w:val="20"/>
          <w:szCs w:val="20"/>
        </w:rPr>
        <w:t xml:space="preserve">idx_ot_category               obligation_taxonomy(category_number)
idx_dor_deal                  deal_obligation_register(deal_id)
idx_dor_status                deal_obligation_register(current_status) WHERE current_status IN ('overdue', 'not_yet_due')
idx_dor_next_due              deal_obligation_register(next_due_date) WHERE next_due_date IS NOT NULL
idx_deod_deal                 deal_eod_register(deal_id)
idx_deod_state                deal_eod_register(current_state) WHERE current_state != 'not_triggered'
idx_dte_deal                  deal_trigger_events(deal_id)
idx_dist_conditions_deal      deal_distribution_conditions(deal_id)
idx_dist_conditions_category  deal_distribution_conditions(condition_category)</w:t>
      </w:r>
    </w:p>
    <w:p>
      <w:pPr>
        <w:pStyle w:val="Heading3"/>
        <w:spacing w:after="80" w:before="180"/>
      </w:pPr>
      <w:r>
        <w:rPr>
          <w:rFonts w:ascii="Arial" w:cs="Arial" w:eastAsia="Arial" w:hAnsi="Arial"/>
          <w:b/>
          <w:bCs/>
          <w:color w:val="263849"/>
          <w:sz w:val="26"/>
          <w:szCs w:val="26"/>
        </w:rPr>
        <w:t xml:space="preserve">Onboarding + snapshot field citations</w:t>
      </w:r>
    </w:p>
    <w:p>
      <w:pPr>
        <w:spacing w:after="80"/>
      </w:pPr>
      <w:r>
        <w:rPr>
          <w:rFonts w:ascii="Consolas" w:cs="Consolas" w:eastAsia="Consolas" w:hAnsi="Consolas"/>
          <w:color w:val="444444"/>
          <w:sz w:val="20"/>
          <w:szCs w:val="20"/>
        </w:rPr>
        <w:t xml:space="preserve">idx_dos_deal       deal_onboarding_snapshots(deal_id)
idx_dos_current    deal_onboarding_snapshots(deal_id) WHERE is_current = TRUE
idx_tsfc_snapshot  topsheet_snapshot_field_citations(snapshot_id)
idx_tsfc_document  topsheet_snapshot_field_citations(source_document_id)</w:t>
      </w:r>
    </w:p>
    <w:p>
      <w:pPr>
        <w:pStyle w:val="Heading3"/>
        <w:spacing w:after="80" w:before="180"/>
      </w:pPr>
      <w:r>
        <w:rPr>
          <w:rFonts w:ascii="Arial" w:cs="Arial" w:eastAsia="Arial" w:hAnsi="Arial"/>
          <w:b/>
          <w:bCs/>
          <w:color w:val="263849"/>
          <w:sz w:val="26"/>
          <w:szCs w:val="26"/>
        </w:rPr>
        <w:t xml:space="preserve">Reserve history + holidays + FX + account allocations</w:t>
      </w:r>
    </w:p>
    <w:p>
      <w:pPr>
        <w:spacing w:after="80"/>
      </w:pPr>
      <w:r>
        <w:rPr>
          <w:rFonts w:ascii="Consolas" w:cs="Consolas" w:eastAsia="Consolas" w:hAnsi="Consolas"/>
          <w:color w:val="444444"/>
          <w:sz w:val="20"/>
          <w:szCs w:val="20"/>
        </w:rPr>
        <w:t xml:space="preserve">idx_rah_deal            reserve_account_history(deal_id)
idx_rah_reserve         reserve_account_history(reserve_account_id)
idx_rah_period          reserve_account_history(reporting_period_id)
idx_ph_jurisdiction     public_holidays(jurisdiction)
idx_ph_date             public_holidays(holiday_date)
idx_fx_rates_lookup     fx_rates(...)
idx_aia_account         account_instrument_allocations(account_id)
idx_aia_deal            account_instrument_allocations(deal_id)
idx_aia_instrument      account_instrument_allocations(instrument_id)</w:t>
      </w:r>
    </w:p>
    <w:p>
      <w:pPr>
        <w:pStyle w:val="Heading3"/>
        <w:spacing w:after="80" w:before="180"/>
      </w:pPr>
      <w:r>
        <w:rPr>
          <w:rFonts w:ascii="Arial" w:cs="Arial" w:eastAsia="Arial" w:hAnsi="Arial"/>
          <w:b/>
          <w:bCs/>
          <w:color w:val="263849"/>
          <w:sz w:val="26"/>
          <w:szCs w:val="26"/>
        </w:rPr>
        <w:t xml:space="preserve">Source-document indexes across all deal-scoped tables</w:t>
      </w:r>
    </w:p>
    <w:p>
      <w:pPr>
        <w:spacing w:after="140" w:line="280"/>
        <w:jc w:val="both"/>
      </w:pPr>
      <w:r>
        <w:rPr>
          <w:rFonts w:ascii="Arial" w:cs="Arial" w:eastAsia="Arial" w:hAnsi="Arial"/>
          <w:sz w:val="22"/>
          <w:szCs w:val="22"/>
        </w:rPr>
        <w:t xml:space="preserve">17 idx_*_src_doc indexes, one per deal-scoped table that carries the source_* audit-trail block: csi, ce, djs, ct, ddc, deod, dte, dcp, dra, hp, drr, dkt, dam, dcm, ddp, dor, dos, csmr.</w:t>
      </w:r>
    </w:p>
    <w:p>
      <w:pPr>
        <w:pStyle w:val="Heading3"/>
        <w:spacing w:after="80" w:before="180"/>
      </w:pPr>
      <w:r>
        <w:rPr>
          <w:rFonts w:ascii="Arial" w:cs="Arial" w:eastAsia="Arial" w:hAnsi="Arial"/>
          <w:b/>
          <w:bCs/>
          <w:color w:val="263849"/>
          <w:sz w:val="26"/>
          <w:szCs w:val="26"/>
        </w:rPr>
        <w:t xml:space="preserve">Margin ratchets</w:t>
      </w:r>
    </w:p>
    <w:p>
      <w:pPr>
        <w:spacing w:after="80"/>
      </w:pPr>
      <w:r>
        <w:rPr>
          <w:rFonts w:ascii="Consolas" w:cs="Consolas" w:eastAsia="Consolas" w:hAnsi="Consolas"/>
          <w:color w:val="444444"/>
          <w:sz w:val="20"/>
          <w:szCs w:val="20"/>
        </w:rPr>
        <w:t xml:space="preserve">idx_csmr_instrument       capital_structure_margin_ratchets(instrument_id)
idx_csmr_effective_from   capital_structure_margin_ratchets(effective_from)
idx_csmr_kind             capital_structure_margin_ratchets(ratchet_kind)
idx_csmr_src_doc          capital_structure_margin_ratchets(source_document_id)</w:t>
      </w:r>
    </w:p>
    <w:p>
      <w:pPr>
        <w:pStyle w:val="Heading1"/>
        <w:pageBreakBefore/>
        <w:spacing w:after="180" w:before="240"/>
      </w:pPr>
      <w:r>
        <w:rPr>
          <w:rFonts w:ascii="Arial" w:cs="Arial" w:eastAsia="Arial" w:hAnsi="Arial"/>
          <w:b/>
          <w:bCs/>
          <w:color w:val="1F6FA5"/>
          <w:sz w:val="40"/>
          <w:szCs w:val="40"/>
        </w:rPr>
        <w:t xml:space="preserve">3. Per-deal seed enumeration</w:t>
      </w:r>
    </w:p>
    <w:p>
      <w:pPr>
        <w:spacing w:after="140" w:line="280"/>
        <w:jc w:val="both"/>
      </w:pPr>
      <w:r>
        <w:rPr>
          <w:rFonts w:ascii="Arial" w:cs="Arial" w:eastAsia="Arial" w:hAnsi="Arial"/>
          <w:sz w:val="22"/>
          <w:szCs w:val="22"/>
        </w:rPr>
        <w:t xml:space="preserve">What is actually seeded in the codebase for each deal. CRITICAL CORRECTION: only 7 deals are seeded in init.sql. The remaining 5 (Wigmore Solar, North Sea OWF, M6 Toll, Getlink, Gatwick, Beta/Delta PRS, Project Alpha) arrive via ingest-* scripts that run post-boot against the DB.</w:t>
      </w:r>
    </w:p>
    <w:p>
      <w:pPr>
        <w:pBdr>
          <w:left w:val="single" w:color="1F6FA5" w:sz="16" w:space="10"/>
        </w:pBdr>
        <w:spacing w:after="160" w:before="80"/>
        <w:ind w:left="200"/>
      </w:pPr>
      <w:r>
        <w:rPr>
          <w:rFonts w:ascii="Arial" w:cs="Arial" w:eastAsia="Arial" w:hAnsi="Arial"/>
          <w:i/>
          <w:iCs/>
          <w:color w:val="56718A"/>
          <w:sz w:val="22"/>
          <w:szCs w:val="22"/>
        </w:rPr>
        <w:t xml:space="preserve">The integrated spec states "12 demo deals" — this is the intended-state count. The actual init.sql seed contains 7 deals; the rest are loaded by scripts.</w:t>
      </w:r>
    </w:p>
    <w:p>
      <w:pPr>
        <w:pStyle w:val="Heading2"/>
        <w:spacing w:after="120" w:before="240"/>
      </w:pPr>
      <w:r>
        <w:rPr>
          <w:rFonts w:ascii="Arial" w:cs="Arial" w:eastAsia="Arial" w:hAnsi="Arial"/>
          <w:b/>
          <w:bCs/>
          <w:color w:val="263849"/>
          <w:sz w:val="30"/>
          <w:szCs w:val="30"/>
        </w:rPr>
        <w:t xml:space="preserve">3.1 Deals seeded in init.sql (ids 1–7, all Data Centre / USD)</w:t>
      </w:r>
    </w:p>
    <w:p>
      <w:pPr>
        <w:pStyle w:val="Heading3"/>
        <w:spacing w:after="80" w:before="180"/>
      </w:pPr>
      <w:r>
        <w:rPr>
          <w:rFonts w:ascii="Arial" w:cs="Arial" w:eastAsia="Arial" w:hAnsi="Arial"/>
          <w:b/>
          <w:bCs/>
          <w:color w:val="263849"/>
          <w:sz w:val="26"/>
          <w:szCs w:val="26"/>
        </w:rPr>
        <w:t xml:space="preserve">Aurora Prime Data Campus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Field</w:t>
            </w:r>
          </w:p>
        </w:tc>
        <w:tc>
          <w:tcPr>
            <w:tcW w:type="dxa" w:w="6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Seeded value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slug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aurora-prime-data-campus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Commitment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420m USD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Covenants seeded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 DSCR 1.32 performing, ND/EBITDA threshold present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 obligations (overdue compliance cert)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register entries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risk: DSCR reconciliation pressure, high, open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 periods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Q4-2025, Q1-2026, Q2-2026</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 cases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 cases (mgmt/credit/downside)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 accounts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 structure instruments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Corporate entities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bl>
    <w:p>
      <w:pPr>
        <w:pStyle w:val="Heading3"/>
        <w:spacing w:after="80" w:before="180"/>
      </w:pPr>
      <w:r>
        <w:rPr>
          <w:rFonts w:ascii="Arial" w:cs="Arial" w:eastAsia="Arial" w:hAnsi="Arial"/>
          <w:b/>
          <w:bCs/>
          <w:color w:val="263849"/>
          <w:sz w:val="26"/>
          <w:szCs w:val="26"/>
        </w:rPr>
        <w:t xml:space="preserve">Granite Switchyard Campus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Field</w:t>
            </w:r>
          </w:p>
        </w:tc>
        <w:tc>
          <w:tcPr>
            <w:tcW w:type="dxa" w:w="6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Seeded value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slug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granite-switchyard-campus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Commitment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295m USD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Covenants seeded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 DSCR 1.54 performing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(INFO-010 fulfilled)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register entries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risk: reporting discipline, low, resolved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 periods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Q4–Q2 2025/26</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 cases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 cases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 accounts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 structure instruments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Corporate entities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bl>
    <w:p>
      <w:pPr>
        <w:pStyle w:val="Heading3"/>
        <w:spacing w:after="80" w:before="180"/>
      </w:pPr>
      <w:r>
        <w:rPr>
          <w:rFonts w:ascii="Arial" w:cs="Arial" w:eastAsia="Arial" w:hAnsi="Arial"/>
          <w:b/>
          <w:bCs/>
          <w:color w:val="263849"/>
          <w:sz w:val="26"/>
          <w:szCs w:val="26"/>
        </w:rPr>
        <w:t xml:space="preserve">Meridian Edge Campus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Field</w:t>
            </w:r>
          </w:p>
        </w:tc>
        <w:tc>
          <w:tcPr>
            <w:tcW w:type="dxa" w:w="6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Seeded value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slug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meridian-edge-campus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Commitment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355m EUR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Covenants seeded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 DSCR 1.32 performing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(INFO-010 fulfilled)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register entries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None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 periods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Q4–Q2 2025/26</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 cases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 cases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 accounts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 structure instruments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Corporate entities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bl>
    <w:p>
      <w:pPr>
        <w:pStyle w:val="Heading3"/>
        <w:spacing w:after="80" w:before="180"/>
      </w:pPr>
      <w:r>
        <w:rPr>
          <w:rFonts w:ascii="Arial" w:cs="Arial" w:eastAsia="Arial" w:hAnsi="Arial"/>
          <w:b/>
          <w:bCs/>
          <w:color w:val="263849"/>
          <w:sz w:val="26"/>
          <w:szCs w:val="26"/>
        </w:rPr>
        <w:t xml:space="preserve">Ion Harbor Campus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Field</w:t>
            </w:r>
          </w:p>
        </w:tc>
        <w:tc>
          <w:tcPr>
            <w:tcW w:type="dxa" w:w="6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Seeded value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slug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ion-harbor-campus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Commitment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310m USD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Covenants seeded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 DSCR 1.24 lock_up_risk; ND/EBITDA threshold elevated (11.5 lockup)</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(INFO-010 late within grace)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register entries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risk: lease-up underperformance, high, open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 periods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Q4–Q2 2025/26</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 cases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 cases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 accounts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 structure instruments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Corporate entities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bl>
    <w:p>
      <w:pPr>
        <w:pStyle w:val="Heading3"/>
        <w:spacing w:after="80" w:before="180"/>
      </w:pPr>
      <w:r>
        <w:rPr>
          <w:rFonts w:ascii="Arial" w:cs="Arial" w:eastAsia="Arial" w:hAnsi="Arial"/>
          <w:b/>
          <w:bCs/>
          <w:color w:val="263849"/>
          <w:sz w:val="26"/>
          <w:szCs w:val="26"/>
        </w:rPr>
        <w:t xml:space="preserve">Summit Loop Campus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Field</w:t>
            </w:r>
          </w:p>
        </w:tc>
        <w:tc>
          <w:tcPr>
            <w:tcW w:type="dxa" w:w="6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Seeded value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slug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summit-loop-campus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Commitment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278m USD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Covenants seeded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 DSCR 1.46 performing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(INFO-010 fulfilled)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register entries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None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 periods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Q4–Q2 2025/26</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 cases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 cases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 accounts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 structure instruments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Corporate entities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bl>
    <w:p>
      <w:pPr>
        <w:pStyle w:val="Heading3"/>
        <w:spacing w:after="80" w:before="180"/>
      </w:pPr>
      <w:r>
        <w:rPr>
          <w:rFonts w:ascii="Arial" w:cs="Arial" w:eastAsia="Arial" w:hAnsi="Arial"/>
          <w:b/>
          <w:bCs/>
          <w:color w:val="263849"/>
          <w:sz w:val="26"/>
          <w:szCs w:val="26"/>
        </w:rPr>
        <w:t xml:space="preserve">Cobalt Grid Campus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Field</w:t>
            </w:r>
          </w:p>
        </w:tc>
        <w:tc>
          <w:tcPr>
            <w:tcW w:type="dxa" w:w="6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Seeded value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slug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cobalt-grid-campus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Commitment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398m USD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Covenants seeded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 DSCR 1.37 performing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(INFO-010 fulfilled)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register entries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risk: construction milestone, medium, monitoring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 periods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Q4–Q2 2025/26</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 cases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 cases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 accounts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 structure instruments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Corporate entities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bl>
    <w:p>
      <w:pPr>
        <w:pStyle w:val="Heading3"/>
        <w:spacing w:after="80" w:before="180"/>
      </w:pPr>
      <w:r>
        <w:rPr>
          <w:rFonts w:ascii="Arial" w:cs="Arial" w:eastAsia="Arial" w:hAnsi="Arial"/>
          <w:b/>
          <w:bCs/>
          <w:color w:val="263849"/>
          <w:sz w:val="26"/>
          <w:szCs w:val="26"/>
        </w:rPr>
        <w:t xml:space="preserve">Apollo Edge Campus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Field</w:t>
            </w:r>
          </w:p>
        </w:tc>
        <w:tc>
          <w:tcPr>
            <w:tcW w:type="dxa" w:w="6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Seeded value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7</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slug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apollo-edge-campus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Commitment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255m USD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Covenants seeded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 DSCR 1.35 performing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(INFO-010 approaching)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register entries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risk: first-quarter monitoring transition, low, monitoring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 periods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Q2 2026 only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 cases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 cases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 accounts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Capital structure instruments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Corporate entities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seeded in init.sql</w:t>
            </w:r>
          </w:p>
        </w:tc>
      </w:tr>
    </w:tbl>
    <w:p>
      <w:pPr>
        <w:pStyle w:val="Heading2"/>
        <w:spacing w:after="120" w:before="240"/>
      </w:pPr>
      <w:r>
        <w:rPr>
          <w:rFonts w:ascii="Arial" w:cs="Arial" w:eastAsia="Arial" w:hAnsi="Arial"/>
          <w:b/>
          <w:bCs/>
          <w:color w:val="263849"/>
          <w:sz w:val="30"/>
          <w:szCs w:val="30"/>
        </w:rPr>
        <w:t xml:space="preserve">3.2 Deals loaded via separate ingest scripts</w:t>
      </w:r>
    </w:p>
    <w:p>
      <w:pPr>
        <w:spacing w:after="140" w:line="280"/>
        <w:jc w:val="both"/>
      </w:pPr>
      <w:r>
        <w:rPr>
          <w:rFonts w:ascii="Arial" w:cs="Arial" w:eastAsia="Arial" w:hAnsi="Arial"/>
          <w:sz w:val="22"/>
          <w:szCs w:val="22"/>
        </w:rPr>
        <w:t xml:space="preserve">These scripts run after init.sql and populate a richer deal shape including capital structure, reserves, counterparties, forecasts, and KPIs.</w:t>
      </w:r>
    </w:p>
    <w:p>
      <w:pPr>
        <w:pStyle w:val="Heading3"/>
        <w:spacing w:after="80" w:before="180"/>
      </w:pPr>
      <w:r>
        <w:rPr>
          <w:rFonts w:ascii="Arial" w:cs="Arial" w:eastAsia="Arial" w:hAnsi="Arial"/>
          <w:b/>
          <w:bCs/>
          <w:color w:val="263849"/>
          <w:sz w:val="26"/>
          <w:szCs w:val="26"/>
        </w:rPr>
        <w:t xml:space="preserve">Wigmore Solar (deal 9) — scripts/ingest-wigmore-solar.py</w:t>
      </w:r>
    </w:p>
    <w:p>
      <w:pPr>
        <w:pStyle w:val="ListParagraph"/>
        <w:numPr>
          <w:ilvl w:val="0"/>
          <w:numId w:val="2"/>
        </w:numPr>
        <w:spacing w:after="60"/>
      </w:pPr>
      <w:r>
        <w:rPr>
          <w:rFonts w:ascii="Arial" w:cs="Arial" w:eastAsia="Arial" w:hAnsi="Arial"/>
          <w:sz w:val="22"/>
          <w:szCs w:val="22"/>
        </w:rPr>
        <w:t xml:space="preserve">Deal id: 9. Slug: wigmore-solar. Borrower: "Wigmore Solar Ltd". Sector: Solar. Currency: GBP.</w:t>
      </w:r>
    </w:p>
    <w:p>
      <w:pPr>
        <w:pStyle w:val="ListParagraph"/>
        <w:numPr>
          <w:ilvl w:val="0"/>
          <w:numId w:val="2"/>
        </w:numPr>
        <w:spacing w:after="60"/>
      </w:pPr>
      <w:r>
        <w:rPr>
          <w:rFonts w:ascii="Arial" w:cs="Arial" w:eastAsia="Arial" w:hAnsi="Arial"/>
          <w:sz w:val="22"/>
          <w:szCs w:val="22"/>
        </w:rPr>
        <w:t xml:space="preserve">Facility: £100M; exposure: £100M (100% holding).</w:t>
      </w:r>
    </w:p>
    <w:p>
      <w:pPr>
        <w:pStyle w:val="ListParagraph"/>
        <w:numPr>
          <w:ilvl w:val="0"/>
          <w:numId w:val="2"/>
        </w:numPr>
        <w:spacing w:after="60"/>
      </w:pPr>
      <w:r>
        <w:rPr>
          <w:rFonts w:ascii="Arial" w:cs="Arial" w:eastAsia="Arial" w:hAnsi="Arial"/>
          <w:sz w:val="22"/>
          <w:szCs w:val="22"/>
        </w:rPr>
        <w:t xml:space="preserve">Maturity: 2046-01-01 (20-year amortisation).</w:t>
      </w:r>
    </w:p>
    <w:p>
      <w:pPr>
        <w:pStyle w:val="ListParagraph"/>
        <w:numPr>
          <w:ilvl w:val="0"/>
          <w:numId w:val="2"/>
        </w:numPr>
        <w:spacing w:after="60"/>
      </w:pPr>
      <w:r>
        <w:rPr>
          <w:rFonts w:ascii="Arial" w:cs="Arial" w:eastAsia="Arial" w:hAnsi="Arial"/>
          <w:sz w:val="22"/>
          <w:szCs w:val="22"/>
        </w:rPr>
        <w:t xml:space="preserve">Fixed-rate note at 5% annual, semi-annual amortisation.</w:t>
      </w:r>
    </w:p>
    <w:p>
      <w:pPr>
        <w:pStyle w:val="ListParagraph"/>
        <w:numPr>
          <w:ilvl w:val="0"/>
          <w:numId w:val="2"/>
        </w:numPr>
        <w:spacing w:after="60"/>
      </w:pPr>
      <w:r>
        <w:rPr>
          <w:rFonts w:ascii="Arial" w:cs="Arial" w:eastAsia="Arial" w:hAnsi="Arial"/>
          <w:sz w:val="22"/>
          <w:szCs w:val="22"/>
        </w:rPr>
        <w:t xml:space="preserve">Back-solved financials: DSCR 1.18x, EBITDA margin 85%, annual revenue ~£15.76M.</w:t>
      </w:r>
    </w:p>
    <w:p>
      <w:pPr>
        <w:pStyle w:val="ListParagraph"/>
        <w:numPr>
          <w:ilvl w:val="0"/>
          <w:numId w:val="2"/>
        </w:numPr>
        <w:spacing w:after="60"/>
      </w:pPr>
      <w:r>
        <w:rPr>
          <w:rFonts w:ascii="Arial" w:cs="Arial" w:eastAsia="Arial" w:hAnsi="Arial"/>
          <w:sz w:val="22"/>
          <w:szCs w:val="22"/>
        </w:rPr>
        <w:t xml:space="preserve">Counterparties: A-rated corporate offtaker (15-year PPA), Siemens (O&amp;M), UK Power Networks, Marsh (insurer), BDO.</w:t>
      </w:r>
    </w:p>
    <w:p>
      <w:pPr>
        <w:pStyle w:val="ListParagraph"/>
        <w:numPr>
          <w:ilvl w:val="0"/>
          <w:numId w:val="2"/>
        </w:numPr>
        <w:spacing w:after="60"/>
      </w:pPr>
      <w:r>
        <w:rPr>
          <w:rFonts w:ascii="Arial" w:cs="Arial" w:eastAsia="Arial" w:hAnsi="Arial"/>
          <w:sz w:val="22"/>
          <w:szCs w:val="22"/>
        </w:rPr>
        <w:t xml:space="preserve">Reserves: DSRA £5.0M (6 months DS, funded), MRA £1.5M (lifecycle).</w:t>
      </w:r>
    </w:p>
    <w:p>
      <w:pPr>
        <w:pStyle w:val="ListParagraph"/>
        <w:numPr>
          <w:ilvl w:val="0"/>
          <w:numId w:val="2"/>
        </w:numPr>
        <w:spacing w:after="60"/>
      </w:pPr>
      <w:r>
        <w:rPr>
          <w:rFonts w:ascii="Arial" w:cs="Arial" w:eastAsia="Arial" w:hAnsi="Arial"/>
          <w:sz w:val="22"/>
          <w:szCs w:val="22"/>
        </w:rPr>
        <w:t xml:space="preserve">Covenants: Senior DSCR 1.10/1.05/1.00; LLCR 1.15/1.10/1.05.</w:t>
      </w:r>
    </w:p>
    <w:p>
      <w:pPr>
        <w:pStyle w:val="ListParagraph"/>
        <w:numPr>
          <w:ilvl w:val="0"/>
          <w:numId w:val="2"/>
        </w:numPr>
        <w:spacing w:after="60"/>
      </w:pPr>
      <w:r>
        <w:rPr>
          <w:rFonts w:ascii="Arial" w:cs="Arial" w:eastAsia="Arial" w:hAnsi="Arial"/>
          <w:sz w:val="22"/>
          <w:szCs w:val="22"/>
        </w:rPr>
        <w:t xml:space="preserve">Sector KPIs: Technical Availability 98%, Performance Ratio 82%, Degradation Rate 0.5%, Irradiance 1,050 kWh/m², Net Generation 110 GWh, Capacity Factor 12.5%, PPA Price £65/MWh, Grid Curtailment 2%.</w:t>
      </w:r>
    </w:p>
    <w:p>
      <w:pPr>
        <w:pStyle w:val="Heading3"/>
        <w:spacing w:after="80" w:before="180"/>
      </w:pPr>
      <w:r>
        <w:rPr>
          <w:rFonts w:ascii="Arial" w:cs="Arial" w:eastAsia="Arial" w:hAnsi="Arial"/>
          <w:b/>
          <w:bCs/>
          <w:color w:val="263849"/>
          <w:sz w:val="26"/>
          <w:szCs w:val="26"/>
        </w:rPr>
        <w:t xml:space="preserve">North Sea OWF (deal 8) — scripts/populate-wind-deal.py + populate-wind-forecast.py + compute-llcr.py</w:t>
      </w:r>
    </w:p>
    <w:p>
      <w:pPr>
        <w:pStyle w:val="ListParagraph"/>
        <w:numPr>
          <w:ilvl w:val="0"/>
          <w:numId w:val="2"/>
        </w:numPr>
        <w:spacing w:after="60"/>
      </w:pPr>
      <w:r>
        <w:rPr>
          <w:rFonts w:ascii="Arial" w:cs="Arial" w:eastAsia="Arial" w:hAnsi="Arial"/>
          <w:sz w:val="22"/>
          <w:szCs w:val="22"/>
        </w:rPr>
        <w:t xml:space="preserve">Deal id: 8. Borrower: "North Sea OWF Ltd". Sector: Wind Farm. Currency: GBP (£100m senior note).</w:t>
      </w:r>
    </w:p>
    <w:p>
      <w:pPr>
        <w:pStyle w:val="ListParagraph"/>
        <w:numPr>
          <w:ilvl w:val="0"/>
          <w:numId w:val="2"/>
        </w:numPr>
        <w:spacing w:after="60"/>
      </w:pPr>
      <w:r>
        <w:rPr>
          <w:rFonts w:ascii="Arial" w:cs="Arial" w:eastAsia="Arial" w:hAnsi="Arial"/>
          <w:sz w:val="22"/>
          <w:szCs w:val="22"/>
        </w:rPr>
        <w:t xml:space="preserve">Revenue risk code: P1-V1-D2 (fixed CfD pricing, guaranteed volume, matched duration).</w:t>
      </w:r>
    </w:p>
    <w:p>
      <w:pPr>
        <w:pStyle w:val="ListParagraph"/>
        <w:numPr>
          <w:ilvl w:val="0"/>
          <w:numId w:val="2"/>
        </w:numPr>
        <w:spacing w:after="60"/>
      </w:pPr>
      <w:r>
        <w:rPr>
          <w:rFonts w:ascii="Arial" w:cs="Arial" w:eastAsia="Arial" w:hAnsi="Arial"/>
          <w:sz w:val="22"/>
          <w:szCs w:val="22"/>
        </w:rPr>
        <w:t xml:space="preserve">Capital structure: Senior Note £100m @ 5% amortising; Capex Facility £15m (£8m drawn) floating SONIA+250; Shareholder Loan £30m @ 8% bullet 2045.</w:t>
      </w:r>
    </w:p>
    <w:p>
      <w:pPr>
        <w:pStyle w:val="ListParagraph"/>
        <w:numPr>
          <w:ilvl w:val="0"/>
          <w:numId w:val="2"/>
        </w:numPr>
        <w:spacing w:after="60"/>
      </w:pPr>
      <w:r>
        <w:rPr>
          <w:rFonts w:ascii="Arial" w:cs="Arial" w:eastAsia="Arial" w:hAnsi="Arial"/>
          <w:sz w:val="22"/>
          <w:szCs w:val="22"/>
        </w:rPr>
        <w:t xml:space="preserve">Counterparties: LCCC (CfD, £400m notional), Siemens Gamesa (O&amp;M to 2029), National Grid ESO, Marsh (insurer), PwC, BNP Paribas (facility agent).</w:t>
      </w:r>
    </w:p>
    <w:p>
      <w:pPr>
        <w:pStyle w:val="ListParagraph"/>
        <w:numPr>
          <w:ilvl w:val="0"/>
          <w:numId w:val="2"/>
        </w:numPr>
        <w:spacing w:after="60"/>
      </w:pPr>
      <w:r>
        <w:rPr>
          <w:rFonts w:ascii="Arial" w:cs="Arial" w:eastAsia="Arial" w:hAnsi="Arial"/>
          <w:sz w:val="22"/>
          <w:szCs w:val="22"/>
        </w:rPr>
        <w:t xml:space="preserve">LLCR script (compute-llcr.py): discounts CFADS at 2.5%/semi-annual period (5% p.a.), writes 19 LLCR periods to forecast_period_items under forecast case 25.</w:t>
      </w:r>
    </w:p>
    <w:p>
      <w:pPr>
        <w:pStyle w:val="ListParagraph"/>
        <w:numPr>
          <w:ilvl w:val="0"/>
          <w:numId w:val="2"/>
        </w:numPr>
        <w:spacing w:after="60"/>
      </w:pPr>
      <w:r>
        <w:rPr>
          <w:rFonts w:ascii="Arial" w:cs="Arial" w:eastAsia="Arial" w:hAnsi="Arial"/>
          <w:sz w:val="22"/>
          <w:szCs w:val="22"/>
        </w:rPr>
        <w:t xml:space="preserve">Forecast: 42 semi-annual periods.</w:t>
      </w:r>
    </w:p>
    <w:p>
      <w:pPr>
        <w:pStyle w:val="Heading3"/>
        <w:spacing w:after="80" w:before="180"/>
      </w:pPr>
      <w:r>
        <w:rPr>
          <w:rFonts w:ascii="Arial" w:cs="Arial" w:eastAsia="Arial" w:hAnsi="Arial"/>
          <w:b/>
          <w:bCs/>
          <w:color w:val="263849"/>
          <w:sz w:val="26"/>
          <w:szCs w:val="26"/>
        </w:rPr>
        <w:t xml:space="preserve">Gatwick + Wigmore scenarios — scripts/gatwick_updates.py + wigmore-*.py</w:t>
      </w:r>
    </w:p>
    <w:p>
      <w:pPr>
        <w:pStyle w:val="ListParagraph"/>
        <w:numPr>
          <w:ilvl w:val="0"/>
          <w:numId w:val="2"/>
        </w:numPr>
        <w:spacing w:after="60"/>
      </w:pPr>
      <w:r>
        <w:rPr>
          <w:rFonts w:ascii="Arial" w:cs="Arial" w:eastAsia="Arial" w:hAnsi="Arial"/>
          <w:sz w:val="22"/>
          <w:szCs w:val="22"/>
        </w:rPr>
        <w:t xml:space="preserve">wigmore-actuals.py, wigmore-actuals-v2.py — historical actual periods.</w:t>
      </w:r>
    </w:p>
    <w:p>
      <w:pPr>
        <w:pStyle w:val="ListParagraph"/>
        <w:numPr>
          <w:ilvl w:val="0"/>
          <w:numId w:val="2"/>
        </w:numPr>
        <w:spacing w:after="60"/>
      </w:pPr>
      <w:r>
        <w:rPr>
          <w:rFonts w:ascii="Arial" w:cs="Arial" w:eastAsia="Arial" w:hAnsi="Arial"/>
          <w:sz w:val="22"/>
          <w:szCs w:val="22"/>
        </w:rPr>
        <w:t xml:space="preserve">wigmore-credit-case.py — stress case ingestion.</w:t>
      </w:r>
    </w:p>
    <w:p>
      <w:pPr>
        <w:pStyle w:val="ListParagraph"/>
        <w:numPr>
          <w:ilvl w:val="0"/>
          <w:numId w:val="2"/>
        </w:numPr>
        <w:spacing w:after="60"/>
      </w:pPr>
      <w:r>
        <w:rPr>
          <w:rFonts w:ascii="Arial" w:cs="Arial" w:eastAsia="Arial" w:hAnsi="Arial"/>
          <w:sz w:val="22"/>
          <w:szCs w:val="22"/>
        </w:rPr>
        <w:t xml:space="preserve">wigmore-all-cases.py — multi-scenario ingest.</w:t>
      </w:r>
    </w:p>
    <w:p>
      <w:pPr>
        <w:pStyle w:val="ListParagraph"/>
        <w:numPr>
          <w:ilvl w:val="0"/>
          <w:numId w:val="2"/>
        </w:numPr>
        <w:spacing w:after="60"/>
      </w:pPr>
      <w:r>
        <w:rPr>
          <w:rFonts w:ascii="Arial" w:cs="Arial" w:eastAsia="Arial" w:hAnsi="Arial"/>
          <w:sz w:val="22"/>
          <w:szCs w:val="22"/>
        </w:rPr>
        <w:t xml:space="preserve">gatwick_updates.py — airport deal updates.</w:t>
      </w:r>
    </w:p>
    <w:p>
      <w:pPr>
        <w:pStyle w:val="Heading1"/>
        <w:pageBreakBefore/>
        <w:spacing w:after="180" w:before="240"/>
      </w:pPr>
      <w:r>
        <w:rPr>
          <w:rFonts w:ascii="Arial" w:cs="Arial" w:eastAsia="Arial" w:hAnsi="Arial"/>
          <w:b/>
          <w:bCs/>
          <w:color w:val="1F6FA5"/>
          <w:sz w:val="40"/>
          <w:szCs w:val="40"/>
        </w:rPr>
        <w:t xml:space="preserve">4. scripts/ internals</w:t>
      </w:r>
    </w:p>
    <w:p>
      <w:pPr>
        <w:pStyle w:val="Heading2"/>
        <w:spacing w:after="120" w:before="240"/>
      </w:pPr>
      <w:r>
        <w:rPr>
          <w:rFonts w:ascii="Arial" w:cs="Arial" w:eastAsia="Arial" w:hAnsi="Arial"/>
          <w:b/>
          <w:bCs/>
          <w:color w:val="263849"/>
          <w:sz w:val="30"/>
          <w:szCs w:val="30"/>
        </w:rPr>
        <w:t xml:space="preserve">4.1 Inventory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3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File</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Lines</w:t>
            </w:r>
          </w:p>
        </w:tc>
        <w:tc>
          <w:tcPr>
            <w:tcW w:type="dxa" w:w="53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create-topsheet-template.py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1,525</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v9 controlled Excel template generator with validation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create-onboarding-template.py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244</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Full deal onboarding Excel template (8 input sheets)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create-deal-brief-template.py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149</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Lightweight deal brief template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create-quick-onboarding-template.py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130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Bulk one-row-per-deal template with example + 15 empty rows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seed-obligation-taxonomy.py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288</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Seeds obligation_taxonomy with 250+ items across 13 categories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ingest-wigmore-solar.py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296</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 9 (Wigmore Solar) end-to-end ingestion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populate-wind-deal.py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163</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North Sea OWF (deal 8) template population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populate-wind-forecast.py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133</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42-period semi-annual forecast for North Sea OWF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compute-llcr.py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111</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LLCR calculation for deal 8 (discounts CFADS at 2.5%/period)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wigmore-actuals.py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155</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Wigmore historical actual periods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wigmore-actuals-v2.py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142</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Wigmore actuals (updated loader)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wigmore-credit-case.py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152</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Wigmore credit stress case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wigmore-all-cases.py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155</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Wigmore multi-scenario ingest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gatwick_updates.py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118</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Gatwick airport deal updates</w:t>
            </w:r>
          </w:p>
        </w:tc>
      </w:tr>
    </w:tbl>
    <w:p>
      <w:pPr>
        <w:pStyle w:val="Heading2"/>
        <w:spacing w:after="120" w:before="240"/>
      </w:pPr>
      <w:r>
        <w:rPr>
          <w:rFonts w:ascii="Arial" w:cs="Arial" w:eastAsia="Arial" w:hAnsi="Arial"/>
          <w:b/>
          <w:bCs/>
          <w:color w:val="263849"/>
          <w:sz w:val="30"/>
          <w:szCs w:val="30"/>
        </w:rPr>
        <w:t xml:space="preserve">4.2 create-topsheet-template.py — the v9 generator</w:t>
      </w:r>
    </w:p>
    <w:p>
      <w:pPr>
        <w:spacing w:after="140" w:line="280"/>
        <w:jc w:val="both"/>
      </w:pPr>
      <w:r>
        <w:rPr>
          <w:rFonts w:ascii="Arial" w:cs="Arial" w:eastAsia="Arial" w:hAnsi="Arial"/>
          <w:sz w:val="22"/>
          <w:szCs w:val="22"/>
        </w:rPr>
        <w:t xml:space="preserve">Generates docs/topsheet-template.xlsx. No CLI arguments. Generates 9 validation-controlled sheets.</w:t>
      </w:r>
    </w:p>
    <w:p>
      <w:pPr>
        <w:pStyle w:val="Heading3"/>
        <w:spacing w:after="80" w:before="180"/>
      </w:pPr>
      <w:r>
        <w:rPr>
          <w:rFonts w:ascii="Arial" w:cs="Arial" w:eastAsia="Arial" w:hAnsi="Arial"/>
          <w:b/>
          <w:bCs/>
          <w:color w:val="263849"/>
          <w:sz w:val="26"/>
          <w:szCs w:val="26"/>
        </w:rPr>
        <w:t xml:space="preserve">4.2.1 Sheets generated</w:t>
      </w:r>
    </w:p>
    <w:p>
      <w:pPr>
        <w:pStyle w:val="ListParagraph"/>
        <w:numPr>
          <w:ilvl w:val="0"/>
          <w:numId w:val="2"/>
        </w:numPr>
        <w:spacing w:after="60"/>
      </w:pPr>
      <w:r>
        <w:rPr>
          <w:rFonts w:ascii="Arial" w:cs="Arial" w:eastAsia="Arial" w:hAnsi="Arial"/>
          <w:sz w:val="22"/>
          <w:szCs w:val="22"/>
        </w:rPr>
        <w:t xml:space="preserve">1. Deal Identity — 254 fields covering borrower/deal identification, sector classification, ownership, geography, key dates, security ranking, revenue risk classification, tail construct, contract renewal, ratings, valuation, facility economics, CoC regime, equity cure, distribution mechanics, monitoring.</w:t>
      </w:r>
    </w:p>
    <w:p>
      <w:pPr>
        <w:pStyle w:val="ListParagraph"/>
        <w:numPr>
          <w:ilvl w:val="0"/>
          <w:numId w:val="2"/>
        </w:numPr>
        <w:spacing w:after="60"/>
      </w:pPr>
      <w:r>
        <w:rPr>
          <w:rFonts w:ascii="Arial" w:cs="Arial" w:eastAsia="Arial" w:hAnsi="Arial"/>
          <w:sz w:val="22"/>
          <w:szCs w:val="22"/>
        </w:rPr>
        <w:t xml:space="preserve">2. Capital Structure — 34 columns (instrument-level including v8 taxonomy and v9 economics).</w:t>
      </w:r>
    </w:p>
    <w:p>
      <w:pPr>
        <w:pStyle w:val="ListParagraph"/>
        <w:numPr>
          <w:ilvl w:val="0"/>
          <w:numId w:val="2"/>
        </w:numPr>
        <w:spacing w:after="60"/>
      </w:pPr>
      <w:r>
        <w:rPr>
          <w:rFonts w:ascii="Arial" w:cs="Arial" w:eastAsia="Arial" w:hAnsi="Arial"/>
          <w:sz w:val="22"/>
          <w:szCs w:val="22"/>
        </w:rPr>
        <w:t xml:space="preserve">2b. Margin Ratchets — 15 columns (time/covenant/ESG triggered margin tiers).</w:t>
      </w:r>
    </w:p>
    <w:p>
      <w:pPr>
        <w:pStyle w:val="ListParagraph"/>
        <w:numPr>
          <w:ilvl w:val="0"/>
          <w:numId w:val="2"/>
        </w:numPr>
        <w:spacing w:after="60"/>
      </w:pPr>
      <w:r>
        <w:rPr>
          <w:rFonts w:ascii="Arial" w:cs="Arial" w:eastAsia="Arial" w:hAnsi="Arial"/>
          <w:sz w:val="22"/>
          <w:szCs w:val="22"/>
        </w:rPr>
        <w:t xml:space="preserve">3. Reserve Accounts — 12 columns (DSRA, MRA, lifecycle reserves, LCs, PCGs).</w:t>
      </w:r>
    </w:p>
    <w:p>
      <w:pPr>
        <w:pStyle w:val="ListParagraph"/>
        <w:numPr>
          <w:ilvl w:val="0"/>
          <w:numId w:val="2"/>
        </w:numPr>
        <w:spacing w:after="60"/>
      </w:pPr>
      <w:r>
        <w:rPr>
          <w:rFonts w:ascii="Arial" w:cs="Arial" w:eastAsia="Arial" w:hAnsi="Arial"/>
          <w:sz w:val="22"/>
          <w:szCs w:val="22"/>
        </w:rPr>
        <w:t xml:space="preserve">4. Counterparties — 7 columns.</w:t>
      </w:r>
    </w:p>
    <w:p>
      <w:pPr>
        <w:pStyle w:val="ListParagraph"/>
        <w:numPr>
          <w:ilvl w:val="0"/>
          <w:numId w:val="2"/>
        </w:numPr>
        <w:spacing w:after="60"/>
      </w:pPr>
      <w:r>
        <w:rPr>
          <w:rFonts w:ascii="Arial" w:cs="Arial" w:eastAsia="Arial" w:hAnsi="Arial"/>
          <w:sz w:val="22"/>
          <w:szCs w:val="22"/>
        </w:rPr>
        <w:t xml:space="preserve">5. Hedging — 9 columns (IRS, caps, FX forwards).</w:t>
      </w:r>
    </w:p>
    <w:p>
      <w:pPr>
        <w:pStyle w:val="ListParagraph"/>
        <w:numPr>
          <w:ilvl w:val="0"/>
          <w:numId w:val="2"/>
        </w:numPr>
        <w:spacing w:after="60"/>
      </w:pPr>
      <w:r>
        <w:rPr>
          <w:rFonts w:ascii="Arial" w:cs="Arial" w:eastAsia="Arial" w:hAnsi="Arial"/>
          <w:sz w:val="22"/>
          <w:szCs w:val="22"/>
        </w:rPr>
        <w:t xml:space="preserve">6. Jurisdictions — 5 columns (revenue/operations/asset splits — must sum to 100%).</w:t>
      </w:r>
    </w:p>
    <w:p>
      <w:pPr>
        <w:pStyle w:val="ListParagraph"/>
        <w:numPr>
          <w:ilvl w:val="0"/>
          <w:numId w:val="2"/>
        </w:numPr>
        <w:spacing w:after="60"/>
      </w:pPr>
      <w:r>
        <w:rPr>
          <w:rFonts w:ascii="Arial" w:cs="Arial" w:eastAsia="Arial" w:hAnsi="Arial"/>
          <w:sz w:val="22"/>
          <w:szCs w:val="22"/>
        </w:rPr>
        <w:t xml:space="preserve">7. Key Metrics — current-period snapshot.</w:t>
      </w:r>
    </w:p>
    <w:p>
      <w:pPr>
        <w:pStyle w:val="ListParagraph"/>
        <w:numPr>
          <w:ilvl w:val="0"/>
          <w:numId w:val="2"/>
        </w:numPr>
        <w:spacing w:after="60"/>
      </w:pPr>
      <w:r>
        <w:rPr>
          <w:rFonts w:ascii="Arial" w:cs="Arial" w:eastAsia="Arial" w:hAnsi="Arial"/>
          <w:sz w:val="22"/>
          <w:szCs w:val="22"/>
        </w:rPr>
        <w:t xml:space="preserve">8. KPI Targets — IC-memo frozen base + stress.</w:t>
      </w:r>
    </w:p>
    <w:p>
      <w:pPr>
        <w:pStyle w:val="Heading3"/>
        <w:spacing w:after="80" w:before="180"/>
      </w:pPr>
      <w:r>
        <w:rPr>
          <w:rFonts w:ascii="Arial" w:cs="Arial" w:eastAsia="Arial" w:hAnsi="Arial"/>
          <w:b/>
          <w:bCs/>
          <w:color w:val="263849"/>
          <w:sz w:val="26"/>
          <w:szCs w:val="26"/>
        </w:rPr>
        <w:t xml:space="preserve">4.2.2 Hard-coded dropdowns (validation vocabularies)</w:t>
      </w:r>
    </w:p>
    <w:p>
      <w:pPr>
        <w:spacing w:after="80"/>
      </w:pPr>
      <w:r>
        <w:rPr>
          <w:rFonts w:ascii="Arial" w:cs="Arial" w:eastAsia="Arial" w:hAnsi="Arial"/>
          <w:b/>
          <w:bCs/>
          <w:sz w:val="22"/>
          <w:szCs w:val="22"/>
        </w:rPr>
        <w:t xml:space="preserve">Sector</w:t>
      </w:r>
    </w:p>
    <w:p>
      <w:pPr>
        <w:spacing w:after="80"/>
      </w:pPr>
      <w:r>
        <w:rPr>
          <w:rFonts w:ascii="Consolas" w:cs="Consolas" w:eastAsia="Consolas" w:hAnsi="Consolas"/>
          <w:color w:val="444444"/>
          <w:sz w:val="20"/>
          <w:szCs w:val="20"/>
        </w:rPr>
        <w:t xml:space="preserve">Wind Farm, Data Center, Port, Airport, Toll Road, Social Infrastructure,
Real Estate, Clean Tech Hub, Solar</w:t>
      </w:r>
    </w:p>
    <w:p>
      <w:pPr>
        <w:spacing w:after="80"/>
      </w:pPr>
      <w:r>
        <w:rPr>
          <w:rFonts w:ascii="Arial" w:cs="Arial" w:eastAsia="Arial" w:hAnsi="Arial"/>
          <w:b/>
          <w:bCs/>
          <w:sz w:val="22"/>
          <w:szCs w:val="22"/>
        </w:rPr>
        <w:t xml:space="preserve">Phase</w:t>
      </w:r>
    </w:p>
    <w:p>
      <w:pPr>
        <w:spacing w:after="80"/>
      </w:pPr>
      <w:r>
        <w:rPr>
          <w:rFonts w:ascii="Consolas" w:cs="Consolas" w:eastAsia="Consolas" w:hAnsi="Consolas"/>
          <w:color w:val="444444"/>
          <w:sz w:val="20"/>
          <w:szCs w:val="20"/>
        </w:rPr>
        <w:t xml:space="preserve">construction, ramp_up, operational, refinancing</w:t>
      </w:r>
    </w:p>
    <w:p>
      <w:pPr>
        <w:spacing w:after="80"/>
      </w:pPr>
      <w:r>
        <w:rPr>
          <w:rFonts w:ascii="Arial" w:cs="Arial" w:eastAsia="Arial" w:hAnsi="Arial"/>
          <w:b/>
          <w:bCs/>
          <w:sz w:val="22"/>
          <w:szCs w:val="22"/>
        </w:rPr>
        <w:t xml:space="preserve">Region</w:t>
      </w:r>
    </w:p>
    <w:p>
      <w:pPr>
        <w:spacing w:after="80"/>
      </w:pPr>
      <w:r>
        <w:rPr>
          <w:rFonts w:ascii="Consolas" w:cs="Consolas" w:eastAsia="Consolas" w:hAnsi="Consolas"/>
          <w:color w:val="444444"/>
          <w:sz w:val="20"/>
          <w:szCs w:val="20"/>
        </w:rPr>
        <w:t xml:space="preserve">EMEA, North America, APAC, LATAM, Middle East Africa</w:t>
      </w:r>
    </w:p>
    <w:p>
      <w:pPr>
        <w:spacing w:after="80"/>
      </w:pPr>
      <w:r>
        <w:rPr>
          <w:rFonts w:ascii="Arial" w:cs="Arial" w:eastAsia="Arial" w:hAnsi="Arial"/>
          <w:b/>
          <w:bCs/>
          <w:sz w:val="22"/>
          <w:szCs w:val="22"/>
        </w:rPr>
        <w:t xml:space="preserve">Instrument Type (Tab 2)</w:t>
      </w:r>
    </w:p>
    <w:p>
      <w:pPr>
        <w:spacing w:after="80"/>
      </w:pPr>
      <w:r>
        <w:rPr>
          <w:rFonts w:ascii="Consolas" w:cs="Consolas" w:eastAsia="Consolas" w:hAnsi="Consolas"/>
          <w:color w:val="444444"/>
          <w:sz w:val="20"/>
          <w:szCs w:val="20"/>
        </w:rPr>
        <w:t xml:space="preserve">senior_term, senior_rcf, capex_facility, mezzanine, shl, bond, note,
frn, private_placement, intercompany</w:t>
      </w:r>
    </w:p>
    <w:p>
      <w:pPr>
        <w:spacing w:after="80"/>
      </w:pPr>
      <w:r>
        <w:rPr>
          <w:rFonts w:ascii="Arial" w:cs="Arial" w:eastAsia="Arial" w:hAnsi="Arial"/>
          <w:b/>
          <w:bCs/>
          <w:sz w:val="22"/>
          <w:szCs w:val="22"/>
        </w:rPr>
        <w:t xml:space="preserve">Instrument Format</w:t>
      </w:r>
    </w:p>
    <w:p>
      <w:pPr>
        <w:spacing w:after="80"/>
      </w:pPr>
      <w:r>
        <w:rPr>
          <w:rFonts w:ascii="Consolas" w:cs="Consolas" w:eastAsia="Consolas" w:hAnsi="Consolas"/>
          <w:color w:val="444444"/>
          <w:sz w:val="20"/>
          <w:szCs w:val="20"/>
        </w:rPr>
        <w:t xml:space="preserve">loan, bond, note, frn, il_bond, private_placement, convertible</w:t>
      </w:r>
    </w:p>
    <w:p>
      <w:pPr>
        <w:spacing w:after="80"/>
      </w:pPr>
      <w:r>
        <w:rPr>
          <w:rFonts w:ascii="Arial" w:cs="Arial" w:eastAsia="Arial" w:hAnsi="Arial"/>
          <w:b/>
          <w:bCs/>
          <w:sz w:val="22"/>
          <w:szCs w:val="22"/>
        </w:rPr>
        <w:t xml:space="preserve">Interest Type</w:t>
      </w:r>
    </w:p>
    <w:p>
      <w:pPr>
        <w:spacing w:after="80"/>
      </w:pPr>
      <w:r>
        <w:rPr>
          <w:rFonts w:ascii="Consolas" w:cs="Consolas" w:eastAsia="Consolas" w:hAnsi="Consolas"/>
          <w:color w:val="444444"/>
          <w:sz w:val="20"/>
          <w:szCs w:val="20"/>
        </w:rPr>
        <w:t xml:space="preserve">fixed, floating, index_linked, hybrid</w:t>
      </w:r>
    </w:p>
    <w:p>
      <w:pPr>
        <w:spacing w:after="80"/>
      </w:pPr>
      <w:r>
        <w:rPr>
          <w:rFonts w:ascii="Arial" w:cs="Arial" w:eastAsia="Arial" w:hAnsi="Arial"/>
          <w:b/>
          <w:bCs/>
          <w:sz w:val="22"/>
          <w:szCs w:val="22"/>
        </w:rPr>
        <w:t xml:space="preserve">Repayment Type</w:t>
      </w:r>
    </w:p>
    <w:p>
      <w:pPr>
        <w:spacing w:after="80"/>
      </w:pPr>
      <w:r>
        <w:rPr>
          <w:rFonts w:ascii="Consolas" w:cs="Consolas" w:eastAsia="Consolas" w:hAnsi="Consolas"/>
          <w:color w:val="444444"/>
          <w:sz w:val="20"/>
          <w:szCs w:val="20"/>
        </w:rPr>
        <w:t xml:space="preserve">bullet, amortising, sculpted, cash_sweep</w:t>
      </w:r>
    </w:p>
    <w:p>
      <w:pPr>
        <w:spacing w:after="80"/>
      </w:pPr>
      <w:r>
        <w:rPr>
          <w:rFonts w:ascii="Arial" w:cs="Arial" w:eastAsia="Arial" w:hAnsi="Arial"/>
          <w:b/>
          <w:bCs/>
          <w:sz w:val="22"/>
          <w:szCs w:val="22"/>
        </w:rPr>
        <w:t xml:space="preserve">Instrument Status</w:t>
      </w:r>
    </w:p>
    <w:p>
      <w:pPr>
        <w:spacing w:after="80"/>
      </w:pPr>
      <w:r>
        <w:rPr>
          <w:rFonts w:ascii="Consolas" w:cs="Consolas" w:eastAsia="Consolas" w:hAnsi="Consolas"/>
          <w:color w:val="444444"/>
          <w:sz w:val="20"/>
          <w:szCs w:val="20"/>
        </w:rPr>
        <w:t xml:space="preserve">active, repaid, cancelled, restructured</w:t>
      </w:r>
    </w:p>
    <w:p>
      <w:pPr>
        <w:spacing w:after="80"/>
      </w:pPr>
      <w:r>
        <w:rPr>
          <w:rFonts w:ascii="Arial" w:cs="Arial" w:eastAsia="Arial" w:hAnsi="Arial"/>
          <w:b/>
          <w:bCs/>
          <w:sz w:val="22"/>
          <w:szCs w:val="22"/>
        </w:rPr>
        <w:t xml:space="preserve">Entity Level (Tab 2 v8)</w:t>
      </w:r>
    </w:p>
    <w:p>
      <w:pPr>
        <w:spacing w:after="80"/>
      </w:pPr>
      <w:r>
        <w:rPr>
          <w:rFonts w:ascii="Consolas" w:cs="Consolas" w:eastAsia="Consolas" w:hAnsi="Consolas"/>
          <w:color w:val="444444"/>
          <w:sz w:val="20"/>
          <w:szCs w:val="20"/>
        </w:rPr>
        <w:t xml:space="preserve">opco, midco, holdco, topco, issuer, bidco, majority_holdco, minority_holdco</w:t>
      </w:r>
    </w:p>
    <w:p>
      <w:pPr>
        <w:spacing w:after="80"/>
      </w:pPr>
      <w:r>
        <w:rPr>
          <w:rFonts w:ascii="Arial" w:cs="Arial" w:eastAsia="Arial" w:hAnsi="Arial"/>
          <w:b/>
          <w:bCs/>
          <w:sz w:val="22"/>
          <w:szCs w:val="22"/>
        </w:rPr>
        <w:t xml:space="preserve">Ratio Consolidation Level</w:t>
      </w:r>
    </w:p>
    <w:p>
      <w:pPr>
        <w:spacing w:after="80"/>
      </w:pPr>
      <w:r>
        <w:rPr>
          <w:rFonts w:ascii="Consolas" w:cs="Consolas" w:eastAsia="Consolas" w:hAnsi="Consolas"/>
          <w:color w:val="444444"/>
          <w:sz w:val="20"/>
          <w:szCs w:val="20"/>
        </w:rPr>
        <w:t xml:space="preserve">opco_standalone, consolidated, proportional_consolidated</w:t>
      </w:r>
    </w:p>
    <w:p>
      <w:pPr>
        <w:spacing w:after="80"/>
      </w:pPr>
      <w:r>
        <w:rPr>
          <w:rFonts w:ascii="Arial" w:cs="Arial" w:eastAsia="Arial" w:hAnsi="Arial"/>
          <w:b/>
          <w:bCs/>
          <w:sz w:val="22"/>
          <w:szCs w:val="22"/>
        </w:rPr>
        <w:t xml:space="preserve">Payment Frequency</w:t>
      </w:r>
    </w:p>
    <w:p>
      <w:pPr>
        <w:spacing w:after="80"/>
      </w:pPr>
      <w:r>
        <w:rPr>
          <w:rFonts w:ascii="Consolas" w:cs="Consolas" w:eastAsia="Consolas" w:hAnsi="Consolas"/>
          <w:color w:val="444444"/>
          <w:sz w:val="20"/>
          <w:szCs w:val="20"/>
        </w:rPr>
        <w:t xml:space="preserve">monthly, quarterly, semi_annual, annual</w:t>
      </w:r>
    </w:p>
    <w:p>
      <w:pPr>
        <w:spacing w:after="80"/>
      </w:pPr>
      <w:r>
        <w:rPr>
          <w:rFonts w:ascii="Arial" w:cs="Arial" w:eastAsia="Arial" w:hAnsi="Arial"/>
          <w:b/>
          <w:bCs/>
          <w:sz w:val="22"/>
          <w:szCs w:val="22"/>
        </w:rPr>
        <w:t xml:space="preserve">Ratchet Kind</w:t>
      </w:r>
    </w:p>
    <w:p>
      <w:pPr>
        <w:spacing w:after="80"/>
      </w:pPr>
      <w:r>
        <w:rPr>
          <w:rFonts w:ascii="Consolas" w:cs="Consolas" w:eastAsia="Consolas" w:hAnsi="Consolas"/>
          <w:color w:val="444444"/>
          <w:sz w:val="20"/>
          <w:szCs w:val="20"/>
        </w:rPr>
        <w:t xml:space="preserve">base_margin, esg_adjustment</w:t>
      </w:r>
    </w:p>
    <w:p>
      <w:pPr>
        <w:spacing w:after="80"/>
      </w:pPr>
      <w:r>
        <w:rPr>
          <w:rFonts w:ascii="Arial" w:cs="Arial" w:eastAsia="Arial" w:hAnsi="Arial"/>
          <w:b/>
          <w:bCs/>
          <w:sz w:val="22"/>
          <w:szCs w:val="22"/>
        </w:rPr>
        <w:t xml:space="preserve">Trigger Type</w:t>
      </w:r>
    </w:p>
    <w:p>
      <w:pPr>
        <w:spacing w:after="80"/>
      </w:pPr>
      <w:r>
        <w:rPr>
          <w:rFonts w:ascii="Consolas" w:cs="Consolas" w:eastAsia="Consolas" w:hAnsi="Consolas"/>
          <w:color w:val="444444"/>
          <w:sz w:val="20"/>
          <w:szCs w:val="20"/>
        </w:rPr>
        <w:t xml:space="preserve">time_based, leverage, dscr, icr, coverage_ratio, event_based,
esg_kpi, pik_toggle</w:t>
      </w:r>
    </w:p>
    <w:p>
      <w:pPr>
        <w:spacing w:after="80"/>
      </w:pPr>
      <w:r>
        <w:rPr>
          <w:rFonts w:ascii="Arial" w:cs="Arial" w:eastAsia="Arial" w:hAnsi="Arial"/>
          <w:b/>
          <w:bCs/>
          <w:sz w:val="22"/>
          <w:szCs w:val="22"/>
        </w:rPr>
        <w:t xml:space="preserve">Trigger Operator</w:t>
      </w:r>
    </w:p>
    <w:p>
      <w:pPr>
        <w:spacing w:after="80"/>
      </w:pPr>
      <w:r>
        <w:rPr>
          <w:rFonts w:ascii="Consolas" w:cs="Consolas" w:eastAsia="Consolas" w:hAnsi="Consolas"/>
          <w:color w:val="444444"/>
          <w:sz w:val="20"/>
          <w:szCs w:val="20"/>
        </w:rPr>
        <w:t xml:space="preserve">&lt;, &lt;=, =, &gt;=, &gt;, between</w:t>
      </w:r>
    </w:p>
    <w:p>
      <w:pPr>
        <w:spacing w:after="80"/>
      </w:pPr>
      <w:r>
        <w:rPr>
          <w:rFonts w:ascii="Arial" w:cs="Arial" w:eastAsia="Arial" w:hAnsi="Arial"/>
          <w:b/>
          <w:bCs/>
          <w:sz w:val="22"/>
          <w:szCs w:val="22"/>
        </w:rPr>
        <w:t xml:space="preserve">Adjustment Mode</w:t>
      </w:r>
    </w:p>
    <w:p>
      <w:pPr>
        <w:spacing w:after="80"/>
      </w:pPr>
      <w:r>
        <w:rPr>
          <w:rFonts w:ascii="Consolas" w:cs="Consolas" w:eastAsia="Consolas" w:hAnsi="Consolas"/>
          <w:color w:val="444444"/>
          <w:sz w:val="20"/>
          <w:szCs w:val="20"/>
        </w:rPr>
        <w:t xml:space="preserve">absolute, additive</w:t>
      </w:r>
    </w:p>
    <w:p>
      <w:pPr>
        <w:spacing w:after="80"/>
      </w:pPr>
      <w:r>
        <w:rPr>
          <w:rFonts w:ascii="Arial" w:cs="Arial" w:eastAsia="Arial" w:hAnsi="Arial"/>
          <w:b/>
          <w:bCs/>
          <w:sz w:val="22"/>
          <w:szCs w:val="22"/>
        </w:rPr>
        <w:t xml:space="preserve">Step Type</w:t>
      </w:r>
    </w:p>
    <w:p>
      <w:pPr>
        <w:spacing w:after="80"/>
      </w:pPr>
      <w:r>
        <w:rPr>
          <w:rFonts w:ascii="Consolas" w:cs="Consolas" w:eastAsia="Consolas" w:hAnsi="Consolas"/>
          <w:color w:val="444444"/>
          <w:sz w:val="20"/>
          <w:szCs w:val="20"/>
        </w:rPr>
        <w:t xml:space="preserve">initial, step_up, ratchet_down, pik_toggle, default_margin,
esg_reward, esg_penalty</w:t>
      </w:r>
    </w:p>
    <w:p>
      <w:pPr>
        <w:spacing w:after="80"/>
      </w:pPr>
      <w:r>
        <w:rPr>
          <w:rFonts w:ascii="Arial" w:cs="Arial" w:eastAsia="Arial" w:hAnsi="Arial"/>
          <w:b/>
          <w:bCs/>
          <w:sz w:val="22"/>
          <w:szCs w:val="22"/>
        </w:rPr>
        <w:t xml:space="preserve">Reserve Type</w:t>
      </w:r>
    </w:p>
    <w:p>
      <w:pPr>
        <w:spacing w:after="80"/>
      </w:pPr>
      <w:r>
        <w:rPr>
          <w:rFonts w:ascii="Consolas" w:cs="Consolas" w:eastAsia="Consolas" w:hAnsi="Consolas"/>
          <w:color w:val="444444"/>
          <w:sz w:val="20"/>
          <w:szCs w:val="20"/>
        </w:rPr>
        <w:t xml:space="preserve">dsra, mra, capex_reserve, o_and_m_reserve, distribution_reserve,
lifecycle_reserve, escrow, lockup, liquidity_facility, rcf,
letter_of_credit, pcg</w:t>
      </w:r>
    </w:p>
    <w:p>
      <w:pPr>
        <w:spacing w:after="80"/>
      </w:pPr>
      <w:r>
        <w:rPr>
          <w:rFonts w:ascii="Arial" w:cs="Arial" w:eastAsia="Arial" w:hAnsi="Arial"/>
          <w:b/>
          <w:bCs/>
          <w:sz w:val="22"/>
          <w:szCs w:val="22"/>
        </w:rPr>
        <w:t xml:space="preserve">Reserve Funded Status</w:t>
      </w:r>
    </w:p>
    <w:p>
      <w:pPr>
        <w:spacing w:after="80"/>
      </w:pPr>
      <w:r>
        <w:rPr>
          <w:rFonts w:ascii="Consolas" w:cs="Consolas" w:eastAsia="Consolas" w:hAnsi="Consolas"/>
          <w:color w:val="444444"/>
          <w:sz w:val="20"/>
          <w:szCs w:val="20"/>
        </w:rPr>
        <w:t xml:space="preserve">fully_funded, partially_funded, unfunded, surplus</w:t>
      </w:r>
    </w:p>
    <w:p>
      <w:pPr>
        <w:spacing w:after="80"/>
      </w:pPr>
      <w:r>
        <w:rPr>
          <w:rFonts w:ascii="Arial" w:cs="Arial" w:eastAsia="Arial" w:hAnsi="Arial"/>
          <w:b/>
          <w:bCs/>
          <w:sz w:val="22"/>
          <w:szCs w:val="22"/>
        </w:rPr>
        <w:t xml:space="preserve">Counterparty Type</w:t>
      </w:r>
    </w:p>
    <w:p>
      <w:pPr>
        <w:spacing w:after="80"/>
      </w:pPr>
      <w:r>
        <w:rPr>
          <w:rFonts w:ascii="Consolas" w:cs="Consolas" w:eastAsia="Consolas" w:hAnsi="Consolas"/>
          <w:color w:val="444444"/>
          <w:sz w:val="20"/>
          <w:szCs w:val="20"/>
        </w:rPr>
        <w:t xml:space="preserve">offtaker, contractor, operator, guarantor, insurer, auditor,
facility_agent, security_trustee, servicer</w:t>
      </w:r>
    </w:p>
    <w:p>
      <w:pPr>
        <w:spacing w:after="80"/>
      </w:pPr>
      <w:r>
        <w:rPr>
          <w:rFonts w:ascii="Arial" w:cs="Arial" w:eastAsia="Arial" w:hAnsi="Arial"/>
          <w:b/>
          <w:bCs/>
          <w:sz w:val="22"/>
          <w:szCs w:val="22"/>
        </w:rPr>
        <w:t xml:space="preserve">Counterparty Risk</w:t>
      </w:r>
    </w:p>
    <w:p>
      <w:pPr>
        <w:spacing w:after="80"/>
      </w:pPr>
      <w:r>
        <w:rPr>
          <w:rFonts w:ascii="Consolas" w:cs="Consolas" w:eastAsia="Consolas" w:hAnsi="Consolas"/>
          <w:color w:val="444444"/>
          <w:sz w:val="20"/>
          <w:szCs w:val="20"/>
        </w:rPr>
        <w:t xml:space="preserve">low, medium, high, critical</w:t>
      </w:r>
    </w:p>
    <w:p>
      <w:pPr>
        <w:spacing w:after="80"/>
      </w:pPr>
      <w:r>
        <w:rPr>
          <w:rFonts w:ascii="Arial" w:cs="Arial" w:eastAsia="Arial" w:hAnsi="Arial"/>
          <w:b/>
          <w:bCs/>
          <w:sz w:val="22"/>
          <w:szCs w:val="22"/>
        </w:rPr>
        <w:t xml:space="preserve">Hedge Type</w:t>
      </w:r>
    </w:p>
    <w:p>
      <w:pPr>
        <w:spacing w:after="80"/>
      </w:pPr>
      <w:r>
        <w:rPr>
          <w:rFonts w:ascii="Consolas" w:cs="Consolas" w:eastAsia="Consolas" w:hAnsi="Consolas"/>
          <w:color w:val="444444"/>
          <w:sz w:val="20"/>
          <w:szCs w:val="20"/>
        </w:rPr>
        <w:t xml:space="preserve">interest_rate_swap, cap, floor, fx_forward, fx_option,
inflation_swap, commodity_swap</w:t>
      </w:r>
    </w:p>
    <w:p>
      <w:pPr>
        <w:spacing w:after="80"/>
      </w:pPr>
      <w:r>
        <w:rPr>
          <w:rFonts w:ascii="Arial" w:cs="Arial" w:eastAsia="Arial" w:hAnsi="Arial"/>
          <w:b/>
          <w:bCs/>
          <w:sz w:val="22"/>
          <w:szCs w:val="22"/>
        </w:rPr>
        <w:t xml:space="preserve">Jurisdiction Activity Type</w:t>
      </w:r>
    </w:p>
    <w:p>
      <w:pPr>
        <w:spacing w:after="80"/>
      </w:pPr>
      <w:r>
        <w:rPr>
          <w:rFonts w:ascii="Consolas" w:cs="Consolas" w:eastAsia="Consolas" w:hAnsi="Consolas"/>
          <w:color w:val="444444"/>
          <w:sz w:val="20"/>
          <w:szCs w:val="20"/>
        </w:rPr>
        <w:t xml:space="preserve">revenue, operations, assets, headcount</w:t>
      </w:r>
    </w:p>
    <w:p>
      <w:pPr>
        <w:spacing w:after="80"/>
      </w:pPr>
      <w:r>
        <w:rPr>
          <w:rFonts w:ascii="Arial" w:cs="Arial" w:eastAsia="Arial" w:hAnsi="Arial"/>
          <w:b/>
          <w:bCs/>
          <w:sz w:val="22"/>
          <w:szCs w:val="22"/>
        </w:rPr>
        <w:t xml:space="preserve">KPI Direction / Unit / Source</w:t>
      </w:r>
    </w:p>
    <w:p>
      <w:pPr>
        <w:spacing w:after="80"/>
      </w:pPr>
      <w:r>
        <w:rPr>
          <w:rFonts w:ascii="Consolas" w:cs="Consolas" w:eastAsia="Consolas" w:hAnsi="Consolas"/>
          <w:color w:val="444444"/>
          <w:sz w:val="20"/>
          <w:szCs w:val="20"/>
        </w:rPr>
        <w:t xml:space="preserve">Direction: higher_is_better, lower_is_better
Unit:      percentage, currency, count, ratio, years
Source:    ic_memo, business_plan</w:t>
      </w:r>
    </w:p>
    <w:p>
      <w:pPr>
        <w:spacing w:after="80"/>
      </w:pPr>
      <w:r>
        <w:rPr>
          <w:rFonts w:ascii="Arial" w:cs="Arial" w:eastAsia="Arial" w:hAnsi="Arial"/>
          <w:b/>
          <w:bCs/>
          <w:sz w:val="22"/>
          <w:szCs w:val="22"/>
        </w:rPr>
        <w:t xml:space="preserve">Distribution frequencies</w:t>
      </w:r>
    </w:p>
    <w:p>
      <w:pPr>
        <w:spacing w:after="80"/>
      </w:pPr>
      <w:r>
        <w:rPr>
          <w:rFonts w:ascii="Consolas" w:cs="Consolas" w:eastAsia="Consolas" w:hAnsi="Consolas"/>
          <w:color w:val="444444"/>
          <w:sz w:val="20"/>
          <w:szCs w:val="20"/>
        </w:rPr>
        <w:t xml:space="preserve">semi_annual, quarterly, annual</w:t>
      </w:r>
    </w:p>
    <w:p>
      <w:pPr>
        <w:spacing w:after="80"/>
      </w:pPr>
      <w:r>
        <w:rPr>
          <w:rFonts w:ascii="Arial" w:cs="Arial" w:eastAsia="Arial" w:hAnsi="Arial"/>
          <w:b/>
          <w:bCs/>
          <w:sz w:val="22"/>
          <w:szCs w:val="22"/>
        </w:rPr>
        <w:t xml:space="preserve">Tail treatments</w:t>
      </w:r>
    </w:p>
    <w:p>
      <w:pPr>
        <w:spacing w:after="80"/>
      </w:pPr>
      <w:r>
        <w:rPr>
          <w:rFonts w:ascii="Consolas" w:cs="Consolas" w:eastAsia="Consolas" w:hAnsi="Consolas"/>
          <w:color w:val="444444"/>
          <w:sz w:val="20"/>
          <w:szCs w:val="20"/>
        </w:rPr>
        <w:t xml:space="preserve">zero_residual, nominal_residual, retained_asset</w:t>
      </w:r>
    </w:p>
    <w:p>
      <w:pPr>
        <w:spacing w:after="80"/>
      </w:pPr>
      <w:r>
        <w:rPr>
          <w:rFonts w:ascii="Arial" w:cs="Arial" w:eastAsia="Arial" w:hAnsi="Arial"/>
          <w:b/>
          <w:bCs/>
          <w:sz w:val="22"/>
          <w:szCs w:val="22"/>
        </w:rPr>
        <w:t xml:space="preserve">Renewal profiles</w:t>
      </w:r>
    </w:p>
    <w:p>
      <w:pPr>
        <w:spacing w:after="80"/>
      </w:pPr>
      <w:r>
        <w:rPr>
          <w:rFonts w:ascii="Consolas" w:cs="Consolas" w:eastAsia="Consolas" w:hAnsi="Consolas"/>
          <w:color w:val="444444"/>
          <w:sz w:val="20"/>
          <w:szCs w:val="20"/>
        </w:rPr>
        <w:t xml:space="preserve">deep_market_repricing, bilateral_negotiation,
competitive_tender_asset_retained, competitive_tender_clean_sheet,
hand_back_zero_value, no_anchor_contract</w:t>
      </w:r>
    </w:p>
    <w:p>
      <w:pPr>
        <w:pStyle w:val="Heading2"/>
        <w:spacing w:after="120" w:before="240"/>
      </w:pPr>
      <w:r>
        <w:rPr>
          <w:rFonts w:ascii="Arial" w:cs="Arial" w:eastAsia="Arial" w:hAnsi="Arial"/>
          <w:b/>
          <w:bCs/>
          <w:color w:val="263849"/>
          <w:sz w:val="30"/>
          <w:szCs w:val="30"/>
        </w:rPr>
        <w:t xml:space="preserve">4.3 seed-obligation-taxonomy.py — the 250+ item taxonomy</w:t>
      </w:r>
    </w:p>
    <w:p>
      <w:pPr>
        <w:spacing w:after="140" w:line="280"/>
        <w:jc w:val="both"/>
      </w:pPr>
      <w:r>
        <w:rPr>
          <w:rFonts w:ascii="Arial" w:cs="Arial" w:eastAsia="Arial" w:hAnsi="Arial"/>
          <w:sz w:val="22"/>
          <w:szCs w:val="22"/>
        </w:rPr>
        <w:t xml:space="preserve">Critical finding: the integrated spec flagged obligation_taxonomy as empty. It is not — when this script is run, it seeds 250+ obligations across 13 categories. Running it is required for the full taxonomy to be present.</w:t>
      </w:r>
    </w:p>
    <w:p>
      <w:pPr>
        <w:pStyle w:val="Heading3"/>
        <w:spacing w:after="80" w:before="180"/>
      </w:pPr>
      <w:r>
        <w:rPr>
          <w:rFonts w:ascii="Arial" w:cs="Arial" w:eastAsia="Arial" w:hAnsi="Arial"/>
          <w:b/>
          <w:bCs/>
          <w:color w:val="263849"/>
          <w:sz w:val="26"/>
          <w:szCs w:val="26"/>
        </w:rPr>
        <w:t xml:space="preserve">4.3.1 Categories and counts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9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Category</w:t>
            </w:r>
          </w:p>
        </w:tc>
        <w:tc>
          <w:tcPr>
            <w:tcW w:type="dxa" w:w="1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Item count</w:t>
            </w:r>
          </w:p>
        </w:tc>
        <w:tc>
          <w:tcPr>
            <w:tcW w:type="dxa" w:w="4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Sub-categories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 Financial Information Deliverables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30</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1A Financial Statements (18), 1B Compliance Certificates (5), 1C PF/Infrastructure (7)</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 — Financial Covenants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18</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2A Cash Flow Cover (7), 2B Collateral/Value (8), 2C Incurrence/Distribution (3)</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 — Notification Obligations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28</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Default, MAC, CoC, project documents, audit, insurance, regulatory, force majeure, ratings, licenses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 — Periodic Non-Financial Deliverables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10</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Insurance, valuation, KYC/AML, ESG, shareholder structure, board, hedging</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 Affirmative Covenants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22</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Law compliance, authorisations, insurance, taxes, accounting, ranking, security, constitutional, hedging, cash mgmt, pensions, IP, auditors, etc.</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 — Negative Covenants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16</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Negative pledge, disposals, debt, loans, M&amp;A, joint ventures, amendments, hedging, expenditure, project suspension, material contracts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7 — Events of Default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32</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Non-payment, covenant breach, cross-default, insolvency, unlawfulness, CoC, loss of license, expropriation, completion longstop, force majeure, licence termination, etc.</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8 — Trigger Events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10</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Financial ratio, rating downgrade, capex/DS funding, liquidity drawdown, enforcement, licence, legislation, inflation hedge, audit qualification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9A — Real Estate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10</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Rent roll, vacancy, lease expiry, tenant financials, building survey, site assessment, zoning, service charge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9B — Infrastructure/PF</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21</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Technical adviser, construction progress, completion cert, independent engineer, operating reports, reserve statement, cash waterfall, concession compliance, lifecycle, demand study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9C — USPP/Private Placement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8</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Officers cert, annual accounts, quarterly financials, MFL cert, information requests, guarantor accession, amendments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10 — Agent/Administrative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8</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Commitment confirmations, transfer certs, rate fixing, utilisation, prepayment, waivers, lender voting</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11 — Distribution Conditions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10</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 default, payments satisfied, RCF repaid, reserves funded, ratios above threshold, leverage step-down, no trigger, director cert, window timing</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12 — Consents &amp; Voting Mechanics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8</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Majority, all-lender, supermajority, voting basis, snooze-you-lose, yank clause, consent period, disenfranchisement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13 — Invitations &amp; Engagement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Site visit, management presentation, board observer, hospitality, bespoke invitations</w:t>
            </w:r>
          </w:p>
        </w:tc>
      </w:tr>
    </w:tbl>
    <w:p>
      <w:pPr>
        <w:pStyle w:val="Heading3"/>
        <w:spacing w:after="80" w:before="180"/>
      </w:pPr>
      <w:r>
        <w:rPr>
          <w:rFonts w:ascii="Arial" w:cs="Arial" w:eastAsia="Arial" w:hAnsi="Arial"/>
          <w:b/>
          <w:bCs/>
          <w:color w:val="263849"/>
          <w:sz w:val="26"/>
          <w:szCs w:val="26"/>
        </w:rPr>
        <w:t xml:space="preserve">4.3.2 Schema of each ITEMS tuple</w:t>
      </w:r>
    </w:p>
    <w:p>
      <w:pPr>
        <w:spacing w:after="80"/>
      </w:pPr>
      <w:r>
        <w:rPr>
          <w:rFonts w:ascii="Consolas" w:cs="Consolas" w:eastAsia="Consolas" w:hAnsi="Consolas"/>
          <w:color w:val="444444"/>
          <w:sz w:val="20"/>
          <w:szCs w:val="20"/>
        </w:rPr>
        <w:t xml:space="preserve">(item_id, category_number, category_name, sub_category, title,
 description, typical_frequency, typical_deadline, typical_severity,
 typical_phase, sector_applicability)
typical_severity:      event_of_default | potential_default | informational
typical_phase:         all | construction | operational | refinancing
sector_applicability:  all | infrastructure | real_estate | pfi | wbs | uspp</w:t>
      </w:r>
    </w:p>
    <w:p>
      <w:pPr>
        <w:pStyle w:val="Heading1"/>
        <w:pageBreakBefore/>
        <w:spacing w:after="180" w:before="240"/>
      </w:pPr>
      <w:r>
        <w:rPr>
          <w:rFonts w:ascii="Arial" w:cs="Arial" w:eastAsia="Arial" w:hAnsi="Arial"/>
          <w:b/>
          <w:bCs/>
          <w:color w:val="1F6FA5"/>
          <w:sz w:val="40"/>
          <w:szCs w:val="40"/>
        </w:rPr>
        <w:t xml:space="preserve">5. Dockerfiles + compose + bin scripts (verbatim)</w:t>
      </w:r>
    </w:p>
    <w:p>
      <w:pPr>
        <w:pStyle w:val="Heading2"/>
        <w:spacing w:after="120" w:before="240"/>
      </w:pPr>
      <w:r>
        <w:rPr>
          <w:rFonts w:ascii="Arial" w:cs="Arial" w:eastAsia="Arial" w:hAnsi="Arial"/>
          <w:b/>
          <w:bCs/>
          <w:color w:val="263849"/>
          <w:sz w:val="30"/>
          <w:szCs w:val="30"/>
        </w:rPr>
        <w:t xml:space="preserve">5.1 docker/docker-compose.yml</w:t>
      </w:r>
    </w:p>
    <w:p>
      <w:pPr>
        <w:spacing w:after="80"/>
      </w:pPr>
      <w:r>
        <w:rPr>
          <w:rFonts w:ascii="Consolas" w:cs="Consolas" w:eastAsia="Consolas" w:hAnsi="Consolas"/>
          <w:color w:val="444444"/>
          <w:sz w:val="20"/>
          <w:szCs w:val="20"/>
        </w:rPr>
        <w:t xml:space="preserve">services:
  postgres:
    image: sesamestreet-postgres:latest
    restart: unless-stopped
    environment:
      POSTGRES_DB: sesamestreet
      POSTGRES_USER: sesame
      POSTGRES_PASSWORD: sesame
    volumes:
      - ${PROJECT_DIR}/data/postgres:/var/lib/postgresql/data
    ports:
      - "5432:5432"
    healthcheck:
      test: ["CMD-SHELL", "pg_isready -U sesame -d sesamestreet"]
      interval: 5s
      timeout: 5s
      retries: 12
  server:
    image: sesamestreet-server:latest
    restart: unless-stopped
    environment:
      PORT: 4000
      DATABASE_URL: postgresql://sesame:sesame@postgres:5432/sesamestreet
      CORS_ORIGIN: http://localhost:3000
      INTAKE_DIRECTORY: /data/intake
      INTAKE_POLL_SECONDS: 5
    depends_on:
      postgres:
        condition: service_healthy
    volumes:
      - ${PROJECT_DIR}/data/intake:/data/intake
    ports:
      - "4000:4000"
    healthcheck:
      test: ["CMD-SHELL", "python -c \"import urllib.request; urllib.request.urlopen('http://localhost:4000/health')\""]
      interval: 5s
      timeout: 5s
      retries: 12
  client:
    image: sesamestreet-client:latest
    restart: unless-stopped
    environment:
      PORT: 3000
      API_URL: http://server:4000
    depends_on:
      server:
        condition: service_healthy
    ports:
      - "3000:3000"</w:t>
      </w:r>
    </w:p>
    <w:p>
      <w:pPr>
        <w:pStyle w:val="Heading2"/>
        <w:spacing w:after="120" w:before="240"/>
      </w:pPr>
      <w:r>
        <w:rPr>
          <w:rFonts w:ascii="Arial" w:cs="Arial" w:eastAsia="Arial" w:hAnsi="Arial"/>
          <w:b/>
          <w:bCs/>
          <w:color w:val="263849"/>
          <w:sz w:val="30"/>
          <w:szCs w:val="30"/>
        </w:rPr>
        <w:t xml:space="preserve">5.2 docker/server.Dockerfile</w:t>
      </w:r>
    </w:p>
    <w:p>
      <w:pPr>
        <w:spacing w:after="80"/>
      </w:pPr>
      <w:r>
        <w:rPr>
          <w:rFonts w:ascii="Consolas" w:cs="Consolas" w:eastAsia="Consolas" w:hAnsi="Consolas"/>
          <w:color w:val="444444"/>
          <w:sz w:val="20"/>
          <w:szCs w:val="20"/>
        </w:rPr>
        <w:t xml:space="preserve">FROM python:3.12-slim
WORKDIR /app
ENV PYTHONDONTWRITEBYTECODE=1
ENV PYTHONUNBUFFERED=1
ENV PORT=4000
COPY server/requirements.txt ./server/requirements.txt
RUN pip install --no-cache-dir -r server/requirements.txt
COPY server ./server
EXPOSE 4000
CMD ["uvicorn", "server.main:app", "--host", "0.0.0.0", "--port", "4000"]</w:t>
      </w:r>
    </w:p>
    <w:p>
      <w:pPr>
        <w:pStyle w:val="Heading2"/>
        <w:spacing w:after="120" w:before="240"/>
      </w:pPr>
      <w:r>
        <w:rPr>
          <w:rFonts w:ascii="Arial" w:cs="Arial" w:eastAsia="Arial" w:hAnsi="Arial"/>
          <w:b/>
          <w:bCs/>
          <w:color w:val="263849"/>
          <w:sz w:val="30"/>
          <w:szCs w:val="30"/>
        </w:rPr>
        <w:t xml:space="preserve">5.3 docker/postgres.Dockerfile</w:t>
      </w:r>
    </w:p>
    <w:p>
      <w:pPr>
        <w:spacing w:after="80"/>
      </w:pPr>
      <w:r>
        <w:rPr>
          <w:rFonts w:ascii="Consolas" w:cs="Consolas" w:eastAsia="Consolas" w:hAnsi="Consolas"/>
          <w:color w:val="444444"/>
          <w:sz w:val="20"/>
          <w:szCs w:val="20"/>
        </w:rPr>
        <w:t xml:space="preserve">FROM postgres:16-alpine
# init.sql runs ONLY on first database creation (empty data directory)
COPY postgres/init.sql /docker-entrypoint-initdb.d/01-init.sql
# migrations.sql is available inside the container for on-demand execution
# Run via:
#   docker compose exec postgres psql -U sesame -d sesamestreet \
#     -f /migrations/migrations.sql
COPY postgres/migrations.sql /migrations/migrations.sql</w:t>
      </w:r>
    </w:p>
    <w:p>
      <w:pPr>
        <w:pStyle w:val="Heading2"/>
        <w:spacing w:after="120" w:before="240"/>
      </w:pPr>
      <w:r>
        <w:rPr>
          <w:rFonts w:ascii="Arial" w:cs="Arial" w:eastAsia="Arial" w:hAnsi="Arial"/>
          <w:b/>
          <w:bCs/>
          <w:color w:val="263849"/>
          <w:sz w:val="30"/>
          <w:szCs w:val="30"/>
        </w:rPr>
        <w:t xml:space="preserve">5.4 docker/client.Dockerfile</w:t>
      </w:r>
    </w:p>
    <w:p>
      <w:pPr>
        <w:spacing w:after="80"/>
      </w:pPr>
      <w:r>
        <w:rPr>
          <w:rFonts w:ascii="Consolas" w:cs="Consolas" w:eastAsia="Consolas" w:hAnsi="Consolas"/>
          <w:color w:val="444444"/>
          <w:sz w:val="20"/>
          <w:szCs w:val="20"/>
        </w:rPr>
        <w:t xml:space="preserve">FROM node:23-alpine AS deps
WORKDIR /app/client
COPY client/package.json client/package-lock.json ./
RUN npm ci
FROM deps AS builder
WORKDIR /app/client
COPY client ./
ARG API_URL=http://server:4000
ENV API_URL=${API_URL}
RUN npm run build
FROM node:23-alpine AS runner
WORKDIR /app/client
ENV NODE_ENV=production
ENV PORT=3000
ENV API_URL=http://server:4000
COPY --from=deps /app/client/node_modules ./node_modules
COPY --from=builder /app/client ./
EXPOSE 3000
CMD ["npm", "run", "start", "--", "--hostname", "0.0.0.0", "--port", "3000"]</w:t>
      </w:r>
    </w:p>
    <w:p>
      <w:pPr>
        <w:pStyle w:val="Heading2"/>
        <w:spacing w:after="120" w:before="240"/>
      </w:pPr>
      <w:r>
        <w:rPr>
          <w:rFonts w:ascii="Arial" w:cs="Arial" w:eastAsia="Arial" w:hAnsi="Arial"/>
          <w:b/>
          <w:bCs/>
          <w:color w:val="263849"/>
          <w:sz w:val="30"/>
          <w:szCs w:val="30"/>
        </w:rPr>
        <w:t xml:space="preserve">5.5 bin/db-rebuild.sh</w:t>
      </w:r>
    </w:p>
    <w:p>
      <w:pPr>
        <w:spacing w:after="80"/>
      </w:pPr>
      <w:r>
        <w:rPr>
          <w:rFonts w:ascii="Consolas" w:cs="Consolas" w:eastAsia="Consolas" w:hAnsi="Consolas"/>
          <w:color w:val="444444"/>
          <w:sz w:val="20"/>
          <w:szCs w:val="20"/>
        </w:rPr>
        <w:t xml:space="preserve">#!/bin/bash
# Safe database rebuild — backs up, rebuilds postgres image, applies migrations
# Usage: bin/db-rebuild.sh  OR  bin/db-rebuild.sh --reset (WIPES ALL DATA)
set -e
SCRIPT_DIR="$(cd "$(dirname "$0")" &amp;&amp; pwd)"
PROJECT_DIR="$(dirname "$SCRIPT_DIR")"
DOCKER_DIR="${PROJECT_DIR}/docker"
cd "$DOCKER_DIR"
if [ "$1" = "--reset" ]; then
  echo "=== FULL RESET — this will WIPE ALL DATA ==="
  bash "${SCRIPT_DIR}/db-backup.sh" pre-reset 2&gt;/dev/null || echo "  (no running database)"
  docker compose down
  rm -rf "${PROJECT_DIR}/data/postgres"
  cd "$PROJECT_DIR"
  docker build -f docker/postgres.Dockerfile -t sesamestreet-postgres:latest .
  cd "$DOCKER_DIR"
  docker compose up -d postgres
else
  echo "=== Safe rebuild — preserving all user data ==="
  bash "${SCRIPT_DIR}/db-backup.sh" pre-migrate 2&gt;/dev/null || echo "  (no running database)"
  cd "$PROJECT_DIR"
  docker build -f docker/postgres.Dockerfile -t sesamestreet-postgres:latest .
  cd "$DOCKER_DIR"
  docker compose up -d postgres
  sleep 3
  docker compose exec postgres psql -U sesame -d sesamestreet \
    -f /migrations/migrations.sql 2&gt;&amp;1 | tail -5
fi</w:t>
      </w:r>
    </w:p>
    <w:p>
      <w:pPr>
        <w:pStyle w:val="Heading2"/>
        <w:spacing w:after="120" w:before="240"/>
      </w:pPr>
      <w:r>
        <w:rPr>
          <w:rFonts w:ascii="Arial" w:cs="Arial" w:eastAsia="Arial" w:hAnsi="Arial"/>
          <w:b/>
          <w:bCs/>
          <w:color w:val="263849"/>
          <w:sz w:val="30"/>
          <w:szCs w:val="30"/>
        </w:rPr>
        <w:t xml:space="preserve">5.6 bin/db-backup.sh</w:t>
      </w:r>
    </w:p>
    <w:p>
      <w:pPr>
        <w:spacing w:after="80"/>
      </w:pPr>
      <w:r>
        <w:rPr>
          <w:rFonts w:ascii="Consolas" w:cs="Consolas" w:eastAsia="Consolas" w:hAnsi="Consolas"/>
          <w:color w:val="444444"/>
          <w:sz w:val="20"/>
          <w:szCs w:val="20"/>
        </w:rPr>
        <w:t xml:space="preserve">#!/bin/bash
# Usage: bin/db-backup.sh [backup_name]
set -e
SCRIPT_DIR="$(cd "$(dirname "$0")" &amp;&amp; pwd)"
PROJECT_DIR="$(dirname "$SCRIPT_DIR")"
BACKUP_DIR="${PROJECT_DIR}/data/backups"
BACKUP_NAME="${1:-manual}"
TIMESTAMP=$(date +%Y%m%d_%H%M%S)
BACKUP_FILE="${BACKUP_DIR}/${TIMESTAMP}_${BACKUP_NAME}.sql"
mkdir -p "$BACKUP_DIR"
cd "${PROJECT_DIR}/docker"
docker compose exec -T postgres pg_dump -U sesame sesamestreet &gt; "$BACKUP_FILE"
echo "[backup] File: ${BACKUP_FILE}"</w:t>
      </w:r>
    </w:p>
    <w:p>
      <w:pPr>
        <w:pStyle w:val="Heading2"/>
        <w:spacing w:after="120" w:before="240"/>
      </w:pPr>
      <w:r>
        <w:rPr>
          <w:rFonts w:ascii="Arial" w:cs="Arial" w:eastAsia="Arial" w:hAnsi="Arial"/>
          <w:b/>
          <w:bCs/>
          <w:color w:val="263849"/>
          <w:sz w:val="30"/>
          <w:szCs w:val="30"/>
        </w:rPr>
        <w:t xml:space="preserve">5.7 bin/db-restore.sh</w:t>
      </w:r>
    </w:p>
    <w:p>
      <w:pPr>
        <w:spacing w:after="80"/>
      </w:pPr>
      <w:r>
        <w:rPr>
          <w:rFonts w:ascii="Consolas" w:cs="Consolas" w:eastAsia="Consolas" w:hAnsi="Consolas"/>
          <w:color w:val="444444"/>
          <w:sz w:val="20"/>
          <w:szCs w:val="20"/>
        </w:rPr>
        <w:t xml:space="preserve">#!/bin/bash
# Usage: bin/db-restore.sh &lt;backup_file&gt;
set -e
[ -z "$1" ] &amp;&amp; { echo "Usage: bin/db-restore.sh &lt;backup_file&gt;"; ls -1t data/backups/*.sql; exit 1; }
BACKUP_FILE="$1"
[ ! -f "$BACKUP_FILE" ] &amp;&amp; { echo "Not found: $BACKUP_FILE"; exit 1; }
SCRIPT_DIR="$(cd "$(dirname "$0")" &amp;&amp; pwd)"
PROJECT_DIR="$(dirname "$SCRIPT_DIR")"
cd "${PROJECT_DIR}/docker"
docker compose exec -T postgres psql -U sesame -d sesamestreet &lt; "$BACKUP_FILE"</w:t>
      </w:r>
    </w:p>
    <w:p>
      <w:pPr>
        <w:pStyle w:val="Heading2"/>
        <w:spacing w:after="120" w:before="240"/>
      </w:pPr>
      <w:r>
        <w:rPr>
          <w:rFonts w:ascii="Arial" w:cs="Arial" w:eastAsia="Arial" w:hAnsi="Arial"/>
          <w:b/>
          <w:bCs/>
          <w:color w:val="263849"/>
          <w:sz w:val="30"/>
          <w:szCs w:val="30"/>
        </w:rPr>
        <w:t xml:space="preserve">5.8 bin/build-*-image.sh (4 scripts)</w:t>
      </w:r>
    </w:p>
    <w:p>
      <w:pPr>
        <w:spacing w:after="140" w:line="280"/>
        <w:jc w:val="both"/>
      </w:pPr>
      <w:r>
        <w:rPr>
          <w:rFonts w:ascii="Arial" w:cs="Arial" w:eastAsia="Arial" w:hAnsi="Arial"/>
          <w:sz w:val="22"/>
          <w:szCs w:val="22"/>
        </w:rPr>
        <w:t xml:space="preserve">build-server-image.sh / build-client-image.sh / build-postgres-image.sh each follow the same shape — docker build with -f docker/{name}.Dockerfile tagged as sesamestreet-{name}:latest and :local.</w:t>
      </w:r>
    </w:p>
    <w:p>
      <w:pPr>
        <w:spacing w:after="80"/>
      </w:pPr>
      <w:r>
        <w:rPr>
          <w:rFonts w:ascii="Consolas" w:cs="Consolas" w:eastAsia="Consolas" w:hAnsi="Consolas"/>
          <w:color w:val="444444"/>
          <w:sz w:val="20"/>
          <w:szCs w:val="20"/>
        </w:rPr>
        <w:t xml:space="preserve">#!/usr/bin/env bash
set -euo pipefail
ROOT_DIR="$(cd "$(dirname "${BASH_SOURCE[0]}")/.." &amp;&amp; pwd)"
docker build \
  -f "${ROOT_DIR}/docker/server.Dockerfile" \
  -t "sesamestreet-server:latest" \
  -t "sesamestreet-server:local" \
  "${ROOT_DIR}"</w:t>
      </w:r>
    </w:p>
    <w:p>
      <w:pPr>
        <w:pStyle w:val="Heading2"/>
        <w:spacing w:after="120" w:before="240"/>
      </w:pPr>
      <w:r>
        <w:rPr>
          <w:rFonts w:ascii="Arial" w:cs="Arial" w:eastAsia="Arial" w:hAnsi="Arial"/>
          <w:b/>
          <w:bCs/>
          <w:color w:val="263849"/>
          <w:sz w:val="30"/>
          <w:szCs w:val="30"/>
        </w:rPr>
        <w:t xml:space="preserve">5.9 bin/build-all-images.sh</w:t>
      </w:r>
    </w:p>
    <w:p>
      <w:pPr>
        <w:spacing w:after="80"/>
      </w:pPr>
      <w:r>
        <w:rPr>
          <w:rFonts w:ascii="Consolas" w:cs="Consolas" w:eastAsia="Consolas" w:hAnsi="Consolas"/>
          <w:color w:val="444444"/>
          <w:sz w:val="20"/>
          <w:szCs w:val="20"/>
        </w:rPr>
        <w:t xml:space="preserve">#!/usr/bin/env bash
set -euo pipefail
ROOT_DIR="$(cd "$(dirname "${BASH_SOURCE[0]}")/.." &amp;&amp; pwd)"
"${ROOT_DIR}/bin/build-postgres-image.sh"
"${ROOT_DIR}/bin/build-server-image.sh"
"${ROOT_DIR}/bin/build-client-image.sh"</w:t>
      </w:r>
    </w:p>
    <w:p>
      <w:pPr>
        <w:pStyle w:val="Heading2"/>
        <w:spacing w:after="120" w:before="240"/>
      </w:pPr>
      <w:r>
        <w:rPr>
          <w:rFonts w:ascii="Arial" w:cs="Arial" w:eastAsia="Arial" w:hAnsi="Arial"/>
          <w:b/>
          <w:bCs/>
          <w:color w:val="263849"/>
          <w:sz w:val="30"/>
          <w:szCs w:val="30"/>
        </w:rPr>
        <w:t xml:space="preserve">5.10 bin/environment.sh</w:t>
      </w:r>
    </w:p>
    <w:p>
      <w:pPr>
        <w:spacing w:after="80"/>
      </w:pPr>
      <w:r>
        <w:rPr>
          <w:rFonts w:ascii="Consolas" w:cs="Consolas" w:eastAsia="Consolas" w:hAnsi="Consolas"/>
          <w:color w:val="444444"/>
          <w:sz w:val="20"/>
          <w:szCs w:val="20"/>
        </w:rPr>
        <w:t xml:space="preserve">#!/bin/bash
export ROOT_DIR="$HOME_DIR"
export PROJECT="xsesamestreet"
export PROJECT_DIR="$ROOT_DIR/$PROJECT"
$PROJECT_DIR/bin/show.sh</w:t>
      </w:r>
    </w:p>
    <w:p>
      <w:pPr>
        <w:pStyle w:val="Heading2"/>
        <w:spacing w:after="120" w:before="240"/>
      </w:pPr>
      <w:r>
        <w:rPr>
          <w:rFonts w:ascii="Arial" w:cs="Arial" w:eastAsia="Arial" w:hAnsi="Arial"/>
          <w:b/>
          <w:bCs/>
          <w:color w:val="263849"/>
          <w:sz w:val="30"/>
          <w:szCs w:val="30"/>
        </w:rPr>
        <w:t xml:space="preserve">5.11 Volume and backup directories</w:t>
      </w:r>
    </w:p>
    <w:p>
      <w:pPr>
        <w:pStyle w:val="ListParagraph"/>
        <w:numPr>
          <w:ilvl w:val="0"/>
          <w:numId w:val="2"/>
        </w:numPr>
        <w:spacing w:after="60"/>
      </w:pPr>
      <w:r>
        <w:rPr>
          <w:rFonts w:ascii="Arial" w:cs="Arial" w:eastAsia="Arial" w:hAnsi="Arial"/>
          <w:sz w:val="22"/>
          <w:szCs w:val="22"/>
        </w:rPr>
        <w:t xml:space="preserve">PROJECT_DIR/data/postgres — PostgreSQL data directory (persistent, mounted).</w:t>
      </w:r>
    </w:p>
    <w:p>
      <w:pPr>
        <w:pStyle w:val="ListParagraph"/>
        <w:numPr>
          <w:ilvl w:val="0"/>
          <w:numId w:val="2"/>
        </w:numPr>
        <w:spacing w:after="60"/>
      </w:pPr>
      <w:r>
        <w:rPr>
          <w:rFonts w:ascii="Arial" w:cs="Arial" w:eastAsia="Arial" w:hAnsi="Arial"/>
          <w:sz w:val="22"/>
          <w:szCs w:val="22"/>
        </w:rPr>
        <w:t xml:space="preserve">PROJECT_DIR/data/intake — File intake directory (mounted into server container at /data/intake).</w:t>
      </w:r>
    </w:p>
    <w:p>
      <w:pPr>
        <w:pStyle w:val="ListParagraph"/>
        <w:numPr>
          <w:ilvl w:val="0"/>
          <w:numId w:val="2"/>
        </w:numPr>
        <w:spacing w:after="60"/>
      </w:pPr>
      <w:r>
        <w:rPr>
          <w:rFonts w:ascii="Arial" w:cs="Arial" w:eastAsia="Arial" w:hAnsi="Arial"/>
          <w:sz w:val="22"/>
          <w:szCs w:val="22"/>
        </w:rPr>
        <w:t xml:space="preserve">PROJECT_DIR/data/backups — Timestamped SQL dumps: YYYYMMDD_HHMMSS_{name}.sql.</w:t>
      </w:r>
    </w:p>
    <w:p>
      <w:pPr>
        <w:pStyle w:val="Heading1"/>
        <w:pageBreakBefore/>
        <w:spacing w:after="180" w:before="240"/>
      </w:pPr>
      <w:r>
        <w:rPr>
          <w:rFonts w:ascii="Arial" w:cs="Arial" w:eastAsia="Arial" w:hAnsi="Arial"/>
          <w:b/>
          <w:bCs/>
          <w:color w:val="1F6FA5"/>
          <w:sz w:val="40"/>
          <w:szCs w:val="40"/>
        </w:rPr>
        <w:t xml:space="preserve">6. Package dependencies</w:t>
      </w:r>
    </w:p>
    <w:p>
      <w:pPr>
        <w:pStyle w:val="Heading2"/>
        <w:spacing w:after="120" w:before="240"/>
      </w:pPr>
      <w:r>
        <w:rPr>
          <w:rFonts w:ascii="Arial" w:cs="Arial" w:eastAsia="Arial" w:hAnsi="Arial"/>
          <w:b/>
          <w:bCs/>
          <w:color w:val="263849"/>
          <w:sz w:val="30"/>
          <w:szCs w:val="30"/>
        </w:rPr>
        <w:t xml:space="preserve">6.1 server/requirements.txt (Python)</w:t>
      </w:r>
    </w:p>
    <w:p>
      <w:pPr>
        <w:spacing w:after="80"/>
      </w:pPr>
      <w:r>
        <w:rPr>
          <w:rFonts w:ascii="Consolas" w:cs="Consolas" w:eastAsia="Consolas" w:hAnsi="Consolas"/>
          <w:color w:val="444444"/>
          <w:sz w:val="20"/>
          <w:szCs w:val="20"/>
        </w:rPr>
        <w:t xml:space="preserve">fastapi==0.116.1
psycopg[binary]==3.2.9
uvicorn[standard]==0.35.0
PyMuPDF==1.26.5
mammoth==1.11.0
openpyxl==3.1.5</w:t>
      </w:r>
    </w:p>
    <w:p>
      <w:pPr>
        <w:pStyle w:val="Heading3"/>
        <w:spacing w:after="80" w:before="180"/>
      </w:pPr>
      <w:r>
        <w:rPr>
          <w:rFonts w:ascii="Arial" w:cs="Arial" w:eastAsia="Arial" w:hAnsi="Arial"/>
          <w:b/>
          <w:bCs/>
          <w:color w:val="263849"/>
          <w:sz w:val="26"/>
          <w:szCs w:val="26"/>
        </w:rPr>
        <w:t xml:space="preserve">Purpose of each</w:t>
      </w:r>
    </w:p>
    <w:p>
      <w:pPr>
        <w:pStyle w:val="ListParagraph"/>
        <w:numPr>
          <w:ilvl w:val="0"/>
          <w:numId w:val="2"/>
        </w:numPr>
        <w:spacing w:after="60"/>
      </w:pPr>
      <w:r>
        <w:rPr>
          <w:rFonts w:ascii="Arial" w:cs="Arial" w:eastAsia="Arial" w:hAnsi="Arial"/>
          <w:sz w:val="22"/>
          <w:szCs w:val="22"/>
        </w:rPr>
        <w:t xml:space="preserve">fastapi — web framework (note: integrated spec said Starlette; actual is FastAPI which is built on Starlette — so Starlette is technically present transitively, but the app uses FastAPI decorators and BaseModel validation).</w:t>
      </w:r>
    </w:p>
    <w:p>
      <w:pPr>
        <w:pStyle w:val="ListParagraph"/>
        <w:numPr>
          <w:ilvl w:val="0"/>
          <w:numId w:val="2"/>
        </w:numPr>
        <w:spacing w:after="60"/>
      </w:pPr>
      <w:r>
        <w:rPr>
          <w:rFonts w:ascii="Arial" w:cs="Arial" w:eastAsia="Arial" w:hAnsi="Arial"/>
          <w:sz w:val="22"/>
          <w:szCs w:val="22"/>
        </w:rPr>
        <w:t xml:space="preserve">psycopg[binary] — PostgreSQL adapter, v3 with C bindings.</w:t>
      </w:r>
    </w:p>
    <w:p>
      <w:pPr>
        <w:pStyle w:val="ListParagraph"/>
        <w:numPr>
          <w:ilvl w:val="0"/>
          <w:numId w:val="2"/>
        </w:numPr>
        <w:spacing w:after="60"/>
      </w:pPr>
      <w:r>
        <w:rPr>
          <w:rFonts w:ascii="Arial" w:cs="Arial" w:eastAsia="Arial" w:hAnsi="Arial"/>
          <w:sz w:val="22"/>
          <w:szCs w:val="22"/>
        </w:rPr>
        <w:t xml:space="preserve">uvicorn[standard] — ASGI server.</w:t>
      </w:r>
    </w:p>
    <w:p>
      <w:pPr>
        <w:pStyle w:val="ListParagraph"/>
        <w:numPr>
          <w:ilvl w:val="0"/>
          <w:numId w:val="2"/>
        </w:numPr>
        <w:spacing w:after="60"/>
      </w:pPr>
      <w:r>
        <w:rPr>
          <w:rFonts w:ascii="Arial" w:cs="Arial" w:eastAsia="Arial" w:hAnsi="Arial"/>
          <w:sz w:val="22"/>
          <w:szCs w:val="22"/>
        </w:rPr>
        <w:t xml:space="preserve">PyMuPDF (fitz) — PDF parsing.</w:t>
      </w:r>
    </w:p>
    <w:p>
      <w:pPr>
        <w:pStyle w:val="ListParagraph"/>
        <w:numPr>
          <w:ilvl w:val="0"/>
          <w:numId w:val="2"/>
        </w:numPr>
        <w:spacing w:after="60"/>
      </w:pPr>
      <w:r>
        <w:rPr>
          <w:rFonts w:ascii="Arial" w:cs="Arial" w:eastAsia="Arial" w:hAnsi="Arial"/>
          <w:sz w:val="22"/>
          <w:szCs w:val="22"/>
        </w:rPr>
        <w:t xml:space="preserve">mammoth — DOCX → HTML/markdown conversion.</w:t>
      </w:r>
    </w:p>
    <w:p>
      <w:pPr>
        <w:pStyle w:val="ListParagraph"/>
        <w:numPr>
          <w:ilvl w:val="0"/>
          <w:numId w:val="2"/>
        </w:numPr>
        <w:spacing w:after="60"/>
      </w:pPr>
      <w:r>
        <w:rPr>
          <w:rFonts w:ascii="Arial" w:cs="Arial" w:eastAsia="Arial" w:hAnsi="Arial"/>
          <w:sz w:val="22"/>
          <w:szCs w:val="22"/>
        </w:rPr>
        <w:t xml:space="preserve">openpyxl — XLSX read/write.</w:t>
      </w:r>
    </w:p>
    <w:p>
      <w:pPr>
        <w:pBdr>
          <w:left w:val="single" w:color="C8821F" w:sz="16" w:space="10"/>
        </w:pBdr>
        <w:spacing w:after="160" w:before="80"/>
        <w:ind w:left="200"/>
      </w:pPr>
      <w:r>
        <w:rPr>
          <w:rFonts w:ascii="Arial" w:cs="Arial" w:eastAsia="Arial" w:hAnsi="Arial"/>
          <w:b/>
          <w:bCs/>
          <w:color w:val="C8821F"/>
          <w:sz w:val="22"/>
          <w:szCs w:val="22"/>
        </w:rPr>
        <w:t xml:space="preserve">ASSUMPTION — Claude — </w:t>
      </w:r>
      <w:r>
        <w:rPr>
          <w:rFonts w:ascii="Arial" w:cs="Arial" w:eastAsia="Arial" w:hAnsi="Arial"/>
          <w:color w:val="263849"/>
          <w:sz w:val="22"/>
          <w:szCs w:val="22"/>
        </w:rPr>
        <w:t xml:space="preserve">Integrated spec Part XIII says "Python Starlette"; actual dependency is FastAPI (which builds on Starlette). Functionally equivalent for the use case — FastAPI adds Pydantic validation which the handlers use — but the spec should say FastAPI, not Starlette.</w:t>
      </w:r>
    </w:p>
    <w:p>
      <w:pPr>
        <w:pStyle w:val="Heading2"/>
        <w:spacing w:after="120" w:before="240"/>
      </w:pPr>
      <w:r>
        <w:rPr>
          <w:rFonts w:ascii="Arial" w:cs="Arial" w:eastAsia="Arial" w:hAnsi="Arial"/>
          <w:b/>
          <w:bCs/>
          <w:color w:val="263849"/>
          <w:sz w:val="30"/>
          <w:szCs w:val="30"/>
        </w:rPr>
        <w:t xml:space="preserve">6.2 client/package.json</w:t>
      </w:r>
    </w:p>
    <w:p>
      <w:pPr>
        <w:pStyle w:val="Heading3"/>
        <w:spacing w:after="80" w:before="180"/>
      </w:pPr>
      <w:r>
        <w:rPr>
          <w:rFonts w:ascii="Arial" w:cs="Arial" w:eastAsia="Arial" w:hAnsi="Arial"/>
          <w:b/>
          <w:bCs/>
          <w:color w:val="263849"/>
          <w:sz w:val="26"/>
          <w:szCs w:val="26"/>
        </w:rPr>
        <w:t xml:space="preserve">dependencies</w:t>
      </w:r>
    </w:p>
    <w:p>
      <w:pPr>
        <w:spacing w:after="80"/>
      </w:pPr>
      <w:r>
        <w:rPr>
          <w:rFonts w:ascii="Consolas" w:cs="Consolas" w:eastAsia="Consolas" w:hAnsi="Consolas"/>
          <w:color w:val="444444"/>
          <w:sz w:val="20"/>
          <w:szCs w:val="20"/>
        </w:rPr>
        <w:t xml:space="preserve">"docx-preview":    "^0.3.7",
"next":            "^15.2.0",
"react":           "^19.0.0",
"react-dom":       "^19.0.0",
"recharts":        "^3.8.1",
"xlsx":            "^0.18.5"</w:t>
      </w:r>
    </w:p>
    <w:p>
      <w:pPr>
        <w:pStyle w:val="Heading3"/>
        <w:spacing w:after="80" w:before="180"/>
      </w:pPr>
      <w:r>
        <w:rPr>
          <w:rFonts w:ascii="Arial" w:cs="Arial" w:eastAsia="Arial" w:hAnsi="Arial"/>
          <w:b/>
          <w:bCs/>
          <w:color w:val="263849"/>
          <w:sz w:val="26"/>
          <w:szCs w:val="26"/>
        </w:rPr>
        <w:t xml:space="preserve">devDependencies</w:t>
      </w:r>
    </w:p>
    <w:p>
      <w:pPr>
        <w:spacing w:after="80"/>
      </w:pPr>
      <w:r>
        <w:rPr>
          <w:rFonts w:ascii="Consolas" w:cs="Consolas" w:eastAsia="Consolas" w:hAnsi="Consolas"/>
          <w:color w:val="444444"/>
          <w:sz w:val="20"/>
          <w:szCs w:val="20"/>
        </w:rPr>
        <w:t xml:space="preserve">"@types/node":     "^22.13.11",
"@types/react":    "^19.0.10",
"@types/react-dom":"^19.0.4",
"typescript":      "^5.8.2"</w:t>
      </w:r>
    </w:p>
    <w:p>
      <w:pPr>
        <w:pStyle w:val="ListParagraph"/>
        <w:numPr>
          <w:ilvl w:val="0"/>
          <w:numId w:val="2"/>
        </w:numPr>
        <w:spacing w:after="60"/>
      </w:pPr>
      <w:r>
        <w:rPr>
          <w:rFonts w:ascii="Arial" w:cs="Arial" w:eastAsia="Arial" w:hAnsi="Arial"/>
          <w:sz w:val="22"/>
          <w:szCs w:val="22"/>
        </w:rPr>
        <w:t xml:space="preserve">docx-preview — Word doc preview component (used in /intake/documents/[documentId]).</w:t>
      </w:r>
    </w:p>
    <w:p>
      <w:pPr>
        <w:pStyle w:val="ListParagraph"/>
        <w:numPr>
          <w:ilvl w:val="0"/>
          <w:numId w:val="2"/>
        </w:numPr>
        <w:spacing w:after="60"/>
      </w:pPr>
      <w:r>
        <w:rPr>
          <w:rFonts w:ascii="Arial" w:cs="Arial" w:eastAsia="Arial" w:hAnsi="Arial"/>
          <w:sz w:val="22"/>
          <w:szCs w:val="22"/>
        </w:rPr>
        <w:t xml:space="preserve">xlsx — spreadsheet preview.</w:t>
      </w:r>
    </w:p>
    <w:p>
      <w:pPr>
        <w:pStyle w:val="ListParagraph"/>
        <w:numPr>
          <w:ilvl w:val="0"/>
          <w:numId w:val="2"/>
        </w:numPr>
        <w:spacing w:after="60"/>
      </w:pPr>
      <w:r>
        <w:rPr>
          <w:rFonts w:ascii="Arial" w:cs="Arial" w:eastAsia="Arial" w:hAnsi="Arial"/>
          <w:sz w:val="22"/>
          <w:szCs w:val="22"/>
        </w:rPr>
        <w:t xml:space="preserve">recharts — all charting.</w:t>
      </w:r>
    </w:p>
    <w:p>
      <w:pPr>
        <w:pStyle w:val="ListParagraph"/>
        <w:numPr>
          <w:ilvl w:val="0"/>
          <w:numId w:val="2"/>
        </w:numPr>
        <w:spacing w:after="60"/>
      </w:pPr>
      <w:r>
        <w:rPr>
          <w:rFonts w:ascii="Arial" w:cs="Arial" w:eastAsia="Arial" w:hAnsi="Arial"/>
          <w:sz w:val="22"/>
          <w:szCs w:val="22"/>
        </w:rPr>
        <w:t xml:space="preserve">next 15.2+, react 19+, typescript 5.8+ — per integrated spec.</w:t>
      </w:r>
    </w:p>
    <w:p>
      <w:pPr>
        <w:pStyle w:val="Heading1"/>
        <w:pageBreakBefore/>
        <w:spacing w:after="180" w:before="240"/>
      </w:pPr>
      <w:r>
        <w:rPr>
          <w:rFonts w:ascii="Arial" w:cs="Arial" w:eastAsia="Arial" w:hAnsi="Arial"/>
          <w:b/>
          <w:bCs/>
          <w:color w:val="1F6FA5"/>
          <w:sz w:val="40"/>
          <w:szCs w:val="40"/>
        </w:rPr>
        <w:t xml:space="preserve">7. Environment variable surface</w:t>
      </w:r>
    </w:p>
    <w:p>
      <w:pPr>
        <w:spacing w:after="140" w:line="280"/>
        <w:jc w:val="both"/>
      </w:pPr>
      <w:r>
        <w:rPr>
          <w:rFonts w:ascii="Arial" w:cs="Arial" w:eastAsia="Arial" w:hAnsi="Arial"/>
          <w:sz w:val="22"/>
          <w:szCs w:val="22"/>
        </w:rPr>
        <w:t xml:space="preserve">Complete list from grep of server/config.py + app/cli.py + docker/docker-compose.yml.</w:t>
      </w:r>
    </w:p>
    <w:p>
      <w:pPr>
        <w:pStyle w:val="Heading2"/>
        <w:spacing w:after="120" w:before="240"/>
      </w:pPr>
      <w:r>
        <w:rPr>
          <w:rFonts w:ascii="Arial" w:cs="Arial" w:eastAsia="Arial" w:hAnsi="Arial"/>
          <w:b/>
          <w:bCs/>
          <w:color w:val="263849"/>
          <w:sz w:val="30"/>
          <w:szCs w:val="30"/>
        </w:rPr>
        <w:t xml:space="preserve">7.1 Server (Python)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Variable</w:t>
            </w:r>
          </w:p>
        </w:tc>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Default</w:t>
            </w:r>
          </w:p>
        </w:tc>
        <w:tc>
          <w:tcPr>
            <w:tcW w:type="dxa" w:w="3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DATABASE_URL</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postgresql://sesame:sesame@localhost:5432/sesamestreet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 connection 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PORT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4000</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FastAPI/Uvicorn listening port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CORS_ORIGIN</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http://localhost:3000</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CORS origin for client requests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INTAKE_DIRECTORY</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/tmp/sesamestreet-intake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File intake polling directory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INTAKE_POLL_SECONDS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Intake poll interval (seconds)</w:t>
            </w:r>
          </w:p>
        </w:tc>
      </w:tr>
    </w:tbl>
    <w:p>
      <w:pPr>
        <w:pStyle w:val="Heading2"/>
        <w:spacing w:after="120" w:before="240"/>
      </w:pPr>
      <w:r>
        <w:rPr>
          <w:rFonts w:ascii="Arial" w:cs="Arial" w:eastAsia="Arial" w:hAnsi="Arial"/>
          <w:b/>
          <w:bCs/>
          <w:color w:val="263849"/>
          <w:sz w:val="30"/>
          <w:szCs w:val="30"/>
        </w:rPr>
        <w:t xml:space="preserve">7.2 CLI client (Python)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Variable</w:t>
            </w:r>
          </w:p>
        </w:tc>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Default</w:t>
            </w:r>
          </w:p>
        </w:tc>
        <w:tc>
          <w:tcPr>
            <w:tcW w:type="dxa" w:w="3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SESAME_API_BASE_URL</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http://localhost:4000</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 server base URL for CLI</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SESAME_VIEWER</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(None)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Optional external viewer for output files</w:t>
            </w:r>
          </w:p>
        </w:tc>
      </w:tr>
    </w:tbl>
    <w:p>
      <w:pPr>
        <w:pStyle w:val="Heading2"/>
        <w:spacing w:after="120" w:before="240"/>
      </w:pPr>
      <w:r>
        <w:rPr>
          <w:rFonts w:ascii="Arial" w:cs="Arial" w:eastAsia="Arial" w:hAnsi="Arial"/>
          <w:b/>
          <w:bCs/>
          <w:color w:val="263849"/>
          <w:sz w:val="30"/>
          <w:szCs w:val="30"/>
        </w:rPr>
        <w:t xml:space="preserve">7.3 Docker Compose — service config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3160"/>
      </w:tblGrid>
      <w:tr>
        <w:trPr>
          <w:tblHeader/>
        </w:trPr>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Service</w:t>
            </w:r>
          </w:p>
        </w:tc>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Variable</w:t>
            </w:r>
          </w:p>
        </w:tc>
        <w:tc>
          <w:tcPr>
            <w:tcW w:type="dxa" w:w="2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Value</w:t>
            </w:r>
          </w:p>
        </w:tc>
        <w:tc>
          <w:tcPr>
            <w:tcW w:type="dxa" w:w="3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POSTGRES_DB</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sesamestreet</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Initial database name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POSTGRES_USER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sesame</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DB user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POSTGRES_PASSWORD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sesame</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DB password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server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PORT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Passed to Python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server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DATABASE_URL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postgresql://sesame:sesame@postgres:5432/sesamestreet</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Docker-internal hostname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server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CORS_ORIGIN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http://localhost:3000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Dev origin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server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INTAKE_DIRECTORY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/data/intake</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Mounted volume path</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server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INTAKE_POLL_SECONDS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client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PORT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client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API_URL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http://server:4000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Docker-internal service discovery</w:t>
            </w:r>
          </w:p>
        </w:tc>
      </w:tr>
    </w:tbl>
    <w:p>
      <w:pPr>
        <w:pStyle w:val="Heading2"/>
        <w:spacing w:after="120" w:before="240"/>
      </w:pPr>
      <w:r>
        <w:rPr>
          <w:rFonts w:ascii="Arial" w:cs="Arial" w:eastAsia="Arial" w:hAnsi="Arial"/>
          <w:b/>
          <w:bCs/>
          <w:color w:val="263849"/>
          <w:sz w:val="30"/>
          <w:szCs w:val="30"/>
        </w:rPr>
        <w:t xml:space="preserve">7.4 Build-time variables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Variable</w:t>
            </w:r>
          </w:p>
        </w:tc>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Default</w:t>
            </w:r>
          </w:p>
        </w:tc>
        <w:tc>
          <w:tcPr>
            <w:tcW w:type="dxa" w:w="3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API_URL (build arg)</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http://server:4000</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client.Dockerfile build-time override for client API URL</w:t>
            </w:r>
          </w:p>
        </w:tc>
      </w:tr>
    </w:tbl>
    <w:p>
      <w:pPr>
        <w:pBdr>
          <w:left w:val="single" w:color="1F6FA5" w:sz="16" w:space="10"/>
        </w:pBdr>
        <w:spacing w:after="160" w:before="80"/>
        <w:ind w:left="200"/>
      </w:pPr>
      <w:r>
        <w:rPr>
          <w:rFonts w:ascii="Arial" w:cs="Arial" w:eastAsia="Arial" w:hAnsi="Arial"/>
          <w:i/>
          <w:iCs/>
          <w:color w:val="56718A"/>
          <w:sz w:val="22"/>
          <w:szCs w:val="22"/>
        </w:rPr>
        <w:t xml:space="preserve">No DEMO_USER env var was found. The integrated spec referenced it as a demo auth bypass; the actual implementation uses viewer cookies (VIEWER_COOKIE_NAME) set by the sidebar viewer switcher. The viewer system provides the same demo-friendly bypass behaviour.</w:t>
      </w:r>
    </w:p>
    <w:p>
      <w:pPr>
        <w:pStyle w:val="Heading1"/>
        <w:pageBreakBefore/>
        <w:spacing w:after="180" w:before="240"/>
      </w:pPr>
      <w:r>
        <w:rPr>
          <w:rFonts w:ascii="Arial" w:cs="Arial" w:eastAsia="Arial" w:hAnsi="Arial"/>
          <w:b/>
          <w:bCs/>
          <w:color w:val="1F6FA5"/>
          <w:sz w:val="40"/>
          <w:szCs w:val="40"/>
        </w:rPr>
        <w:t xml:space="preserve">8. Test suite coverage</w:t>
      </w:r>
    </w:p>
    <w:p>
      <w:pPr>
        <w:spacing w:after="140" w:line="280"/>
        <w:jc w:val="both"/>
      </w:pPr>
      <w:r>
        <w:rPr>
          <w:rFonts w:ascii="Arial" w:cs="Arial" w:eastAsia="Arial" w:hAnsi="Arial"/>
          <w:sz w:val="22"/>
          <w:szCs w:val="22"/>
        </w:rPr>
        <w:t xml:space="preserve">Three test files, 19 test functions, 50+ assertions. Live API tests against localhost:4000.</w:t>
      </w:r>
    </w:p>
    <w:p>
      <w:pPr>
        <w:pStyle w:val="Heading2"/>
        <w:spacing w:after="120" w:before="240"/>
      </w:pPr>
      <w:r>
        <w:rPr>
          <w:rFonts w:ascii="Arial" w:cs="Arial" w:eastAsia="Arial" w:hAnsi="Arial"/>
          <w:b/>
          <w:bCs/>
          <w:color w:val="263849"/>
          <w:sz w:val="30"/>
          <w:szCs w:val="30"/>
        </w:rPr>
        <w:t xml:space="preserve">8.1 tests/test_capital_stack.py — 50 assertions across 8 tests</w:t>
      </w:r>
    </w:p>
    <w:p>
      <w:pPr>
        <w:pStyle w:val="Heading3"/>
        <w:spacing w:after="80" w:before="180"/>
      </w:pPr>
      <w:r>
        <w:rPr>
          <w:rFonts w:ascii="Arial" w:cs="Arial" w:eastAsia="Arial" w:hAnsi="Arial"/>
          <w:b/>
          <w:bCs/>
          <w:color w:val="263849"/>
          <w:sz w:val="26"/>
          <w:szCs w:val="26"/>
        </w:rPr>
        <w:t xml:space="preserve">Test 1: Wigmore Solar (single-level OpCo) — 7 assertions (lines 46–84)</w:t>
      </w:r>
    </w:p>
    <w:p>
      <w:pPr>
        <w:pStyle w:val="ListParagraph"/>
        <w:numPr>
          <w:ilvl w:val="0"/>
          <w:numId w:val="2"/>
        </w:numPr>
        <w:spacing w:after="60"/>
      </w:pPr>
      <w:r>
        <w:rPr>
          <w:rFonts w:ascii="Arial" w:cs="Arial" w:eastAsia="Arial" w:hAnsi="Arial"/>
          <w:sz w:val="22"/>
          <w:szCs w:val="22"/>
        </w:rPr>
        <w:t xml:space="preserve">Layer count == 1.</w:t>
      </w:r>
    </w:p>
    <w:p>
      <w:pPr>
        <w:pStyle w:val="ListParagraph"/>
        <w:numPr>
          <w:ilvl w:val="0"/>
          <w:numId w:val="2"/>
        </w:numPr>
        <w:spacing w:after="60"/>
      </w:pPr>
      <w:r>
        <w:rPr>
          <w:rFonts w:ascii="Arial" w:cs="Arial" w:eastAsia="Arial" w:hAnsi="Arial"/>
          <w:sz w:val="22"/>
          <w:szCs w:val="22"/>
        </w:rPr>
        <w:t xml:space="preserve">Rank 1 assigned to senior note.</w:t>
      </w:r>
    </w:p>
    <w:p>
      <w:pPr>
        <w:pStyle w:val="ListParagraph"/>
        <w:numPr>
          <w:ilvl w:val="0"/>
          <w:numId w:val="2"/>
        </w:numPr>
        <w:spacing w:after="60"/>
      </w:pPr>
      <w:r>
        <w:rPr>
          <w:rFonts w:ascii="Arial" w:cs="Arial" w:eastAsia="Arial" w:hAnsi="Arial"/>
          <w:sz w:val="22"/>
          <w:szCs w:val="22"/>
        </w:rPr>
        <w:t xml:space="preserve">Senior LTV ≈ 66.7%.</w:t>
      </w:r>
    </w:p>
    <w:p>
      <w:pPr>
        <w:pStyle w:val="ListParagraph"/>
        <w:numPr>
          <w:ilvl w:val="0"/>
          <w:numId w:val="2"/>
        </w:numPr>
        <w:spacing w:after="60"/>
      </w:pPr>
      <w:r>
        <w:rPr>
          <w:rFonts w:ascii="Arial" w:cs="Arial" w:eastAsia="Arial" w:hAnsi="Arial"/>
          <w:sz w:val="22"/>
          <w:szCs w:val="22"/>
        </w:rPr>
        <w:t xml:space="preserve">Residual equity == 50m.</w:t>
      </w:r>
    </w:p>
    <w:p>
      <w:pPr>
        <w:pStyle w:val="ListParagraph"/>
        <w:numPr>
          <w:ilvl w:val="0"/>
          <w:numId w:val="2"/>
        </w:numPr>
        <w:spacing w:after="60"/>
      </w:pPr>
      <w:r>
        <w:rPr>
          <w:rFonts w:ascii="Arial" w:cs="Arial" w:eastAsia="Arial" w:hAnsi="Arial"/>
          <w:sz w:val="22"/>
          <w:szCs w:val="22"/>
        </w:rPr>
        <w:t xml:space="preserve">Parallel claims empty.</w:t>
      </w:r>
    </w:p>
    <w:p>
      <w:pPr>
        <w:pStyle w:val="ListParagraph"/>
        <w:numPr>
          <w:ilvl w:val="0"/>
          <w:numId w:val="2"/>
        </w:numPr>
        <w:spacing w:after="60"/>
      </w:pPr>
      <w:r>
        <w:rPr>
          <w:rFonts w:ascii="Arial" w:cs="Arial" w:eastAsia="Arial" w:hAnsi="Arial"/>
          <w:sz w:val="22"/>
          <w:szCs w:val="22"/>
        </w:rPr>
        <w:t xml:space="preserve">Total client holding == 100m.</w:t>
      </w:r>
    </w:p>
    <w:p>
      <w:pPr>
        <w:pStyle w:val="ListParagraph"/>
        <w:numPr>
          <w:ilvl w:val="0"/>
          <w:numId w:val="2"/>
        </w:numPr>
        <w:spacing w:after="60"/>
      </w:pPr>
      <w:r>
        <w:rPr>
          <w:rFonts w:ascii="Arial" w:cs="Arial" w:eastAsia="Arial" w:hAnsi="Arial"/>
          <w:sz w:val="22"/>
          <w:szCs w:val="22"/>
        </w:rPr>
        <w:t xml:space="preserve">Zero validation warnings.</w:t>
      </w:r>
    </w:p>
    <w:p>
      <w:pPr>
        <w:pStyle w:val="Heading3"/>
        <w:spacing w:after="80" w:before="180"/>
      </w:pPr>
      <w:r>
        <w:rPr>
          <w:rFonts w:ascii="Arial" w:cs="Arial" w:eastAsia="Arial" w:hAnsi="Arial"/>
          <w:b/>
          <w:bCs/>
          <w:color w:val="263849"/>
          <w:sz w:val="26"/>
          <w:szCs w:val="26"/>
        </w:rPr>
        <w:t xml:space="preserve">Test 2: Gatwick Rev.2 (OpCo + MidCo) — 14 assertions (lines 87–165)</w:t>
      </w:r>
    </w:p>
    <w:p>
      <w:pPr>
        <w:pStyle w:val="ListParagraph"/>
        <w:numPr>
          <w:ilvl w:val="0"/>
          <w:numId w:val="2"/>
        </w:numPr>
        <w:spacing w:after="60"/>
      </w:pPr>
      <w:r>
        <w:rPr>
          <w:rFonts w:ascii="Arial" w:cs="Arial" w:eastAsia="Arial" w:hAnsi="Arial"/>
          <w:sz w:val="22"/>
          <w:szCs w:val="22"/>
        </w:rPr>
        <w:t xml:space="preserve">Two layers (OpCo rank 1 + MidCo rank 2).</w:t>
      </w:r>
    </w:p>
    <w:p>
      <w:pPr>
        <w:pStyle w:val="ListParagraph"/>
        <w:numPr>
          <w:ilvl w:val="0"/>
          <w:numId w:val="2"/>
        </w:numPr>
        <w:spacing w:after="60"/>
      </w:pPr>
      <w:r>
        <w:rPr>
          <w:rFonts w:ascii="Arial" w:cs="Arial" w:eastAsia="Arial" w:hAnsi="Arial"/>
          <w:sz w:val="22"/>
          <w:szCs w:val="22"/>
        </w:rPr>
        <w:t xml:space="preserve">Rank 1 instrument count = 11 bonds.</w:t>
      </w:r>
    </w:p>
    <w:p>
      <w:pPr>
        <w:pStyle w:val="ListParagraph"/>
        <w:numPr>
          <w:ilvl w:val="0"/>
          <w:numId w:val="2"/>
        </w:numPr>
        <w:spacing w:after="60"/>
      </w:pPr>
      <w:r>
        <w:rPr>
          <w:rFonts w:ascii="Arial" w:cs="Arial" w:eastAsia="Arial" w:hAnsi="Arial"/>
          <w:sz w:val="22"/>
          <w:szCs w:val="22"/>
        </w:rPr>
        <w:t xml:space="preserve">Rank 1 debt ≈ 3,364.6m.</w:t>
      </w:r>
    </w:p>
    <w:p>
      <w:pPr>
        <w:pStyle w:val="ListParagraph"/>
        <w:numPr>
          <w:ilvl w:val="0"/>
          <w:numId w:val="2"/>
        </w:numPr>
        <w:spacing w:after="60"/>
      </w:pPr>
      <w:r>
        <w:rPr>
          <w:rFonts w:ascii="Arial" w:cs="Arial" w:eastAsia="Arial" w:hAnsi="Arial"/>
          <w:sz w:val="22"/>
          <w:szCs w:val="22"/>
        </w:rPr>
        <w:t xml:space="preserve">Rank 2 instrument count = 1 (GAF bond).</w:t>
      </w:r>
    </w:p>
    <w:p>
      <w:pPr>
        <w:pStyle w:val="ListParagraph"/>
        <w:numPr>
          <w:ilvl w:val="0"/>
          <w:numId w:val="2"/>
        </w:numPr>
        <w:spacing w:after="60"/>
      </w:pPr>
      <w:r>
        <w:rPr>
          <w:rFonts w:ascii="Arial" w:cs="Arial" w:eastAsia="Arial" w:hAnsi="Arial"/>
          <w:sz w:val="22"/>
          <w:szCs w:val="22"/>
        </w:rPr>
        <w:t xml:space="preserve">Rank 2 debt ≈ 475m.</w:t>
      </w:r>
    </w:p>
    <w:p>
      <w:pPr>
        <w:pStyle w:val="ListParagraph"/>
        <w:numPr>
          <w:ilvl w:val="0"/>
          <w:numId w:val="2"/>
        </w:numPr>
        <w:spacing w:after="60"/>
      </w:pPr>
      <w:r>
        <w:rPr>
          <w:rFonts w:ascii="Arial" w:cs="Arial" w:eastAsia="Arial" w:hAnsi="Arial"/>
          <w:sz w:val="22"/>
          <w:szCs w:val="22"/>
        </w:rPr>
        <w:t xml:space="preserve">OpCo residual after debt ≈ 3,135.4m.</w:t>
      </w:r>
    </w:p>
    <w:p>
      <w:pPr>
        <w:pStyle w:val="ListParagraph"/>
        <w:numPr>
          <w:ilvl w:val="0"/>
          <w:numId w:val="2"/>
        </w:numPr>
        <w:spacing w:after="60"/>
      </w:pPr>
      <w:r>
        <w:rPr>
          <w:rFonts w:ascii="Arial" w:cs="Arial" w:eastAsia="Arial" w:hAnsi="Arial"/>
          <w:sz w:val="22"/>
          <w:szCs w:val="22"/>
        </w:rPr>
        <w:t xml:space="preserve">Final residual equity ≈ 2,660.4m.</w:t>
      </w:r>
    </w:p>
    <w:p>
      <w:pPr>
        <w:pStyle w:val="ListParagraph"/>
        <w:numPr>
          <w:ilvl w:val="0"/>
          <w:numId w:val="2"/>
        </w:numPr>
        <w:spacing w:after="60"/>
      </w:pPr>
      <w:r>
        <w:rPr>
          <w:rFonts w:ascii="Arial" w:cs="Arial" w:eastAsia="Arial" w:hAnsi="Arial"/>
          <w:sz w:val="22"/>
          <w:szCs w:val="22"/>
        </w:rPr>
        <w:t xml:space="preserve">Senior LTV ≈ 51.8%.</w:t>
      </w:r>
    </w:p>
    <w:p>
      <w:pPr>
        <w:pStyle w:val="ListParagraph"/>
        <w:numPr>
          <w:ilvl w:val="0"/>
          <w:numId w:val="2"/>
        </w:numPr>
        <w:spacing w:after="60"/>
      </w:pPr>
      <w:r>
        <w:rPr>
          <w:rFonts w:ascii="Arial" w:cs="Arial" w:eastAsia="Arial" w:hAnsi="Arial"/>
          <w:sz w:val="22"/>
          <w:szCs w:val="22"/>
        </w:rPr>
        <w:t xml:space="preserve">Consolidated LTV ≈ 59.1%.</w:t>
      </w:r>
    </w:p>
    <w:p>
      <w:pPr>
        <w:pStyle w:val="ListParagraph"/>
        <w:numPr>
          <w:ilvl w:val="0"/>
          <w:numId w:val="2"/>
        </w:numPr>
        <w:spacing w:after="60"/>
      </w:pPr>
      <w:r>
        <w:rPr>
          <w:rFonts w:ascii="Arial" w:cs="Arial" w:eastAsia="Arial" w:hAnsi="Arial"/>
          <w:sz w:val="22"/>
          <w:szCs w:val="22"/>
        </w:rPr>
        <w:t xml:space="preserve">Consolidated leverage ≈ 6.72×.</w:t>
      </w:r>
    </w:p>
    <w:p>
      <w:pPr>
        <w:pStyle w:val="ListParagraph"/>
        <w:numPr>
          <w:ilvl w:val="0"/>
          <w:numId w:val="2"/>
        </w:numPr>
        <w:spacing w:after="60"/>
      </w:pPr>
      <w:r>
        <w:rPr>
          <w:rFonts w:ascii="Arial" w:cs="Arial" w:eastAsia="Arial" w:hAnsi="Arial"/>
          <w:sz w:val="22"/>
          <w:szCs w:val="22"/>
        </w:rPr>
        <w:t xml:space="preserve">Parallel claims empty.</w:t>
      </w:r>
    </w:p>
    <w:p>
      <w:pPr>
        <w:pStyle w:val="ListParagraph"/>
        <w:numPr>
          <w:ilvl w:val="0"/>
          <w:numId w:val="2"/>
        </w:numPr>
        <w:spacing w:after="60"/>
      </w:pPr>
      <w:r>
        <w:rPr>
          <w:rFonts w:ascii="Arial" w:cs="Arial" w:eastAsia="Arial" w:hAnsi="Arial"/>
          <w:sz w:val="22"/>
          <w:szCs w:val="22"/>
        </w:rPr>
        <w:t xml:space="preserve">Grossed-up equivalent == consolidated debt (no pledge).</w:t>
      </w:r>
    </w:p>
    <w:p>
      <w:pPr>
        <w:pStyle w:val="ListParagraph"/>
        <w:numPr>
          <w:ilvl w:val="0"/>
          <w:numId w:val="2"/>
        </w:numPr>
        <w:spacing w:after="60"/>
      </w:pPr>
      <w:r>
        <w:rPr>
          <w:rFonts w:ascii="Arial" w:cs="Arial" w:eastAsia="Arial" w:hAnsi="Arial"/>
          <w:sz w:val="22"/>
          <w:szCs w:val="22"/>
        </w:rPr>
        <w:t xml:space="preserve">Client holding ≈ 125m.</w:t>
      </w:r>
    </w:p>
    <w:p>
      <w:pPr>
        <w:pStyle w:val="ListParagraph"/>
        <w:numPr>
          <w:ilvl w:val="0"/>
          <w:numId w:val="2"/>
        </w:numPr>
        <w:spacing w:after="60"/>
      </w:pPr>
      <w:r>
        <w:rPr>
          <w:rFonts w:ascii="Arial" w:cs="Arial" w:eastAsia="Arial" w:hAnsi="Arial"/>
          <w:sz w:val="22"/>
          <w:szCs w:val="22"/>
        </w:rPr>
        <w:t xml:space="preserve">Our position: dominant rank 1, zero senior to us, subordinated cushion ≈ 475m, equity cushion ≈ 2,660m, total cushion below ≈ 3,135.4m.</w:t>
      </w:r>
    </w:p>
    <w:p>
      <w:pPr>
        <w:pStyle w:val="Heading3"/>
        <w:spacing w:after="80" w:before="180"/>
      </w:pPr>
      <w:r>
        <w:rPr>
          <w:rFonts w:ascii="Arial" w:cs="Arial" w:eastAsia="Arial" w:hAnsi="Arial"/>
          <w:b/>
          <w:bCs/>
          <w:color w:val="263849"/>
          <w:sz w:val="26"/>
          <w:szCs w:val="26"/>
        </w:rPr>
        <w:t xml:space="preserve">Test 3: Gatwick GIP-only NAV (shareholder-level debt + pledged stake) — 10 assertions (lines 168–239)</w:t>
      </w:r>
    </w:p>
    <w:p>
      <w:pPr>
        <w:pStyle w:val="ListParagraph"/>
        <w:numPr>
          <w:ilvl w:val="0"/>
          <w:numId w:val="2"/>
        </w:numPr>
        <w:spacing w:after="60"/>
      </w:pPr>
      <w:r>
        <w:rPr>
          <w:rFonts w:ascii="Arial" w:cs="Arial" w:eastAsia="Arial" w:hAnsi="Arial"/>
          <w:sz w:val="22"/>
          <w:szCs w:val="22"/>
        </w:rPr>
        <w:t xml:space="preserve">Main stack has 1 layer (OpCo only).</w:t>
      </w:r>
    </w:p>
    <w:p>
      <w:pPr>
        <w:pStyle w:val="ListParagraph"/>
        <w:numPr>
          <w:ilvl w:val="0"/>
          <w:numId w:val="2"/>
        </w:numPr>
        <w:spacing w:after="60"/>
      </w:pPr>
      <w:r>
        <w:rPr>
          <w:rFonts w:ascii="Arial" w:cs="Arial" w:eastAsia="Arial" w:hAnsi="Arial"/>
          <w:sz w:val="22"/>
          <w:szCs w:val="22"/>
        </w:rPr>
        <w:t xml:space="preserve">Parallel claims: 1 entry (GIP NAV facility).</w:t>
      </w:r>
    </w:p>
    <w:p>
      <w:pPr>
        <w:pStyle w:val="ListParagraph"/>
        <w:numPr>
          <w:ilvl w:val="0"/>
          <w:numId w:val="2"/>
        </w:numPr>
        <w:spacing w:after="60"/>
      </w:pPr>
      <w:r>
        <w:rPr>
          <w:rFonts w:ascii="Arial" w:cs="Arial" w:eastAsia="Arial" w:hAnsi="Arial"/>
          <w:sz w:val="22"/>
          <w:szCs w:val="22"/>
        </w:rPr>
        <w:t xml:space="preserve">OpCo residual ≈ 3,135.4m.</w:t>
      </w:r>
    </w:p>
    <w:p>
      <w:pPr>
        <w:pStyle w:val="ListParagraph"/>
        <w:numPr>
          <w:ilvl w:val="0"/>
          <w:numId w:val="2"/>
        </w:numPr>
        <w:spacing w:after="60"/>
      </w:pPr>
      <w:r>
        <w:rPr>
          <w:rFonts w:ascii="Arial" w:cs="Arial" w:eastAsia="Arial" w:hAnsi="Arial"/>
          <w:sz w:val="22"/>
          <w:szCs w:val="22"/>
        </w:rPr>
        <w:t xml:space="preserve">Consolidated leverage ≈ 5.89×.</w:t>
      </w:r>
    </w:p>
    <w:p>
      <w:pPr>
        <w:pStyle w:val="ListParagraph"/>
        <w:numPr>
          <w:ilvl w:val="0"/>
          <w:numId w:val="2"/>
        </w:numPr>
        <w:spacing w:after="60"/>
      </w:pPr>
      <w:r>
        <w:rPr>
          <w:rFonts w:ascii="Arial" w:cs="Arial" w:eastAsia="Arial" w:hAnsi="Arial"/>
          <w:sz w:val="22"/>
          <w:szCs w:val="22"/>
        </w:rPr>
        <w:t xml:space="preserve">Gross-up factor ≈ 2.0004.</w:t>
      </w:r>
    </w:p>
    <w:p>
      <w:pPr>
        <w:pStyle w:val="ListParagraph"/>
        <w:numPr>
          <w:ilvl w:val="0"/>
          <w:numId w:val="2"/>
        </w:numPr>
        <w:spacing w:after="60"/>
      </w:pPr>
      <w:r>
        <w:rPr>
          <w:rFonts w:ascii="Arial" w:cs="Arial" w:eastAsia="Arial" w:hAnsi="Arial"/>
          <w:sz w:val="22"/>
          <w:szCs w:val="22"/>
        </w:rPr>
        <w:t xml:space="preserve">Grossed-up equivalent ≈ 950m.</w:t>
      </w:r>
    </w:p>
    <w:p>
      <w:pPr>
        <w:pStyle w:val="ListParagraph"/>
        <w:numPr>
          <w:ilvl w:val="0"/>
          <w:numId w:val="2"/>
        </w:numPr>
        <w:spacing w:after="60"/>
      </w:pPr>
      <w:r>
        <w:rPr>
          <w:rFonts w:ascii="Arial" w:cs="Arial" w:eastAsia="Arial" w:hAnsi="Arial"/>
          <w:sz w:val="22"/>
          <w:szCs w:val="22"/>
        </w:rPr>
        <w:t xml:space="preserve">Grossed-up leverage ≈ 7.56×.</w:t>
      </w:r>
    </w:p>
    <w:p>
      <w:pPr>
        <w:pStyle w:val="ListParagraph"/>
        <w:numPr>
          <w:ilvl w:val="0"/>
          <w:numId w:val="2"/>
        </w:numPr>
        <w:spacing w:after="60"/>
      </w:pPr>
      <w:r>
        <w:rPr>
          <w:rFonts w:ascii="Arial" w:cs="Arial" w:eastAsia="Arial" w:hAnsi="Arial"/>
          <w:sz w:val="22"/>
          <w:szCs w:val="22"/>
        </w:rPr>
        <w:t xml:space="preserve">Grossed-up LTV ≈ 66.4%.</w:t>
      </w:r>
    </w:p>
    <w:p>
      <w:pPr>
        <w:pStyle w:val="ListParagraph"/>
        <w:numPr>
          <w:ilvl w:val="0"/>
          <w:numId w:val="2"/>
        </w:numPr>
        <w:spacing w:after="60"/>
      </w:pPr>
      <w:r>
        <w:rPr>
          <w:rFonts w:ascii="Arial" w:cs="Arial" w:eastAsia="Arial" w:hAnsi="Arial"/>
          <w:sz w:val="22"/>
          <w:szCs w:val="22"/>
        </w:rPr>
        <w:t xml:space="preserve">Change-of-control list length = 1.</w:t>
      </w:r>
    </w:p>
    <w:p>
      <w:pPr>
        <w:pStyle w:val="ListParagraph"/>
        <w:numPr>
          <w:ilvl w:val="0"/>
          <w:numId w:val="2"/>
        </w:numPr>
        <w:spacing w:after="60"/>
      </w:pPr>
      <w:r>
        <w:rPr>
          <w:rFonts w:ascii="Arial" w:cs="Arial" w:eastAsia="Arial" w:hAnsi="Arial"/>
          <w:sz w:val="22"/>
          <w:szCs w:val="22"/>
        </w:rPr>
        <w:t xml:space="preserve">Pledged value ≈ 1,567.4m; LTV on pledge ≈ 30.3%; status = amber (exceeds 30% amber threshold).</w:t>
      </w:r>
    </w:p>
    <w:p>
      <w:pPr>
        <w:pStyle w:val="Heading3"/>
        <w:spacing w:after="80" w:before="180"/>
      </w:pPr>
      <w:r>
        <w:rPr>
          <w:rFonts w:ascii="Arial" w:cs="Arial" w:eastAsia="Arial" w:hAnsi="Arial"/>
          <w:b/>
          <w:bCs/>
          <w:color w:val="263849"/>
          <w:sz w:val="26"/>
          <w:szCs w:val="26"/>
        </w:rPr>
        <w:t xml:space="preserve">Test 4: OpCo + HoldCo (100% ownership, dual ranks) — 6 assertions (lines 242–270)</w:t>
      </w:r>
    </w:p>
    <w:p>
      <w:pPr>
        <w:pStyle w:val="ListParagraph"/>
        <w:numPr>
          <w:ilvl w:val="0"/>
          <w:numId w:val="2"/>
        </w:numPr>
        <w:spacing w:after="60"/>
      </w:pPr>
      <w:r>
        <w:rPr>
          <w:rFonts w:ascii="Arial" w:cs="Arial" w:eastAsia="Arial" w:hAnsi="Arial"/>
          <w:sz w:val="22"/>
          <w:szCs w:val="22"/>
        </w:rPr>
        <w:t xml:space="preserve">Two layers present.</w:t>
      </w:r>
    </w:p>
    <w:p>
      <w:pPr>
        <w:pStyle w:val="ListParagraph"/>
        <w:numPr>
          <w:ilvl w:val="0"/>
          <w:numId w:val="2"/>
        </w:numPr>
        <w:spacing w:after="60"/>
      </w:pPr>
      <w:r>
        <w:rPr>
          <w:rFonts w:ascii="Arial" w:cs="Arial" w:eastAsia="Arial" w:hAnsi="Arial"/>
          <w:sz w:val="22"/>
          <w:szCs w:val="22"/>
        </w:rPr>
        <w:t xml:space="preserve">OpCo rank = 1.</w:t>
      </w:r>
    </w:p>
    <w:p>
      <w:pPr>
        <w:pStyle w:val="ListParagraph"/>
        <w:numPr>
          <w:ilvl w:val="0"/>
          <w:numId w:val="2"/>
        </w:numPr>
        <w:spacing w:after="60"/>
      </w:pPr>
      <w:r>
        <w:rPr>
          <w:rFonts w:ascii="Arial" w:cs="Arial" w:eastAsia="Arial" w:hAnsi="Arial"/>
          <w:sz w:val="22"/>
          <w:szCs w:val="22"/>
        </w:rPr>
        <w:t xml:space="preserve">HoldCo rank = 2.</w:t>
      </w:r>
    </w:p>
    <w:p>
      <w:pPr>
        <w:pStyle w:val="ListParagraph"/>
        <w:numPr>
          <w:ilvl w:val="0"/>
          <w:numId w:val="2"/>
        </w:numPr>
        <w:spacing w:after="60"/>
      </w:pPr>
      <w:r>
        <w:rPr>
          <w:rFonts w:ascii="Arial" w:cs="Arial" w:eastAsia="Arial" w:hAnsi="Arial"/>
          <w:sz w:val="22"/>
          <w:szCs w:val="22"/>
        </w:rPr>
        <w:t xml:space="preserve">Senior LTV = 50%.</w:t>
      </w:r>
    </w:p>
    <w:p>
      <w:pPr>
        <w:pStyle w:val="ListParagraph"/>
        <w:numPr>
          <w:ilvl w:val="0"/>
          <w:numId w:val="2"/>
        </w:numPr>
        <w:spacing w:after="60"/>
      </w:pPr>
      <w:r>
        <w:rPr>
          <w:rFonts w:ascii="Arial" w:cs="Arial" w:eastAsia="Arial" w:hAnsi="Arial"/>
          <w:sz w:val="22"/>
          <w:szCs w:val="22"/>
        </w:rPr>
        <w:t xml:space="preserve">Consolidated LTV = 62.5%.</w:t>
      </w:r>
    </w:p>
    <w:p>
      <w:pPr>
        <w:pStyle w:val="ListParagraph"/>
        <w:numPr>
          <w:ilvl w:val="0"/>
          <w:numId w:val="2"/>
        </w:numPr>
        <w:spacing w:after="60"/>
      </w:pPr>
      <w:r>
        <w:rPr>
          <w:rFonts w:ascii="Arial" w:cs="Arial" w:eastAsia="Arial" w:hAnsi="Arial"/>
          <w:sz w:val="22"/>
          <w:szCs w:val="22"/>
        </w:rPr>
        <w:t xml:space="preserve">Residual equity ≈ 300m.</w:t>
      </w:r>
    </w:p>
    <w:p>
      <w:pPr>
        <w:pStyle w:val="Heading3"/>
        <w:spacing w:after="80" w:before="180"/>
      </w:pPr>
      <w:r>
        <w:rPr>
          <w:rFonts w:ascii="Arial" w:cs="Arial" w:eastAsia="Arial" w:hAnsi="Arial"/>
          <w:b/>
          <w:bCs/>
          <w:color w:val="263849"/>
          <w:sz w:val="26"/>
          <w:szCs w:val="26"/>
        </w:rPr>
        <w:t xml:space="preserve">Test 5: 75% MajHoldCo NAV — 4 assertions (lines 273–302)</w:t>
      </w:r>
    </w:p>
    <w:p>
      <w:pPr>
        <w:pStyle w:val="ListParagraph"/>
        <w:numPr>
          <w:ilvl w:val="0"/>
          <w:numId w:val="2"/>
        </w:numPr>
        <w:spacing w:after="60"/>
      </w:pPr>
      <w:r>
        <w:rPr>
          <w:rFonts w:ascii="Arial" w:cs="Arial" w:eastAsia="Arial" w:hAnsi="Arial"/>
          <w:sz w:val="22"/>
          <w:szCs w:val="22"/>
        </w:rPr>
        <w:t xml:space="preserve">Gross-up factor ≈ 1.333.</w:t>
      </w:r>
    </w:p>
    <w:p>
      <w:pPr>
        <w:pStyle w:val="ListParagraph"/>
        <w:numPr>
          <w:ilvl w:val="0"/>
          <w:numId w:val="2"/>
        </w:numPr>
        <w:spacing w:after="60"/>
      </w:pPr>
      <w:r>
        <w:rPr>
          <w:rFonts w:ascii="Arial" w:cs="Arial" w:eastAsia="Arial" w:hAnsi="Arial"/>
          <w:sz w:val="22"/>
          <w:szCs w:val="22"/>
        </w:rPr>
        <w:t xml:space="preserve">Grossed-up equivalent ≈ 266.67m.</w:t>
      </w:r>
    </w:p>
    <w:p>
      <w:pPr>
        <w:pStyle w:val="ListParagraph"/>
        <w:numPr>
          <w:ilvl w:val="0"/>
          <w:numId w:val="2"/>
        </w:numPr>
        <w:spacing w:after="60"/>
      </w:pPr>
      <w:r>
        <w:rPr>
          <w:rFonts w:ascii="Arial" w:cs="Arial" w:eastAsia="Arial" w:hAnsi="Arial"/>
          <w:sz w:val="22"/>
          <w:szCs w:val="22"/>
        </w:rPr>
        <w:t xml:space="preserve">Consolidated LTV = 50%.</w:t>
      </w:r>
    </w:p>
    <w:p>
      <w:pPr>
        <w:pStyle w:val="ListParagraph"/>
        <w:numPr>
          <w:ilvl w:val="0"/>
          <w:numId w:val="2"/>
        </w:numPr>
        <w:spacing w:after="60"/>
      </w:pPr>
      <w:r>
        <w:rPr>
          <w:rFonts w:ascii="Arial" w:cs="Arial" w:eastAsia="Arial" w:hAnsi="Arial"/>
          <w:sz w:val="22"/>
          <w:szCs w:val="22"/>
        </w:rPr>
        <w:t xml:space="preserve">Grossed-up LTV ≈ 76.7%.</w:t>
      </w:r>
    </w:p>
    <w:p>
      <w:pPr>
        <w:pStyle w:val="Heading3"/>
        <w:spacing w:after="80" w:before="180"/>
      </w:pPr>
      <w:r>
        <w:rPr>
          <w:rFonts w:ascii="Arial" w:cs="Arial" w:eastAsia="Arial" w:hAnsi="Arial"/>
          <w:b/>
          <w:bCs/>
          <w:color w:val="263849"/>
          <w:sz w:val="26"/>
          <w:szCs w:val="26"/>
        </w:rPr>
        <w:t xml:space="preserve">Test 6: Negative — pari-passu group mismatch — 2 assertions (lines 305–323)</w:t>
      </w:r>
    </w:p>
    <w:p>
      <w:pPr>
        <w:pStyle w:val="ListParagraph"/>
        <w:numPr>
          <w:ilvl w:val="0"/>
          <w:numId w:val="2"/>
        </w:numPr>
        <w:spacing w:after="60"/>
      </w:pPr>
      <w:r>
        <w:rPr>
          <w:rFonts w:ascii="Arial" w:cs="Arial" w:eastAsia="Arial" w:hAnsi="Arial"/>
          <w:sz w:val="22"/>
          <w:szCs w:val="22"/>
        </w:rPr>
        <w:t xml:space="preserve">≥ 1 validation error raised.</w:t>
      </w:r>
    </w:p>
    <w:p>
      <w:pPr>
        <w:pStyle w:val="ListParagraph"/>
        <w:numPr>
          <w:ilvl w:val="0"/>
          <w:numId w:val="2"/>
        </w:numPr>
        <w:spacing w:after="60"/>
      </w:pPr>
      <w:r>
        <w:rPr>
          <w:rFonts w:ascii="Arial" w:cs="Arial" w:eastAsia="Arial" w:hAnsi="Arial"/>
          <w:sz w:val="22"/>
          <w:szCs w:val="22"/>
        </w:rPr>
        <w:t xml:space="preserve">Error message mentions pari-passu group 'A'.</w:t>
      </w:r>
    </w:p>
    <w:p>
      <w:pPr>
        <w:pStyle w:val="Heading3"/>
        <w:spacing w:after="80" w:before="180"/>
      </w:pPr>
      <w:r>
        <w:rPr>
          <w:rFonts w:ascii="Arial" w:cs="Arial" w:eastAsia="Arial" w:hAnsi="Arial"/>
          <w:b/>
          <w:bCs/>
          <w:color w:val="263849"/>
          <w:sz w:val="26"/>
          <w:szCs w:val="26"/>
        </w:rPr>
        <w:t xml:space="preserve">Test 7a: Security ranking validation — 4 assertions (lines 326–364)</w:t>
      </w:r>
    </w:p>
    <w:p>
      <w:pPr>
        <w:pStyle w:val="ListParagraph"/>
        <w:numPr>
          <w:ilvl w:val="0"/>
          <w:numId w:val="2"/>
        </w:numPr>
        <w:spacing w:after="60"/>
      </w:pPr>
      <w:r>
        <w:rPr>
          <w:rFonts w:ascii="Arial" w:cs="Arial" w:eastAsia="Arial" w:hAnsi="Arial"/>
          <w:sz w:val="22"/>
          <w:szCs w:val="22"/>
        </w:rPr>
        <w:t xml:space="preserve">Blank security_ranking → warning.</w:t>
      </w:r>
    </w:p>
    <w:p>
      <w:pPr>
        <w:pStyle w:val="ListParagraph"/>
        <w:numPr>
          <w:ilvl w:val="0"/>
          <w:numId w:val="2"/>
        </w:numPr>
        <w:spacing w:after="60"/>
      </w:pPr>
      <w:r>
        <w:rPr>
          <w:rFonts w:ascii="Arial" w:cs="Arial" w:eastAsia="Arial" w:hAnsi="Arial"/>
          <w:sz w:val="22"/>
          <w:szCs w:val="22"/>
        </w:rPr>
        <w:t xml:space="preserve">Non-standard value ("2nd ranking bond") → warning.</w:t>
      </w:r>
    </w:p>
    <w:p>
      <w:pPr>
        <w:pStyle w:val="ListParagraph"/>
        <w:numPr>
          <w:ilvl w:val="0"/>
          <w:numId w:val="2"/>
        </w:numPr>
        <w:spacing w:after="60"/>
      </w:pPr>
      <w:r>
        <w:rPr>
          <w:rFonts w:ascii="Arial" w:cs="Arial" w:eastAsia="Arial" w:hAnsi="Arial"/>
          <w:sz w:val="22"/>
          <w:szCs w:val="22"/>
        </w:rPr>
        <w:t xml:space="preserve">Valid standard ("Senior Secured") → no warning.</w:t>
      </w:r>
    </w:p>
    <w:p>
      <w:pPr>
        <w:pStyle w:val="ListParagraph"/>
        <w:numPr>
          <w:ilvl w:val="0"/>
          <w:numId w:val="2"/>
        </w:numPr>
        <w:spacing w:after="60"/>
      </w:pPr>
      <w:r>
        <w:rPr>
          <w:rFonts w:ascii="Arial" w:cs="Arial" w:eastAsia="Arial" w:hAnsi="Arial"/>
          <w:sz w:val="22"/>
          <w:szCs w:val="22"/>
        </w:rPr>
        <w:t xml:space="preserve">Case-insensitive match ("SENIOR UNSECURED") → no warning.</w:t>
      </w:r>
    </w:p>
    <w:p>
      <w:pPr>
        <w:pStyle w:val="Heading3"/>
        <w:spacing w:after="80" w:before="180"/>
      </w:pPr>
      <w:r>
        <w:rPr>
          <w:rFonts w:ascii="Arial" w:cs="Arial" w:eastAsia="Arial" w:hAnsi="Arial"/>
          <w:b/>
          <w:bCs/>
          <w:color w:val="263849"/>
          <w:sz w:val="26"/>
          <w:szCs w:val="26"/>
        </w:rPr>
        <w:t xml:space="preserve">Test 7: Missing enterprise value — 1 assertion (lines 367–377)</w:t>
      </w:r>
    </w:p>
    <w:p>
      <w:pPr>
        <w:pStyle w:val="ListParagraph"/>
        <w:numPr>
          <w:ilvl w:val="0"/>
          <w:numId w:val="2"/>
        </w:numPr>
        <w:spacing w:after="60"/>
      </w:pPr>
      <w:r>
        <w:rPr>
          <w:rFonts w:ascii="Arial" w:cs="Arial" w:eastAsia="Arial" w:hAnsi="Arial"/>
          <w:sz w:val="22"/>
          <w:szCs w:val="22"/>
        </w:rPr>
        <w:t xml:space="preserve">Missing EV triggers validation warning.</w:t>
      </w:r>
    </w:p>
    <w:p>
      <w:pPr>
        <w:pStyle w:val="Heading2"/>
        <w:spacing w:after="120" w:before="240"/>
      </w:pPr>
      <w:r>
        <w:rPr>
          <w:rFonts w:ascii="Arial" w:cs="Arial" w:eastAsia="Arial" w:hAnsi="Arial"/>
          <w:b/>
          <w:bCs/>
          <w:color w:val="263849"/>
          <w:sz w:val="30"/>
          <w:szCs w:val="30"/>
        </w:rPr>
        <w:t xml:space="preserve">8.2 tests/test_instrument_economics.py — 12 assertions across 7 tests</w:t>
      </w:r>
    </w:p>
    <w:p>
      <w:pPr>
        <w:pStyle w:val="Heading3"/>
        <w:spacing w:after="80" w:before="180"/>
      </w:pPr>
      <w:r>
        <w:rPr>
          <w:rFonts w:ascii="Arial" w:cs="Arial" w:eastAsia="Arial" w:hAnsi="Arial"/>
          <w:b/>
          <w:bCs/>
          <w:color w:val="263849"/>
          <w:sz w:val="26"/>
          <w:szCs w:val="26"/>
        </w:rPr>
        <w:t xml:space="preserve">Gatwick SLB economics — 5 assertions</w:t>
      </w:r>
    </w:p>
    <w:p>
      <w:pPr>
        <w:pStyle w:val="ListParagraph"/>
        <w:numPr>
          <w:ilvl w:val="0"/>
          <w:numId w:val="2"/>
        </w:numPr>
        <w:spacing w:after="60"/>
      </w:pPr>
      <w:r>
        <w:rPr>
          <w:rFonts w:ascii="Arial" w:cs="Arial" w:eastAsia="Arial" w:hAnsi="Arial"/>
          <w:sz w:val="22"/>
          <w:szCs w:val="22"/>
        </w:rPr>
        <w:t xml:space="preserve">Gatwick topsheet endpoint reachable.</w:t>
      </w:r>
    </w:p>
    <w:p>
      <w:pPr>
        <w:pStyle w:val="ListParagraph"/>
        <w:numPr>
          <w:ilvl w:val="0"/>
          <w:numId w:val="2"/>
        </w:numPr>
        <w:spacing w:after="60"/>
      </w:pPr>
      <w:r>
        <w:rPr>
          <w:rFonts w:ascii="Arial" w:cs="Arial" w:eastAsia="Arial" w:hAnsi="Arial"/>
          <w:sz w:val="22"/>
          <w:szCs w:val="22"/>
        </w:rPr>
        <w:t xml:space="preserve">SLB bond present in capital structure.</w:t>
      </w:r>
    </w:p>
    <w:p>
      <w:pPr>
        <w:pStyle w:val="ListParagraph"/>
        <w:numPr>
          <w:ilvl w:val="0"/>
          <w:numId w:val="2"/>
        </w:numPr>
        <w:spacing w:after="60"/>
      </w:pPr>
      <w:r>
        <w:rPr>
          <w:rFonts w:ascii="Arial" w:cs="Arial" w:eastAsia="Arial" w:hAnsi="Arial"/>
          <w:sz w:val="22"/>
          <w:szCs w:val="22"/>
        </w:rPr>
        <w:t xml:space="preserve">SLB coupon_bps = 362.</w:t>
      </w:r>
    </w:p>
    <w:p>
      <w:pPr>
        <w:pStyle w:val="ListParagraph"/>
        <w:numPr>
          <w:ilvl w:val="0"/>
          <w:numId w:val="2"/>
        </w:numPr>
        <w:spacing w:after="60"/>
      </w:pPr>
      <w:r>
        <w:rPr>
          <w:rFonts w:ascii="Arial" w:cs="Arial" w:eastAsia="Arial" w:hAnsi="Arial"/>
          <w:sz w:val="22"/>
          <w:szCs w:val="22"/>
        </w:rPr>
        <w:t xml:space="preserve">SLB base_rate_at_issuance_bps = 225.</w:t>
      </w:r>
    </w:p>
    <w:p>
      <w:pPr>
        <w:pStyle w:val="ListParagraph"/>
        <w:numPr>
          <w:ilvl w:val="0"/>
          <w:numId w:val="2"/>
        </w:numPr>
        <w:spacing w:after="60"/>
      </w:pPr>
      <w:r>
        <w:rPr>
          <w:rFonts w:ascii="Arial" w:cs="Arial" w:eastAsia="Arial" w:hAnsi="Arial"/>
          <w:sz w:val="22"/>
          <w:szCs w:val="22"/>
        </w:rPr>
        <w:t xml:space="preserve">SLB spread_bps = 137 (coupon − base); private_debt_premium_bps = −13 (spread − benchmark).</w:t>
      </w:r>
    </w:p>
    <w:p>
      <w:pPr>
        <w:pStyle w:val="Heading3"/>
        <w:spacing w:after="80" w:before="180"/>
      </w:pPr>
      <w:r>
        <w:rPr>
          <w:rFonts w:ascii="Arial" w:cs="Arial" w:eastAsia="Arial" w:hAnsi="Arial"/>
          <w:b/>
          <w:bCs/>
          <w:color w:val="263849"/>
          <w:sz w:val="26"/>
          <w:szCs w:val="26"/>
        </w:rPr>
        <w:t xml:space="preserve">Other — 7 assertions</w:t>
      </w:r>
    </w:p>
    <w:p>
      <w:pPr>
        <w:pStyle w:val="ListParagraph"/>
        <w:numPr>
          <w:ilvl w:val="0"/>
          <w:numId w:val="2"/>
        </w:numPr>
        <w:spacing w:after="60"/>
      </w:pPr>
      <w:r>
        <w:rPr>
          <w:rFonts w:ascii="Arial" w:cs="Arial" w:eastAsia="Arial" w:hAnsi="Arial"/>
          <w:sz w:val="22"/>
          <w:szCs w:val="22"/>
        </w:rPr>
        <w:t xml:space="preserve">All 12 portfolio deals report a non-null WA spread_bps.</w:t>
      </w:r>
    </w:p>
    <w:p>
      <w:pPr>
        <w:pStyle w:val="ListParagraph"/>
        <w:numPr>
          <w:ilvl w:val="0"/>
          <w:numId w:val="2"/>
        </w:numPr>
        <w:spacing w:after="60"/>
      </w:pPr>
      <w:r>
        <w:rPr>
          <w:rFonts w:ascii="Arial" w:cs="Arial" w:eastAsia="Arial" w:hAnsi="Arial"/>
          <w:sz w:val="22"/>
          <w:szCs w:val="22"/>
        </w:rPr>
        <w:t xml:space="preserve">Gatwick WA spread ≤ 200bp (credit-spread range, down from 426bp coupon-based).</w:t>
      </w:r>
    </w:p>
    <w:p>
      <w:pPr>
        <w:pStyle w:val="ListParagraph"/>
        <w:numPr>
          <w:ilvl w:val="0"/>
          <w:numId w:val="2"/>
        </w:numPr>
        <w:spacing w:after="60"/>
      </w:pPr>
      <w:r>
        <w:rPr>
          <w:rFonts w:ascii="Arial" w:cs="Arial" w:eastAsia="Arial" w:hAnsi="Arial"/>
          <w:sz w:val="22"/>
          <w:szCs w:val="22"/>
        </w:rPr>
        <w:t xml:space="preserve">/api/deals/gatwick-airport/capital-stack returns layers.</w:t>
      </w:r>
    </w:p>
    <w:p>
      <w:pPr>
        <w:pStyle w:val="ListParagraph"/>
        <w:numPr>
          <w:ilvl w:val="0"/>
          <w:numId w:val="2"/>
        </w:numPr>
        <w:spacing w:after="60"/>
      </w:pPr>
      <w:r>
        <w:rPr>
          <w:rFonts w:ascii="Arial" w:cs="Arial" w:eastAsia="Arial" w:hAnsi="Arial"/>
          <w:sz w:val="22"/>
          <w:szCs w:val="22"/>
        </w:rPr>
        <w:t xml:space="preserve">SLB base_rate_at_issuance_bps = 225 (gilt estimate).</w:t>
      </w:r>
    </w:p>
    <w:p>
      <w:pPr>
        <w:pStyle w:val="ListParagraph"/>
        <w:numPr>
          <w:ilvl w:val="0"/>
          <w:numId w:val="2"/>
        </w:numPr>
        <w:spacing w:after="60"/>
      </w:pPr>
      <w:r>
        <w:rPr>
          <w:rFonts w:ascii="Arial" w:cs="Arial" w:eastAsia="Arial" w:hAnsi="Arial"/>
          <w:sz w:val="22"/>
          <w:szCs w:val="22"/>
        </w:rPr>
        <w:t xml:space="preserve">GENERATED COLUMN: private_debt_premium_bps = spread_bps − benchmark_spread_bps on every instrument.</w:t>
      </w:r>
    </w:p>
    <w:p>
      <w:pPr>
        <w:pStyle w:val="ListParagraph"/>
        <w:numPr>
          <w:ilvl w:val="0"/>
          <w:numId w:val="2"/>
        </w:numPr>
        <w:spacing w:after="60"/>
      </w:pPr>
      <w:r>
        <w:rPr>
          <w:rFonts w:ascii="Arial" w:cs="Arial" w:eastAsia="Arial" w:hAnsi="Arial"/>
          <w:sz w:val="22"/>
          <w:szCs w:val="22"/>
        </w:rPr>
        <w:t xml:space="preserve">M6 Toll has 2 parent-loan instruments.</w:t>
      </w:r>
    </w:p>
    <w:p>
      <w:pPr>
        <w:pStyle w:val="ListParagraph"/>
        <w:numPr>
          <w:ilvl w:val="0"/>
          <w:numId w:val="2"/>
        </w:numPr>
        <w:spacing w:after="60"/>
      </w:pPr>
      <w:r>
        <w:rPr>
          <w:rFonts w:ascii="Arial" w:cs="Arial" w:eastAsia="Arial" w:hAnsi="Arial"/>
          <w:sz w:val="22"/>
          <w:szCs w:val="22"/>
        </w:rPr>
        <w:t xml:space="preserve">M6 parent loans each have premium = 330bp (780bp spread − 450bp benchmark).</w:t>
      </w:r>
    </w:p>
    <w:p>
      <w:pPr>
        <w:pStyle w:val="Heading2"/>
        <w:spacing w:after="120" w:before="240"/>
      </w:pPr>
      <w:r>
        <w:rPr>
          <w:rFonts w:ascii="Arial" w:cs="Arial" w:eastAsia="Arial" w:hAnsi="Arial"/>
          <w:b/>
          <w:bCs/>
          <w:color w:val="263849"/>
          <w:sz w:val="30"/>
          <w:szCs w:val="30"/>
        </w:rPr>
        <w:t xml:space="preserve">8.3 tests/test_kpi_scenarios.py — 14 assertions across 4 tests</w:t>
      </w:r>
    </w:p>
    <w:p>
      <w:pPr>
        <w:pStyle w:val="Heading3"/>
        <w:spacing w:after="80" w:before="180"/>
      </w:pPr>
      <w:r>
        <w:rPr>
          <w:rFonts w:ascii="Arial" w:cs="Arial" w:eastAsia="Arial" w:hAnsi="Arial"/>
          <w:b/>
          <w:bCs/>
          <w:color w:val="263849"/>
          <w:sz w:val="26"/>
          <w:szCs w:val="26"/>
        </w:rPr>
        <w:t xml:space="preserve">Parser basic — 5 assertions</w:t>
      </w:r>
    </w:p>
    <w:p>
      <w:pPr>
        <w:pStyle w:val="ListParagraph"/>
        <w:numPr>
          <w:ilvl w:val="0"/>
          <w:numId w:val="2"/>
        </w:numPr>
        <w:spacing w:after="60"/>
      </w:pPr>
      <w:r>
        <w:rPr>
          <w:rFonts w:ascii="Arial" w:cs="Arial" w:eastAsia="Arial" w:hAnsi="Arial"/>
          <w:sz w:val="22"/>
          <w:szCs w:val="22"/>
        </w:rPr>
        <w:t xml:space="preserve">Parser drops blanks + missing-value rows → 3 parsed rows.</w:t>
      </w:r>
    </w:p>
    <w:p>
      <w:pPr>
        <w:pStyle w:val="ListParagraph"/>
        <w:numPr>
          <w:ilvl w:val="0"/>
          <w:numId w:val="2"/>
        </w:numPr>
        <w:spacing w:after="60"/>
      </w:pPr>
      <w:r>
        <w:rPr>
          <w:rFonts w:ascii="Arial" w:cs="Arial" w:eastAsia="Arial" w:hAnsi="Arial"/>
          <w:sz w:val="22"/>
          <w:szCs w:val="22"/>
        </w:rPr>
        <w:t xml:space="preserve">management_case row has correct kpi_key.</w:t>
      </w:r>
    </w:p>
    <w:p>
      <w:pPr>
        <w:pStyle w:val="ListParagraph"/>
        <w:numPr>
          <w:ilvl w:val="0"/>
          <w:numId w:val="2"/>
        </w:numPr>
        <w:spacing w:after="60"/>
      </w:pPr>
      <w:r>
        <w:rPr>
          <w:rFonts w:ascii="Arial" w:cs="Arial" w:eastAsia="Arial" w:hAnsi="Arial"/>
          <w:sz w:val="22"/>
          <w:szCs w:val="22"/>
        </w:rPr>
        <w:t xml:space="preserve">scenario_kind is lowercased by parser.</w:t>
      </w:r>
    </w:p>
    <w:p>
      <w:pPr>
        <w:pStyle w:val="ListParagraph"/>
        <w:numPr>
          <w:ilvl w:val="0"/>
          <w:numId w:val="2"/>
        </w:numPr>
        <w:spacing w:after="60"/>
      </w:pPr>
      <w:r>
        <w:rPr>
          <w:rFonts w:ascii="Arial" w:cs="Arial" w:eastAsia="Arial" w:hAnsi="Arial"/>
          <w:sz w:val="22"/>
          <w:szCs w:val="22"/>
        </w:rPr>
        <w:t xml:space="preserve">stress_label retained for single_variant rows.</w:t>
      </w:r>
    </w:p>
    <w:p>
      <w:pPr>
        <w:pStyle w:val="ListParagraph"/>
        <w:numPr>
          <w:ilvl w:val="0"/>
          <w:numId w:val="2"/>
        </w:numPr>
        <w:spacing w:after="60"/>
      </w:pPr>
      <w:r>
        <w:rPr>
          <w:rFonts w:ascii="Arial" w:cs="Arial" w:eastAsia="Arial" w:hAnsi="Arial"/>
          <w:sz w:val="22"/>
          <w:szCs w:val="22"/>
        </w:rPr>
        <w:t xml:space="preserve">driving_risk_ref retained; value coerced to float.</w:t>
      </w:r>
    </w:p>
    <w:p>
      <w:pPr>
        <w:pStyle w:val="Heading3"/>
        <w:spacing w:after="80" w:before="180"/>
      </w:pPr>
      <w:r>
        <w:rPr>
          <w:rFonts w:ascii="Arial" w:cs="Arial" w:eastAsia="Arial" w:hAnsi="Arial"/>
          <w:b/>
          <w:bCs/>
          <w:color w:val="263849"/>
          <w:sz w:val="26"/>
          <w:szCs w:val="26"/>
        </w:rPr>
        <w:t xml:space="preserve">Parser empty kpi_key — 1 assertion</w:t>
      </w:r>
    </w:p>
    <w:p>
      <w:pPr>
        <w:pStyle w:val="ListParagraph"/>
        <w:numPr>
          <w:ilvl w:val="0"/>
          <w:numId w:val="2"/>
        </w:numPr>
        <w:spacing w:after="60"/>
      </w:pPr>
      <w:r>
        <w:rPr>
          <w:rFonts w:ascii="Arial" w:cs="Arial" w:eastAsia="Arial" w:hAnsi="Arial"/>
          <w:sz w:val="22"/>
          <w:szCs w:val="22"/>
        </w:rPr>
        <w:t xml:space="preserve">Row with empty kpi_key skipped.</w:t>
      </w:r>
    </w:p>
    <w:p>
      <w:pPr>
        <w:pStyle w:val="Heading3"/>
        <w:spacing w:after="80" w:before="180"/>
      </w:pPr>
      <w:r>
        <w:rPr>
          <w:rFonts w:ascii="Arial" w:cs="Arial" w:eastAsia="Arial" w:hAnsi="Arial"/>
          <w:b/>
          <w:bCs/>
          <w:color w:val="263849"/>
          <w:sz w:val="26"/>
          <w:szCs w:val="26"/>
        </w:rPr>
        <w:t xml:space="preserve">API Gatwick KPI scenarios — 7 assertions</w:t>
      </w:r>
    </w:p>
    <w:p>
      <w:pPr>
        <w:pStyle w:val="ListParagraph"/>
        <w:numPr>
          <w:ilvl w:val="0"/>
          <w:numId w:val="2"/>
        </w:numPr>
        <w:spacing w:after="60"/>
      </w:pPr>
      <w:r>
        <w:rPr>
          <w:rFonts w:ascii="Arial" w:cs="Arial" w:eastAsia="Arial" w:hAnsi="Arial"/>
          <w:sz w:val="22"/>
          <w:szCs w:val="22"/>
        </w:rPr>
        <w:t xml:space="preserve">Gatwick topsheet reachable.</w:t>
      </w:r>
    </w:p>
    <w:p>
      <w:pPr>
        <w:pStyle w:val="ListParagraph"/>
        <w:numPr>
          <w:ilvl w:val="0"/>
          <w:numId w:val="2"/>
        </w:numPr>
        <w:spacing w:after="60"/>
      </w:pPr>
      <w:r>
        <w:rPr>
          <w:rFonts w:ascii="Arial" w:cs="Arial" w:eastAsia="Arial" w:hAnsi="Arial"/>
          <w:sz w:val="22"/>
          <w:szCs w:val="22"/>
        </w:rPr>
        <w:t xml:space="preserve">kpiScenarios field present.</w:t>
      </w:r>
    </w:p>
    <w:p>
      <w:pPr>
        <w:pStyle w:val="ListParagraph"/>
        <w:numPr>
          <w:ilvl w:val="0"/>
          <w:numId w:val="2"/>
        </w:numPr>
        <w:spacing w:after="60"/>
      </w:pPr>
      <w:r>
        <w:rPr>
          <w:rFonts w:ascii="Arial" w:cs="Arial" w:eastAsia="Arial" w:hAnsi="Arial"/>
          <w:sz w:val="22"/>
          <w:szCs w:val="22"/>
        </w:rPr>
        <w:t xml:space="preserve">Gatwick has 5 KPIs with scenarios.</w:t>
      </w:r>
    </w:p>
    <w:p>
      <w:pPr>
        <w:pStyle w:val="ListParagraph"/>
        <w:numPr>
          <w:ilvl w:val="0"/>
          <w:numId w:val="2"/>
        </w:numPr>
        <w:spacing w:after="60"/>
      </w:pPr>
      <w:r>
        <w:rPr>
          <w:rFonts w:ascii="Arial" w:cs="Arial" w:eastAsia="Arial" w:hAnsi="Arial"/>
          <w:sz w:val="22"/>
          <w:szCs w:val="22"/>
        </w:rPr>
        <w:t xml:space="preserve">sector_kpi_1 (Passengers) has management_case.</w:t>
      </w:r>
    </w:p>
    <w:p>
      <w:pPr>
        <w:pStyle w:val="ListParagraph"/>
        <w:numPr>
          <w:ilvl w:val="0"/>
          <w:numId w:val="2"/>
        </w:numPr>
        <w:spacing w:after="60"/>
      </w:pPr>
      <w:r>
        <w:rPr>
          <w:rFonts w:ascii="Arial" w:cs="Arial" w:eastAsia="Arial" w:hAnsi="Arial"/>
          <w:sz w:val="22"/>
          <w:szCs w:val="22"/>
        </w:rPr>
        <w:t xml:space="preserve">management_case has 9 periods.</w:t>
      </w:r>
    </w:p>
    <w:p>
      <w:pPr>
        <w:pStyle w:val="ListParagraph"/>
        <w:numPr>
          <w:ilvl w:val="0"/>
          <w:numId w:val="2"/>
        </w:numPr>
        <w:spacing w:after="60"/>
      </w:pPr>
      <w:r>
        <w:rPr>
          <w:rFonts w:ascii="Arial" w:cs="Arial" w:eastAsia="Arial" w:hAnsi="Arial"/>
          <w:sz w:val="22"/>
          <w:szCs w:val="22"/>
        </w:rPr>
        <w:t xml:space="preserve">combined_downside stress_case present with 9 periods.</w:t>
      </w:r>
    </w:p>
    <w:p>
      <w:pPr>
        <w:pStyle w:val="ListParagraph"/>
        <w:numPr>
          <w:ilvl w:val="0"/>
          <w:numId w:val="2"/>
        </w:numPr>
        <w:spacing w:after="60"/>
      </w:pPr>
      <w:r>
        <w:rPr>
          <w:rFonts w:ascii="Arial" w:cs="Arial" w:eastAsia="Arial" w:hAnsi="Arial"/>
          <w:sz w:val="22"/>
          <w:szCs w:val="22"/>
        </w:rPr>
        <w:t xml:space="preserve">single_variant_stress for pandemic (RISK-AP-001) present with stress_label 'Pandemic passenger shock'; FY2025 value = 15.0.</w:t>
      </w:r>
    </w:p>
    <w:p>
      <w:pPr>
        <w:pStyle w:val="ListParagraph"/>
        <w:numPr>
          <w:ilvl w:val="0"/>
          <w:numId w:val="2"/>
        </w:numPr>
        <w:spacing w:after="60"/>
      </w:pPr>
      <w:r>
        <w:rPr>
          <w:rFonts w:ascii="Arial" w:cs="Arial" w:eastAsia="Arial" w:hAnsi="Arial"/>
          <w:sz w:val="22"/>
          <w:szCs w:val="22"/>
        </w:rPr>
        <w:t xml:space="preserve">Pandemic stress does NOT appear on sector_kpi_2 (single-variant applies to one KPI only).</w:t>
      </w:r>
    </w:p>
    <w:p>
      <w:pPr>
        <w:pStyle w:val="Heading3"/>
        <w:spacing w:after="80" w:before="180"/>
      </w:pPr>
      <w:r>
        <w:rPr>
          <w:rFonts w:ascii="Arial" w:cs="Arial" w:eastAsia="Arial" w:hAnsi="Arial"/>
          <w:b/>
          <w:bCs/>
          <w:color w:val="263849"/>
          <w:sz w:val="26"/>
          <w:szCs w:val="26"/>
        </w:rPr>
        <w:t xml:space="preserve">Old table dropped — 1 assertion</w:t>
      </w:r>
    </w:p>
    <w:p>
      <w:pPr>
        <w:pStyle w:val="ListParagraph"/>
        <w:numPr>
          <w:ilvl w:val="0"/>
          <w:numId w:val="2"/>
        </w:numPr>
        <w:spacing w:after="60"/>
      </w:pPr>
      <w:r>
        <w:rPr>
          <w:rFonts w:ascii="Arial" w:cs="Arial" w:eastAsia="Arial" w:hAnsi="Arial"/>
          <w:sz w:val="22"/>
          <w:szCs w:val="22"/>
        </w:rPr>
        <w:t xml:space="preserve">/api/portfolio returns 200 after deal_kpi_targets table drop (migration completed cleanly).</w:t>
      </w:r>
    </w:p>
    <w:p>
      <w:pPr>
        <w:pStyle w:val="Heading1"/>
        <w:pageBreakBefore/>
        <w:spacing w:after="180" w:before="240"/>
      </w:pPr>
      <w:r>
        <w:rPr>
          <w:rFonts w:ascii="Arial" w:cs="Arial" w:eastAsia="Arial" w:hAnsi="Arial"/>
          <w:b/>
          <w:bCs/>
          <w:color w:val="1F6FA5"/>
          <w:sz w:val="40"/>
          <w:szCs w:val="40"/>
        </w:rPr>
        <w:t xml:space="preserve">9. UI copy and error strings</w:t>
      </w:r>
    </w:p>
    <w:p>
      <w:pPr>
        <w:spacing w:after="140" w:line="280"/>
        <w:jc w:val="both"/>
      </w:pPr>
      <w:r>
        <w:rPr>
          <w:rFonts w:ascii="Arial" w:cs="Arial" w:eastAsia="Arial" w:hAnsi="Arial"/>
          <w:sz w:val="22"/>
          <w:szCs w:val="22"/>
        </w:rPr>
        <w:t xml:space="preserve">No centralised string catalog — copy is inline. Extracted from the five critical component files.</w:t>
      </w:r>
    </w:p>
    <w:p>
      <w:pPr>
        <w:pStyle w:val="Heading2"/>
        <w:spacing w:after="120" w:before="240"/>
      </w:pPr>
      <w:r>
        <w:rPr>
          <w:rFonts w:ascii="Arial" w:cs="Arial" w:eastAsia="Arial" w:hAnsi="Arial"/>
          <w:b/>
          <w:bCs/>
          <w:color w:val="263849"/>
          <w:sz w:val="30"/>
          <w:szCs w:val="30"/>
        </w:rPr>
        <w:t xml:space="preserve">9.1 Capital stack component (capital-stack.tsx)</w:t>
      </w:r>
    </w:p>
    <w:p>
      <w:pPr>
        <w:pStyle w:val="ListParagraph"/>
        <w:numPr>
          <w:ilvl w:val="0"/>
          <w:numId w:val="2"/>
        </w:numPr>
        <w:spacing w:after="60"/>
      </w:pPr>
      <w:r>
        <w:rPr>
          <w:rFonts w:ascii="Arial" w:cs="Arial" w:eastAsia="Arial" w:hAnsi="Arial"/>
          <w:sz w:val="22"/>
          <w:szCs w:val="22"/>
        </w:rPr>
        <w:t xml:space="preserve">Line 62–67 empty state: "Capital Stack not available" + explanation about missing Enterprise Value or capital structure.</w:t>
      </w:r>
    </w:p>
    <w:p>
      <w:pPr>
        <w:pStyle w:val="ListParagraph"/>
        <w:numPr>
          <w:ilvl w:val="0"/>
          <w:numId w:val="2"/>
        </w:numPr>
        <w:spacing w:after="60"/>
      </w:pPr>
      <w:r>
        <w:rPr>
          <w:rFonts w:ascii="Arial" w:cs="Arial" w:eastAsia="Arial" w:hAnsi="Arial"/>
          <w:sz w:val="22"/>
          <w:szCs w:val="22"/>
        </w:rPr>
        <w:t xml:space="preserve">Line 148 warning: "Enterprise Value missing — populate Tab 1".</w:t>
      </w:r>
    </w:p>
    <w:p>
      <w:pPr>
        <w:pStyle w:val="ListParagraph"/>
        <w:numPr>
          <w:ilvl w:val="0"/>
          <w:numId w:val="2"/>
        </w:numPr>
        <w:spacing w:after="60"/>
      </w:pPr>
      <w:r>
        <w:rPr>
          <w:rFonts w:ascii="Arial" w:cs="Arial" w:eastAsia="Arial" w:hAnsi="Arial"/>
          <w:sz w:val="22"/>
          <w:szCs w:val="22"/>
        </w:rPr>
        <w:t xml:space="preserve">Line 153 descriptor: "Anchored at {entity}. Rows ordered senior-first (rank 1 at the top, residual equity at the bottom)…"</w:t>
      </w:r>
    </w:p>
    <w:p>
      <w:pPr>
        <w:pStyle w:val="ListParagraph"/>
        <w:numPr>
          <w:ilvl w:val="0"/>
          <w:numId w:val="2"/>
        </w:numPr>
        <w:spacing w:after="60"/>
      </w:pPr>
      <w:r>
        <w:rPr>
          <w:rFonts w:ascii="Arial" w:cs="Arial" w:eastAsia="Arial" w:hAnsi="Arial"/>
          <w:sz w:val="22"/>
          <w:szCs w:val="22"/>
        </w:rPr>
        <w:t xml:space="preserve">Table headers: Layer | Entity | Total | ND:EBITDA | Our holding | % of EV | Priority.</w:t>
      </w:r>
    </w:p>
    <w:p>
      <w:pPr>
        <w:pStyle w:val="ListParagraph"/>
        <w:numPr>
          <w:ilvl w:val="0"/>
          <w:numId w:val="2"/>
        </w:numPr>
        <w:spacing w:after="60"/>
      </w:pPr>
      <w:r>
        <w:rPr>
          <w:rFonts w:ascii="Arial" w:cs="Arial" w:eastAsia="Arial" w:hAnsi="Arial"/>
          <w:sz w:val="22"/>
          <w:szCs w:val="22"/>
        </w:rPr>
        <w:t xml:space="preserve">Priority labels: "Rank {rank}", "Rank {rank} (our position)", "Rank ∞" (equity).</w:t>
      </w:r>
    </w:p>
    <w:p>
      <w:pPr>
        <w:pStyle w:val="Heading2"/>
        <w:spacing w:after="120" w:before="240"/>
      </w:pPr>
      <w:r>
        <w:rPr>
          <w:rFonts w:ascii="Arial" w:cs="Arial" w:eastAsia="Arial" w:hAnsi="Arial"/>
          <w:b/>
          <w:bCs/>
          <w:color w:val="263849"/>
          <w:sz w:val="30"/>
          <w:szCs w:val="30"/>
        </w:rPr>
        <w:t xml:space="preserve">9.2 KPI chart (kpi-chart.tsx)</w:t>
      </w:r>
    </w:p>
    <w:p>
      <w:pPr>
        <w:pStyle w:val="ListParagraph"/>
        <w:numPr>
          <w:ilvl w:val="0"/>
          <w:numId w:val="2"/>
        </w:numPr>
        <w:spacing w:after="60"/>
      </w:pPr>
      <w:r>
        <w:rPr>
          <w:rFonts w:ascii="Arial" w:cs="Arial" w:eastAsia="Arial" w:hAnsi="Arial"/>
          <w:sz w:val="22"/>
          <w:szCs w:val="22"/>
        </w:rPr>
        <w:t xml:space="preserve">Loading: "Loading KPIs…" (line 318).</w:t>
      </w:r>
    </w:p>
    <w:p>
      <w:pPr>
        <w:pStyle w:val="ListParagraph"/>
        <w:numPr>
          <w:ilvl w:val="0"/>
          <w:numId w:val="2"/>
        </w:numPr>
        <w:spacing w:after="60"/>
      </w:pPr>
      <w:r>
        <w:rPr>
          <w:rFonts w:ascii="Arial" w:cs="Arial" w:eastAsia="Arial" w:hAnsi="Arial"/>
          <w:sz w:val="22"/>
          <w:szCs w:val="22"/>
        </w:rPr>
        <w:t xml:space="preserve">Empty: "No sector KPI observations or scenarios recorded for this deal yet." (line 325).</w:t>
      </w:r>
    </w:p>
    <w:p>
      <w:pPr>
        <w:pStyle w:val="ListParagraph"/>
        <w:numPr>
          <w:ilvl w:val="0"/>
          <w:numId w:val="2"/>
        </w:numPr>
        <w:spacing w:after="60"/>
      </w:pPr>
      <w:r>
        <w:rPr>
          <w:rFonts w:ascii="Arial" w:cs="Arial" w:eastAsia="Arial" w:hAnsi="Arial"/>
          <w:sz w:val="22"/>
          <w:szCs w:val="22"/>
        </w:rPr>
        <w:t xml:space="preserve">Header: "Sector KPIs" (line 347).</w:t>
      </w:r>
    </w:p>
    <w:p>
      <w:pPr>
        <w:pStyle w:val="ListParagraph"/>
        <w:numPr>
          <w:ilvl w:val="0"/>
          <w:numId w:val="2"/>
        </w:numPr>
        <w:spacing w:after="60"/>
      </w:pPr>
      <w:r>
        <w:rPr>
          <w:rFonts w:ascii="Arial" w:cs="Arial" w:eastAsia="Arial" w:hAnsi="Arial"/>
          <w:sz w:val="22"/>
          <w:szCs w:val="22"/>
        </w:rPr>
        <w:t xml:space="preserve">Subhead: "Actuals reported annually, overlaid with IC-memo management case (dashed) and combined-downside stress band." (line 350).</w:t>
      </w:r>
    </w:p>
    <w:p>
      <w:pPr>
        <w:pStyle w:val="ListParagraph"/>
        <w:numPr>
          <w:ilvl w:val="0"/>
          <w:numId w:val="2"/>
        </w:numPr>
        <w:spacing w:after="60"/>
      </w:pPr>
      <w:r>
        <w:rPr>
          <w:rFonts w:ascii="Arial" w:cs="Arial" w:eastAsia="Arial" w:hAnsi="Arial"/>
          <w:sz w:val="22"/>
          <w:szCs w:val="22"/>
        </w:rPr>
        <w:t xml:space="preserve">Legend (lines 365–371): Actual / Management case (IC baseline) / Combined downside / Stress band / Single-variant stress (risk-linked).</w:t>
      </w:r>
    </w:p>
    <w:p>
      <w:pPr>
        <w:pStyle w:val="Heading2"/>
        <w:spacing w:after="120" w:before="240"/>
      </w:pPr>
      <w:r>
        <w:rPr>
          <w:rFonts w:ascii="Arial" w:cs="Arial" w:eastAsia="Arial" w:hAnsi="Arial"/>
          <w:b/>
          <w:bCs/>
          <w:color w:val="263849"/>
          <w:sz w:val="30"/>
          <w:szCs w:val="30"/>
        </w:rPr>
        <w:t xml:space="preserve">9.3 Deal charts (deal-charts.tsx)</w:t>
      </w:r>
    </w:p>
    <w:p>
      <w:pPr>
        <w:pStyle w:val="ListParagraph"/>
        <w:numPr>
          <w:ilvl w:val="0"/>
          <w:numId w:val="2"/>
        </w:numPr>
        <w:spacing w:after="60"/>
      </w:pPr>
      <w:r>
        <w:rPr>
          <w:rFonts w:ascii="Arial" w:cs="Arial" w:eastAsia="Arial" w:hAnsi="Arial"/>
          <w:sz w:val="22"/>
          <w:szCs w:val="22"/>
        </w:rPr>
        <w:t xml:space="preserve">Loading: "Loading charts..." (line 185).</w:t>
      </w:r>
    </w:p>
    <w:p>
      <w:pPr>
        <w:pStyle w:val="ListParagraph"/>
        <w:numPr>
          <w:ilvl w:val="0"/>
          <w:numId w:val="2"/>
        </w:numPr>
        <w:spacing w:after="60"/>
      </w:pPr>
      <w:r>
        <w:rPr>
          <w:rFonts w:ascii="Arial" w:cs="Arial" w:eastAsia="Arial" w:hAnsi="Arial"/>
          <w:sz w:val="22"/>
          <w:szCs w:val="22"/>
        </w:rPr>
        <w:t xml:space="preserve">Header: "Financial Performance Charts" (line 223).</w:t>
      </w:r>
    </w:p>
    <w:p>
      <w:pPr>
        <w:pStyle w:val="ListParagraph"/>
        <w:numPr>
          <w:ilvl w:val="0"/>
          <w:numId w:val="2"/>
        </w:numPr>
        <w:spacing w:after="60"/>
      </w:pPr>
      <w:r>
        <w:rPr>
          <w:rFonts w:ascii="Arial" w:cs="Arial" w:eastAsia="Arial" w:hAnsi="Arial"/>
          <w:sz w:val="22"/>
          <w:szCs w:val="22"/>
        </w:rPr>
        <w:t xml:space="preserve">Subhead: "Management case forecast (light) overlaid with reported actuals (bold) where available." (line 231).</w:t>
      </w:r>
    </w:p>
    <w:p>
      <w:pPr>
        <w:pStyle w:val="ListParagraph"/>
        <w:numPr>
          <w:ilvl w:val="0"/>
          <w:numId w:val="2"/>
        </w:numPr>
        <w:spacing w:after="60"/>
      </w:pPr>
      <w:r>
        <w:rPr>
          <w:rFonts w:ascii="Arial" w:cs="Arial" w:eastAsia="Arial" w:hAnsi="Arial"/>
          <w:sz w:val="22"/>
          <w:szCs w:val="22"/>
        </w:rPr>
        <w:t xml:space="preserve">Chart 1 title: "Cashflow Performance ({sym}m, annual)" (line 237).</w:t>
      </w:r>
    </w:p>
    <w:p>
      <w:pPr>
        <w:pStyle w:val="ListParagraph"/>
        <w:numPr>
          <w:ilvl w:val="0"/>
          <w:numId w:val="2"/>
        </w:numPr>
        <w:spacing w:after="60"/>
      </w:pPr>
      <w:r>
        <w:rPr>
          <w:rFonts w:ascii="Arial" w:cs="Arial" w:eastAsia="Arial" w:hAnsi="Arial"/>
          <w:sz w:val="22"/>
          <w:szCs w:val="22"/>
        </w:rPr>
        <w:t xml:space="preserve">Chart 2 title: "Key Financial Ratios" (line 264).</w:t>
      </w:r>
    </w:p>
    <w:p>
      <w:pPr>
        <w:pStyle w:val="ListParagraph"/>
        <w:numPr>
          <w:ilvl w:val="0"/>
          <w:numId w:val="2"/>
        </w:numPr>
        <w:spacing w:after="60"/>
      </w:pPr>
      <w:r>
        <w:rPr>
          <w:rFonts w:ascii="Arial" w:cs="Arial" w:eastAsia="Arial" w:hAnsi="Arial"/>
          <w:sz w:val="22"/>
          <w:szCs w:val="22"/>
        </w:rPr>
        <w:t xml:space="preserve">Reference-line labels: "Lockup" (line 295), "Default" (line 296).</w:t>
      </w:r>
    </w:p>
    <w:p>
      <w:pPr>
        <w:pStyle w:val="Heading2"/>
        <w:spacing w:after="120" w:before="240"/>
      </w:pPr>
      <w:r>
        <w:rPr>
          <w:rFonts w:ascii="Arial" w:cs="Arial" w:eastAsia="Arial" w:hAnsi="Arial"/>
          <w:b/>
          <w:bCs/>
          <w:color w:val="263849"/>
          <w:sz w:val="30"/>
          <w:szCs w:val="30"/>
        </w:rPr>
        <w:t xml:space="preserve">9.4 Distribution page (/deals/[slug]/distribution/page.tsx)</w:t>
      </w:r>
    </w:p>
    <w:p>
      <w:pPr>
        <w:pStyle w:val="ListParagraph"/>
        <w:numPr>
          <w:ilvl w:val="0"/>
          <w:numId w:val="2"/>
        </w:numPr>
        <w:spacing w:after="60"/>
      </w:pPr>
      <w:r>
        <w:rPr>
          <w:rFonts w:ascii="Arial" w:cs="Arial" w:eastAsia="Arial" w:hAnsi="Arial"/>
          <w:sz w:val="22"/>
          <w:szCs w:val="22"/>
        </w:rPr>
        <w:t xml:space="preserve">Eyebrow: "Distribution assessment" (line 44).</w:t>
      </w:r>
    </w:p>
    <w:p>
      <w:pPr>
        <w:pStyle w:val="ListParagraph"/>
        <w:numPr>
          <w:ilvl w:val="0"/>
          <w:numId w:val="2"/>
        </w:numPr>
        <w:spacing w:after="60"/>
      </w:pPr>
      <w:r>
        <w:rPr>
          <w:rFonts w:ascii="Arial" w:cs="Arial" w:eastAsia="Arial" w:hAnsi="Arial"/>
          <w:sz w:val="22"/>
          <w:szCs w:val="22"/>
        </w:rPr>
        <w:t xml:space="preserve">H1: "{dealName} cash movement posture" (line 45).</w:t>
      </w:r>
    </w:p>
    <w:p>
      <w:pPr>
        <w:pStyle w:val="ListParagraph"/>
        <w:numPr>
          <w:ilvl w:val="0"/>
          <w:numId w:val="2"/>
        </w:numPr>
        <w:spacing w:after="60"/>
      </w:pPr>
      <w:r>
        <w:rPr>
          <w:rFonts w:ascii="Arial" w:cs="Arial" w:eastAsia="Arial" w:hAnsi="Arial"/>
          <w:sz w:val="22"/>
          <w:szCs w:val="22"/>
        </w:rPr>
        <w:t xml:space="preserve">Hero summary: uses data.distribution.summary (line 47).</w:t>
      </w:r>
    </w:p>
    <w:p>
      <w:pPr>
        <w:pStyle w:val="ListParagraph"/>
        <w:numPr>
          <w:ilvl w:val="0"/>
          <w:numId w:val="2"/>
        </w:numPr>
        <w:spacing w:after="60"/>
      </w:pPr>
      <w:r>
        <w:rPr>
          <w:rFonts w:ascii="Arial" w:cs="Arial" w:eastAsia="Arial" w:hAnsi="Arial"/>
          <w:sz w:val="22"/>
          <w:szCs w:val="22"/>
        </w:rPr>
        <w:t xml:space="preserve">Metric cards: "Distribution status" / "Blockers" / "Permitted capacity" / "Cash trap" / "Assessment date" / "Deal grade" / "Covenant status" / "Senior DSCR" / "Lock-up threshold" / "Headroom".</w:t>
      </w:r>
    </w:p>
    <w:p>
      <w:pPr>
        <w:pStyle w:val="ListParagraph"/>
        <w:numPr>
          <w:ilvl w:val="0"/>
          <w:numId w:val="2"/>
        </w:numPr>
        <w:spacing w:after="60"/>
      </w:pPr>
      <w:r>
        <w:rPr>
          <w:rFonts w:ascii="Arial" w:cs="Arial" w:eastAsia="Arial" w:hAnsi="Arial"/>
          <w:sz w:val="22"/>
          <w:szCs w:val="22"/>
        </w:rPr>
        <w:t xml:space="preserve">Panel heading: "Decision drivers" → "Failed conditions and blockers" (lines 121–122).</w:t>
      </w:r>
    </w:p>
    <w:p>
      <w:pPr>
        <w:pStyle w:val="ListParagraph"/>
        <w:numPr>
          <w:ilvl w:val="0"/>
          <w:numId w:val="2"/>
        </w:numPr>
        <w:spacing w:after="60"/>
      </w:pPr>
      <w:r>
        <w:rPr>
          <w:rFonts w:ascii="Arial" w:cs="Arial" w:eastAsia="Arial" w:hAnsi="Arial"/>
          <w:sz w:val="22"/>
          <w:szCs w:val="22"/>
        </w:rPr>
        <w:t xml:space="preserve">Empty state: "No active blockers" + "The current assessment does not identify any failed distribution conditions." (lines 140–143).</w:t>
      </w:r>
    </w:p>
    <w:p>
      <w:pPr>
        <w:pStyle w:val="Heading2"/>
        <w:spacing w:after="120" w:before="240"/>
      </w:pPr>
      <w:r>
        <w:rPr>
          <w:rFonts w:ascii="Arial" w:cs="Arial" w:eastAsia="Arial" w:hAnsi="Arial"/>
          <w:b/>
          <w:bCs/>
          <w:color w:val="263849"/>
          <w:sz w:val="30"/>
          <w:szCs w:val="30"/>
        </w:rPr>
        <w:t xml:space="preserve">9.5 Sidebar navigation (sidebar-nav.tsx)</w:t>
      </w:r>
    </w:p>
    <w:p>
      <w:pPr>
        <w:pStyle w:val="ListParagraph"/>
        <w:numPr>
          <w:ilvl w:val="0"/>
          <w:numId w:val="2"/>
        </w:numPr>
        <w:spacing w:after="60"/>
      </w:pPr>
      <w:r>
        <w:rPr>
          <w:rFonts w:ascii="Arial" w:cs="Arial" w:eastAsia="Arial" w:hAnsi="Arial"/>
          <w:sz w:val="22"/>
          <w:szCs w:val="22"/>
        </w:rPr>
        <w:t xml:space="preserve">Primary items: Dashboard / Calendar / Feeds / Portfolio / Intake / Compliance / Review / Work / Notifications / Activity / Reports / Evidence / Configuration / To Dos.</w:t>
      </w:r>
    </w:p>
    <w:p>
      <w:pPr>
        <w:pStyle w:val="ListParagraph"/>
        <w:numPr>
          <w:ilvl w:val="0"/>
          <w:numId w:val="2"/>
        </w:numPr>
        <w:spacing w:after="60"/>
      </w:pPr>
      <w:r>
        <w:rPr>
          <w:rFonts w:ascii="Arial" w:cs="Arial" w:eastAsia="Arial" w:hAnsi="Arial"/>
          <w:sz w:val="22"/>
          <w:szCs w:val="22"/>
        </w:rPr>
        <w:t xml:space="preserve">Secondary: Templates / Analytics / Miscellaneous / Setup.</w:t>
      </w:r>
    </w:p>
    <w:p>
      <w:pPr>
        <w:pStyle w:val="ListParagraph"/>
        <w:numPr>
          <w:ilvl w:val="0"/>
          <w:numId w:val="2"/>
        </w:numPr>
        <w:spacing w:after="60"/>
      </w:pPr>
      <w:r>
        <w:rPr>
          <w:rFonts w:ascii="Arial" w:cs="Arial" w:eastAsia="Arial" w:hAnsi="Arial"/>
          <w:sz w:val="22"/>
          <w:szCs w:val="22"/>
        </w:rPr>
        <w:t xml:space="preserve">Viewer row: "Active viewer" label (line 376), meta "{teamName} · {roleNames.join(", ")}".</w:t>
      </w:r>
    </w:p>
    <w:p>
      <w:pPr>
        <w:pStyle w:val="Heading1"/>
        <w:pageBreakBefore/>
        <w:spacing w:after="180" w:before="240"/>
      </w:pPr>
      <w:r>
        <w:rPr>
          <w:rFonts w:ascii="Arial" w:cs="Arial" w:eastAsia="Arial" w:hAnsi="Arial"/>
          <w:b/>
          <w:bCs/>
          <w:color w:val="1F6FA5"/>
          <w:sz w:val="40"/>
          <w:szCs w:val="40"/>
        </w:rPr>
        <w:t xml:space="preserve">10. Client component deep logic</w:t>
      </w:r>
    </w:p>
    <w:p>
      <w:pPr>
        <w:pStyle w:val="Heading2"/>
        <w:spacing w:after="120" w:before="240"/>
      </w:pPr>
      <w:r>
        <w:rPr>
          <w:rFonts w:ascii="Arial" w:cs="Arial" w:eastAsia="Arial" w:hAnsi="Arial"/>
          <w:b/>
          <w:bCs/>
          <w:color w:val="263849"/>
          <w:sz w:val="30"/>
          <w:szCs w:val="30"/>
        </w:rPr>
        <w:t xml:space="preserve">10.1 sidebar-nav.tsx</w:t>
      </w:r>
    </w:p>
    <w:p>
      <w:pPr>
        <w:pStyle w:val="Heading3"/>
        <w:spacing w:after="80" w:before="180"/>
      </w:pPr>
      <w:r>
        <w:rPr>
          <w:rFonts w:ascii="Arial" w:cs="Arial" w:eastAsia="Arial" w:hAnsi="Arial"/>
          <w:b/>
          <w:bCs/>
          <w:color w:val="263849"/>
          <w:sz w:val="26"/>
          <w:szCs w:val="26"/>
        </w:rPr>
        <w:t xml:space="preserve">State</w:t>
      </w:r>
    </w:p>
    <w:p>
      <w:pPr>
        <w:pStyle w:val="ListParagraph"/>
        <w:numPr>
          <w:ilvl w:val="0"/>
          <w:numId w:val="2"/>
        </w:numPr>
        <w:spacing w:after="60"/>
      </w:pPr>
      <w:r>
        <w:rPr>
          <w:rFonts w:ascii="Arial" w:cs="Arial" w:eastAsia="Arial" w:hAnsi="Arial"/>
          <w:sz w:val="22"/>
          <w:szCs w:val="22"/>
        </w:rPr>
        <w:t xml:space="preserve">activeViewerName (useState, init from viewerDirectory.activeViewer.displayName).</w:t>
      </w:r>
    </w:p>
    <w:p>
      <w:pPr>
        <w:pStyle w:val="ListParagraph"/>
        <w:numPr>
          <w:ilvl w:val="0"/>
          <w:numId w:val="2"/>
        </w:numPr>
        <w:spacing w:after="60"/>
      </w:pPr>
      <w:r>
        <w:rPr>
          <w:rFonts w:ascii="Arial" w:cs="Arial" w:eastAsia="Arial" w:hAnsi="Arial"/>
          <w:sz w:val="22"/>
          <w:szCs w:val="22"/>
        </w:rPr>
        <w:t xml:space="preserve">Read via useRouter() + usePathname().</w:t>
      </w:r>
    </w:p>
    <w:p>
      <w:pPr>
        <w:pStyle w:val="Heading3"/>
        <w:spacing w:after="80" w:before="180"/>
      </w:pPr>
      <w:r>
        <w:rPr>
          <w:rFonts w:ascii="Arial" w:cs="Arial" w:eastAsia="Arial" w:hAnsi="Arial"/>
          <w:b/>
          <w:bCs/>
          <w:color w:val="263849"/>
          <w:sz w:val="26"/>
          <w:szCs w:val="26"/>
        </w:rPr>
        <w:t xml:space="preserve">applyViewer(nextViewer) event handler</w:t>
      </w:r>
    </w:p>
    <w:p>
      <w:pPr>
        <w:spacing w:after="80"/>
      </w:pPr>
      <w:r>
        <w:rPr>
          <w:rFonts w:ascii="Consolas" w:cs="Consolas" w:eastAsia="Consolas" w:hAnsi="Consolas"/>
          <w:color w:val="444444"/>
          <w:sz w:val="20"/>
          <w:szCs w:val="20"/>
        </w:rPr>
        <w:t xml:space="preserve">document.cookie = `${VIEWER_COOKIE_NAME}=${encodeURIComponent(nextViewer)};
  path=/; max-age=31536000; samesite=lax`
setActiveViewerName(nextViewer)
router.refresh()   // full reload — not SPA transition</w:t>
      </w:r>
    </w:p>
    <w:p>
      <w:pPr>
        <w:pStyle w:val="Heading3"/>
        <w:spacing w:after="80" w:before="180"/>
      </w:pPr>
      <w:r>
        <w:rPr>
          <w:rFonts w:ascii="Arial" w:cs="Arial" w:eastAsia="Arial" w:hAnsi="Arial"/>
          <w:b/>
          <w:bCs/>
          <w:color w:val="263849"/>
          <w:sz w:val="26"/>
          <w:szCs w:val="26"/>
        </w:rPr>
        <w:t xml:space="preserve">Rendering</w:t>
      </w:r>
    </w:p>
    <w:p>
      <w:pPr>
        <w:pStyle w:val="ListParagraph"/>
        <w:numPr>
          <w:ilvl w:val="0"/>
          <w:numId w:val="2"/>
        </w:numPr>
        <w:spacing w:after="60"/>
      </w:pPr>
      <w:r>
        <w:rPr>
          <w:rFonts w:ascii="Arial" w:cs="Arial" w:eastAsia="Arial" w:hAnsi="Arial"/>
          <w:sz w:val="22"/>
          <w:szCs w:val="22"/>
        </w:rPr>
        <w:t xml:space="preserve">Primary nav filtered by item.requiredPermission against viewerDirectory.activeViewer.permissions[key].</w:t>
      </w:r>
    </w:p>
    <w:p>
      <w:pPr>
        <w:pStyle w:val="ListParagraph"/>
        <w:numPr>
          <w:ilvl w:val="0"/>
          <w:numId w:val="2"/>
        </w:numPr>
        <w:spacing w:after="60"/>
      </w:pPr>
      <w:r>
        <w:rPr>
          <w:rFonts w:ascii="Arial" w:cs="Arial" w:eastAsia="Arial" w:hAnsi="Arial"/>
          <w:sz w:val="22"/>
          <w:szCs w:val="22"/>
        </w:rPr>
        <w:t xml:space="preserve">isActive = item.matches(pathname). Sets aria-current='page' when active.</w:t>
      </w:r>
    </w:p>
    <w:p>
      <w:pPr>
        <w:pStyle w:val="ListParagraph"/>
        <w:numPr>
          <w:ilvl w:val="0"/>
          <w:numId w:val="2"/>
        </w:numPr>
        <w:spacing w:after="60"/>
      </w:pPr>
      <w:r>
        <w:rPr>
          <w:rFonts w:ascii="Arial" w:cs="Arial" w:eastAsia="Arial" w:hAnsi="Arial"/>
          <w:sz w:val="22"/>
          <w:szCs w:val="22"/>
        </w:rPr>
        <w:t xml:space="preserve">Renders item.icon('sidebar-icon') via passed function.</w:t>
      </w:r>
    </w:p>
    <w:p>
      <w:pPr>
        <w:pStyle w:val="ListParagraph"/>
        <w:numPr>
          <w:ilvl w:val="0"/>
          <w:numId w:val="2"/>
        </w:numPr>
        <w:spacing w:after="60"/>
      </w:pPr>
      <w:r>
        <w:rPr>
          <w:rFonts w:ascii="Arial" w:cs="Arial" w:eastAsia="Arial" w:hAnsi="Arial"/>
          <w:sz w:val="22"/>
          <w:szCs w:val="22"/>
        </w:rPr>
        <w:t xml:space="preserve">Secondary nav (bottom) has no permission filter.</w:t>
      </w:r>
    </w:p>
    <w:p>
      <w:pPr>
        <w:pStyle w:val="Heading2"/>
        <w:spacing w:after="120" w:before="240"/>
      </w:pPr>
      <w:r>
        <w:rPr>
          <w:rFonts w:ascii="Arial" w:cs="Arial" w:eastAsia="Arial" w:hAnsi="Arial"/>
          <w:b/>
          <w:bCs/>
          <w:color w:val="263849"/>
          <w:sz w:val="30"/>
          <w:szCs w:val="30"/>
        </w:rPr>
        <w:t xml:space="preserve">10.2 deal-charts.tsx</w:t>
      </w:r>
    </w:p>
    <w:p>
      <w:pPr>
        <w:pStyle w:val="Heading3"/>
        <w:spacing w:after="80" w:before="180"/>
      </w:pPr>
      <w:r>
        <w:rPr>
          <w:rFonts w:ascii="Arial" w:cs="Arial" w:eastAsia="Arial" w:hAnsi="Arial"/>
          <w:b/>
          <w:bCs/>
          <w:color w:val="263849"/>
          <w:sz w:val="26"/>
          <w:szCs w:val="26"/>
        </w:rPr>
        <w:t xml:space="preserve">Data loading</w:t>
      </w:r>
    </w:p>
    <w:p>
      <w:pPr>
        <w:pStyle w:val="ListParagraph"/>
        <w:numPr>
          <w:ilvl w:val="0"/>
          <w:numId w:val="2"/>
        </w:numPr>
        <w:spacing w:after="60"/>
      </w:pPr>
      <w:r>
        <w:rPr>
          <w:rFonts w:ascii="Arial" w:cs="Arial" w:eastAsia="Arial" w:hAnsi="Arial"/>
          <w:sz w:val="22"/>
          <w:szCs w:val="22"/>
        </w:rPr>
        <w:t xml:space="preserve">useEffect on slug change.</w:t>
      </w:r>
    </w:p>
    <w:p>
      <w:pPr>
        <w:pStyle w:val="ListParagraph"/>
        <w:numPr>
          <w:ilvl w:val="0"/>
          <w:numId w:val="2"/>
        </w:numPr>
        <w:spacing w:after="60"/>
      </w:pPr>
      <w:r>
        <w:rPr>
          <w:rFonts w:ascii="Arial" w:cs="Arial" w:eastAsia="Arial" w:hAnsi="Arial"/>
          <w:sz w:val="22"/>
          <w:szCs w:val="22"/>
        </w:rPr>
        <w:t xml:space="preserve">Two fetch attempts in order: /api/proxy/deals/{slug}/topsheet, then http://localhost:4000/api/deals/{slug}/topsheet fallback.</w:t>
      </w:r>
    </w:p>
    <w:p>
      <w:pPr>
        <w:pStyle w:val="ListParagraph"/>
        <w:numPr>
          <w:ilvl w:val="0"/>
          <w:numId w:val="2"/>
        </w:numPr>
        <w:spacing w:after="60"/>
      </w:pPr>
      <w:r>
        <w:rPr>
          <w:rFonts w:ascii="Arial" w:cs="Arial" w:eastAsia="Arial" w:hAnsi="Arial"/>
          <w:sz w:val="22"/>
          <w:szCs w:val="22"/>
        </w:rPr>
        <w:t xml:space="preserve">Calls processData(ts) on success; setLoading(false) always.</w:t>
      </w:r>
    </w:p>
    <w:p>
      <w:pPr>
        <w:pStyle w:val="Heading3"/>
        <w:spacing w:after="80" w:before="180"/>
      </w:pPr>
      <w:r>
        <w:rPr>
          <w:rFonts w:ascii="Arial" w:cs="Arial" w:eastAsia="Arial" w:hAnsi="Arial"/>
          <w:b/>
          <w:bCs/>
          <w:color w:val="263849"/>
          <w:sz w:val="26"/>
          <w:szCs w:val="26"/>
        </w:rPr>
        <w:t xml:space="preserve">Data aggregation</w:t>
      </w:r>
    </w:p>
    <w:p>
      <w:pPr>
        <w:pStyle w:val="ListParagraph"/>
        <w:numPr>
          <w:ilvl w:val="0"/>
          <w:numId w:val="2"/>
        </w:numPr>
        <w:spacing w:after="60"/>
      </w:pPr>
      <w:r>
        <w:rPr>
          <w:rFonts w:ascii="Arial" w:cs="Arial" w:eastAsia="Arial" w:hAnsi="Arial"/>
          <w:sz w:val="22"/>
          <w:szCs w:val="22"/>
        </w:rPr>
        <w:t xml:space="preserve">Extract reportingPeriods; sort by period_ordinal.</w:t>
      </w:r>
    </w:p>
    <w:p>
      <w:pPr>
        <w:pStyle w:val="ListParagraph"/>
        <w:numPr>
          <w:ilvl w:val="0"/>
          <w:numId w:val="2"/>
        </w:numPr>
        <w:spacing w:after="60"/>
      </w:pPr>
      <w:r>
        <w:rPr>
          <w:rFonts w:ascii="Arial" w:cs="Arial" w:eastAsia="Arial" w:hAnsi="Arial"/>
          <w:sz w:val="22"/>
          <w:szCs w:val="22"/>
        </w:rPr>
        <w:t xml:space="preserve">Build periodMap (period_id → year) by stripping H/Q suffix from period_flag.</w:t>
      </w:r>
    </w:p>
    <w:p>
      <w:pPr>
        <w:pStyle w:val="ListParagraph"/>
        <w:numPr>
          <w:ilvl w:val="0"/>
          <w:numId w:val="2"/>
        </w:numPr>
        <w:spacing w:after="60"/>
      </w:pPr>
      <w:r>
        <w:rPr>
          <w:rFonts w:ascii="Arial" w:cs="Arial" w:eastAsia="Arial" w:hAnsi="Arial"/>
          <w:sz w:val="22"/>
          <w:szCs w:val="22"/>
        </w:rPr>
        <w:t xml:space="preserve">Aggregate forecast items by year from management_case version:</w:t>
      </w:r>
    </w:p>
    <w:p>
      <w:pPr>
        <w:pStyle w:val="ListParagraph"/>
        <w:numPr>
          <w:ilvl w:val="0"/>
          <w:numId w:val="2"/>
        </w:numPr>
        <w:spacing w:after="60"/>
      </w:pPr>
      <w:r>
        <w:rPr>
          <w:rFonts w:ascii="Arial" w:cs="Arial" w:eastAsia="Arial" w:hAnsi="Arial"/>
          <w:sz w:val="22"/>
          <w:szCs w:val="22"/>
        </w:rPr>
        <w:t xml:space="preserve">• line_key mapping: total_revenue → f_revenue; cfads → f_cfads; senior_dscr → f_dscr; etc.</w:t>
      </w:r>
    </w:p>
    <w:p>
      <w:pPr>
        <w:pStyle w:val="ListParagraph"/>
        <w:numPr>
          <w:ilvl w:val="0"/>
          <w:numId w:val="2"/>
        </w:numPr>
        <w:spacing w:after="60"/>
      </w:pPr>
      <w:r>
        <w:rPr>
          <w:rFonts w:ascii="Arial" w:cs="Arial" w:eastAsia="Arial" w:hAnsi="Arial"/>
          <w:sz w:val="22"/>
          <w:szCs w:val="22"/>
        </w:rPr>
        <w:t xml:space="preserve">Aggregate actual items similarly (approved_value preferred, fallback reported_value).</w:t>
      </w:r>
    </w:p>
    <w:p>
      <w:pPr>
        <w:pStyle w:val="ListParagraph"/>
        <w:numPr>
          <w:ilvl w:val="0"/>
          <w:numId w:val="2"/>
        </w:numPr>
        <w:spacing w:after="60"/>
      </w:pPr>
      <w:r>
        <w:rPr>
          <w:rFonts w:ascii="Arial" w:cs="Arial" w:eastAsia="Arial" w:hAnsi="Arial"/>
          <w:sz w:val="22"/>
          <w:szCs w:val="22"/>
        </w:rPr>
        <w:t xml:space="preserve">opex and DS are negated (absolute) for charting.</w:t>
      </w:r>
    </w:p>
    <w:p>
      <w:pPr>
        <w:pStyle w:val="Heading3"/>
        <w:spacing w:after="80" w:before="180"/>
      </w:pPr>
      <w:r>
        <w:rPr>
          <w:rFonts w:ascii="Arial" w:cs="Arial" w:eastAsia="Arial" w:hAnsi="Arial"/>
          <w:b/>
          <w:bCs/>
          <w:color w:val="263849"/>
          <w:sz w:val="26"/>
          <w:szCs w:val="26"/>
        </w:rPr>
        <w:t xml:space="preserve">Horizon filter</w:t>
      </w:r>
    </w:p>
    <w:p>
      <w:pPr>
        <w:pStyle w:val="ListParagraph"/>
        <w:numPr>
          <w:ilvl w:val="0"/>
          <w:numId w:val="2"/>
        </w:numPr>
        <w:spacing w:after="60"/>
      </w:pPr>
      <w:r>
        <w:rPr>
          <w:rFonts w:ascii="Arial" w:cs="Arial" w:eastAsia="Arial" w:hAnsi="Arial"/>
          <w:sz w:val="22"/>
          <w:szCs w:val="22"/>
        </w:rPr>
        <w:t xml:space="preserve">State: horizon in {"5" | "10" | "max"}.</w:t>
      </w:r>
    </w:p>
    <w:p>
      <w:pPr>
        <w:pStyle w:val="ListParagraph"/>
        <w:numPr>
          <w:ilvl w:val="0"/>
          <w:numId w:val="2"/>
        </w:numPr>
        <w:spacing w:after="60"/>
      </w:pPr>
      <w:r>
        <w:rPr>
          <w:rFonts w:ascii="Arial" w:cs="Arial" w:eastAsia="Arial" w:hAnsi="Arial"/>
          <w:sz w:val="22"/>
          <w:szCs w:val="22"/>
        </w:rPr>
        <w:t xml:space="preserve">cutoffYear = 999 if max, else currentYear + parseInt(horizon).</w:t>
      </w:r>
    </w:p>
    <w:p>
      <w:pPr>
        <w:pStyle w:val="ListParagraph"/>
        <w:numPr>
          <w:ilvl w:val="0"/>
          <w:numId w:val="2"/>
        </w:numPr>
        <w:spacing w:after="60"/>
      </w:pPr>
      <w:r>
        <w:rPr>
          <w:rFonts w:ascii="Arial" w:cs="Arial" w:eastAsia="Arial" w:hAnsi="Arial"/>
          <w:sz w:val="22"/>
          <w:szCs w:val="22"/>
        </w:rPr>
        <w:t xml:space="preserve">Filters data where year ≤ cutoffYear.</w:t>
      </w:r>
    </w:p>
    <w:p>
      <w:pPr>
        <w:pStyle w:val="Heading3"/>
        <w:spacing w:after="80" w:before="180"/>
      </w:pPr>
      <w:r>
        <w:rPr>
          <w:rFonts w:ascii="Arial" w:cs="Arial" w:eastAsia="Arial" w:hAnsi="Arial"/>
          <w:b/>
          <w:bCs/>
          <w:color w:val="263849"/>
          <w:sz w:val="26"/>
          <w:szCs w:val="26"/>
        </w:rPr>
        <w:t xml:space="preserve">Chart 1 — Cashflow (lines 240–259)</w:t>
      </w:r>
    </w:p>
    <w:p>
      <w:pPr>
        <w:pStyle w:val="ListParagraph"/>
        <w:numPr>
          <w:ilvl w:val="0"/>
          <w:numId w:val="2"/>
        </w:numPr>
        <w:spacing w:after="60"/>
      </w:pPr>
      <w:r>
        <w:rPr>
          <w:rFonts w:ascii="Arial" w:cs="Arial" w:eastAsia="Arial" w:hAnsi="Arial"/>
          <w:sz w:val="22"/>
          <w:szCs w:val="22"/>
        </w:rPr>
        <w:t xml:space="preserve">ResponsiveContainer + LineChart.</w:t>
      </w:r>
    </w:p>
    <w:p>
      <w:pPr>
        <w:pStyle w:val="ListParagraph"/>
        <w:numPr>
          <w:ilvl w:val="0"/>
          <w:numId w:val="2"/>
        </w:numPr>
        <w:spacing w:after="60"/>
      </w:pPr>
      <w:r>
        <w:rPr>
          <w:rFonts w:ascii="Arial" w:cs="Arial" w:eastAsia="Arial" w:hAnsi="Arial"/>
          <w:sz w:val="22"/>
          <w:szCs w:val="22"/>
        </w:rPr>
        <w:t xml:space="preserve">Data keys: f_revenue / f_opex / f_cfads / f_ds (forecast, dashed, muted); a_revenue / a_opex / a_cfads / a_ds (actual, solid, bold — only if hasActuals).</w:t>
      </w:r>
    </w:p>
    <w:p>
      <w:pPr>
        <w:pStyle w:val="ListParagraph"/>
        <w:numPr>
          <w:ilvl w:val="0"/>
          <w:numId w:val="2"/>
        </w:numPr>
        <w:spacing w:after="60"/>
      </w:pPr>
      <w:r>
        <w:rPr>
          <w:rFonts w:ascii="Arial" w:cs="Arial" w:eastAsia="Arial" w:hAnsi="Arial"/>
          <w:sz w:val="22"/>
          <w:szCs w:val="22"/>
        </w:rPr>
        <w:t xml:space="preserve">Custom ChartTooltipContent — colour-coded legend + values.</w:t>
      </w:r>
    </w:p>
    <w:p>
      <w:pPr>
        <w:pStyle w:val="Heading3"/>
        <w:spacing w:after="80" w:before="180"/>
      </w:pPr>
      <w:r>
        <w:rPr>
          <w:rFonts w:ascii="Arial" w:cs="Arial" w:eastAsia="Arial" w:hAnsi="Arial"/>
          <w:b/>
          <w:bCs/>
          <w:color w:val="263849"/>
          <w:sz w:val="26"/>
          <w:szCs w:val="26"/>
        </w:rPr>
        <w:t xml:space="preserve">Chart 2 — Key ratios (lines 267–328)</w:t>
      </w:r>
    </w:p>
    <w:p>
      <w:pPr>
        <w:pStyle w:val="ListParagraph"/>
        <w:numPr>
          <w:ilvl w:val="0"/>
          <w:numId w:val="2"/>
        </w:numPr>
        <w:spacing w:after="60"/>
      </w:pPr>
      <w:r>
        <w:rPr>
          <w:rFonts w:ascii="Arial" w:cs="Arial" w:eastAsia="Arial" w:hAnsi="Arial"/>
          <w:sz w:val="22"/>
          <w:szCs w:val="22"/>
        </w:rPr>
        <w:t xml:space="preserve">Dual Y-axis: left (DSCR coverage, domain [0,5]); right (ND/EBITDA leverage, domain [0,'auto'] — only if hasLeverage).</w:t>
      </w:r>
    </w:p>
    <w:p>
      <w:pPr>
        <w:pStyle w:val="ListParagraph"/>
        <w:numPr>
          <w:ilvl w:val="0"/>
          <w:numId w:val="2"/>
        </w:numPr>
        <w:spacing w:after="60"/>
      </w:pPr>
      <w:r>
        <w:rPr>
          <w:rFonts w:ascii="Arial" w:cs="Arial" w:eastAsia="Arial" w:hAnsi="Arial"/>
          <w:sz w:val="22"/>
          <w:szCs w:val="22"/>
        </w:rPr>
        <w:t xml:space="preserve">Reference lines on left axis: lockupLevel (orange dashed), defaultLevel (red dashed).</w:t>
      </w:r>
    </w:p>
    <w:p>
      <w:pPr>
        <w:pStyle w:val="ListParagraph"/>
        <w:numPr>
          <w:ilvl w:val="0"/>
          <w:numId w:val="2"/>
        </w:numPr>
        <w:spacing w:after="60"/>
      </w:pPr>
      <w:r>
        <w:rPr>
          <w:rFonts w:ascii="Arial" w:cs="Arial" w:eastAsia="Arial" w:hAnsi="Arial"/>
          <w:sz w:val="22"/>
          <w:szCs w:val="22"/>
        </w:rPr>
        <w:t xml:space="preserve">Data keys: f_dscr / a_dscr (left), f_leverage / a_leverage (right).</w:t>
      </w:r>
    </w:p>
    <w:p>
      <w:pPr>
        <w:pStyle w:val="ListParagraph"/>
        <w:numPr>
          <w:ilvl w:val="0"/>
          <w:numId w:val="2"/>
        </w:numPr>
        <w:spacing w:after="60"/>
      </w:pPr>
      <w:r>
        <w:rPr>
          <w:rFonts w:ascii="Arial" w:cs="Arial" w:eastAsia="Arial" w:hAnsi="Arial"/>
          <w:sz w:val="22"/>
          <w:szCs w:val="22"/>
        </w:rPr>
        <w:t xml:space="preserve">Custom dot for a_dscr: fills red (#d65454) if value &lt; defaultLevel (breach), white otherwise.</w:t>
      </w:r>
    </w:p>
    <w:p>
      <w:pPr>
        <w:pStyle w:val="Heading3"/>
        <w:spacing w:after="80" w:before="180"/>
      </w:pPr>
      <w:r>
        <w:rPr>
          <w:rFonts w:ascii="Arial" w:cs="Arial" w:eastAsia="Arial" w:hAnsi="Arial"/>
          <w:b/>
          <w:bCs/>
          <w:color w:val="263849"/>
          <w:sz w:val="26"/>
          <w:szCs w:val="26"/>
        </w:rPr>
        <w:t xml:space="preserve">Conditional rendering</w:t>
      </w:r>
    </w:p>
    <w:p>
      <w:pPr>
        <w:pStyle w:val="ListParagraph"/>
        <w:numPr>
          <w:ilvl w:val="0"/>
          <w:numId w:val="2"/>
        </w:numPr>
        <w:spacing w:after="60"/>
      </w:pPr>
      <w:r>
        <w:rPr>
          <w:rFonts w:ascii="Arial" w:cs="Arial" w:eastAsia="Arial" w:hAnsi="Arial"/>
          <w:sz w:val="22"/>
          <w:szCs w:val="22"/>
        </w:rPr>
        <w:t xml:space="preserve">Loading → "Loading charts…"</w:t>
      </w:r>
    </w:p>
    <w:p>
      <w:pPr>
        <w:pStyle w:val="ListParagraph"/>
        <w:numPr>
          <w:ilvl w:val="0"/>
          <w:numId w:val="2"/>
        </w:numPr>
        <w:spacing w:after="60"/>
      </w:pPr>
      <w:r>
        <w:rPr>
          <w:rFonts w:ascii="Arial" w:cs="Arial" w:eastAsia="Arial" w:hAnsi="Arial"/>
          <w:sz w:val="22"/>
          <w:szCs w:val="22"/>
        </w:rPr>
        <w:t xml:space="preserve">Empty → return null (no message).</w:t>
      </w:r>
    </w:p>
    <w:p>
      <w:pPr>
        <w:pStyle w:val="ListParagraph"/>
        <w:numPr>
          <w:ilvl w:val="0"/>
          <w:numId w:val="2"/>
        </w:numPr>
        <w:spacing w:after="60"/>
      </w:pPr>
      <w:r>
        <w:rPr>
          <w:rFonts w:ascii="Arial" w:cs="Arial" w:eastAsia="Arial" w:hAnsi="Arial"/>
          <w:sz w:val="22"/>
          <w:szCs w:val="22"/>
        </w:rPr>
        <w:t xml:space="preserve">hasActuals=false → omit actual series.</w:t>
      </w:r>
    </w:p>
    <w:p>
      <w:pPr>
        <w:pStyle w:val="ListParagraph"/>
        <w:numPr>
          <w:ilvl w:val="0"/>
          <w:numId w:val="2"/>
        </w:numPr>
        <w:spacing w:after="60"/>
      </w:pPr>
      <w:r>
        <w:rPr>
          <w:rFonts w:ascii="Arial" w:cs="Arial" w:eastAsia="Arial" w:hAnsi="Arial"/>
          <w:sz w:val="22"/>
          <w:szCs w:val="22"/>
        </w:rPr>
        <w:t xml:space="preserve">hasLeverage=false → omit right-axis leverage.</w:t>
      </w:r>
    </w:p>
    <w:p>
      <w:pPr>
        <w:pStyle w:val="Heading2"/>
        <w:spacing w:after="120" w:before="240"/>
      </w:pPr>
      <w:r>
        <w:rPr>
          <w:rFonts w:ascii="Arial" w:cs="Arial" w:eastAsia="Arial" w:hAnsi="Arial"/>
          <w:b/>
          <w:bCs/>
          <w:color w:val="263849"/>
          <w:sz w:val="30"/>
          <w:szCs w:val="30"/>
        </w:rPr>
        <w:t xml:space="preserve">10.3 kpi-chart.tsx</w:t>
      </w:r>
    </w:p>
    <w:p>
      <w:pPr>
        <w:pStyle w:val="Heading3"/>
        <w:spacing w:after="80" w:before="180"/>
      </w:pPr>
      <w:r>
        <w:rPr>
          <w:rFonts w:ascii="Arial" w:cs="Arial" w:eastAsia="Arial" w:hAnsi="Arial"/>
          <w:b/>
          <w:bCs/>
          <w:color w:val="263849"/>
          <w:sz w:val="26"/>
          <w:szCs w:val="26"/>
        </w:rPr>
        <w:t xml:space="preserve">Data aggregation pipeline</w:t>
      </w:r>
    </w:p>
    <w:p>
      <w:pPr>
        <w:pStyle w:val="ListParagraph"/>
        <w:numPr>
          <w:ilvl w:val="0"/>
          <w:numId w:val="2"/>
        </w:numPr>
        <w:spacing w:after="60"/>
      </w:pPr>
      <w:r>
        <w:rPr>
          <w:rFonts w:ascii="Arial" w:cs="Arial" w:eastAsia="Arial" w:hAnsi="Arial"/>
          <w:sz w:val="22"/>
          <w:szCs w:val="22"/>
        </w:rPr>
        <w:t xml:space="preserve">Fetch /api/proxy/deals/{slug}/topsheet.</w:t>
      </w:r>
    </w:p>
    <w:p>
      <w:pPr>
        <w:pStyle w:val="ListParagraph"/>
        <w:numPr>
          <w:ilvl w:val="0"/>
          <w:numId w:val="2"/>
        </w:numPr>
        <w:spacing w:after="60"/>
      </w:pPr>
      <w:r>
        <w:rPr>
          <w:rFonts w:ascii="Arial" w:cs="Arial" w:eastAsia="Arial" w:hAnsi="Arial"/>
          <w:sz w:val="22"/>
          <w:szCs w:val="22"/>
        </w:rPr>
        <w:t xml:space="preserve">Extract reportingPeriods, kpiScenarios, actualItems (line_key starting 'sector_kpi_').</w:t>
      </w:r>
    </w:p>
    <w:p>
      <w:pPr>
        <w:pStyle w:val="ListParagraph"/>
        <w:numPr>
          <w:ilvl w:val="0"/>
          <w:numId w:val="2"/>
        </w:numPr>
        <w:spacing w:after="60"/>
      </w:pPr>
      <w:r>
        <w:rPr>
          <w:rFonts w:ascii="Arial" w:cs="Arial" w:eastAsia="Arial" w:hAnsi="Arial"/>
          <w:sz w:val="22"/>
          <w:szCs w:val="22"/>
        </w:rPr>
        <w:t xml:space="preserve">Build lookup maps: periodIdToYear, actualsMap (kpi_key → year → value), and per-scenario maps (mgmtByYear, downsideByYear, singleByYear).</w:t>
      </w:r>
    </w:p>
    <w:p>
      <w:pPr>
        <w:pStyle w:val="Heading3"/>
        <w:spacing w:after="80" w:before="180"/>
      </w:pPr>
      <w:r>
        <w:rPr>
          <w:rFonts w:ascii="Arial" w:cs="Arial" w:eastAsia="Arial" w:hAnsi="Arial"/>
          <w:b/>
          <w:bCs/>
          <w:color w:val="263849"/>
          <w:sz w:val="26"/>
          <w:szCs w:val="26"/>
        </w:rPr>
        <w:t xml:space="preserve">Scenario merging</w:t>
      </w:r>
    </w:p>
    <w:p>
      <w:pPr>
        <w:pStyle w:val="ListParagraph"/>
        <w:numPr>
          <w:ilvl w:val="0"/>
          <w:numId w:val="2"/>
        </w:numPr>
        <w:spacing w:after="60"/>
      </w:pPr>
      <w:r>
        <w:rPr>
          <w:rFonts w:ascii="Arial" w:cs="Arial" w:eastAsia="Arial" w:hAnsi="Arial"/>
          <w:sz w:val="22"/>
          <w:szCs w:val="22"/>
        </w:rPr>
        <w:t xml:space="preserve">For each KPI scenario: populate mgmtByYear from management_case; for stress_cases, populate downsideByYear (if combined_downside) or singleVariants[] (if single_variant_stress).</w:t>
      </w:r>
    </w:p>
    <w:p>
      <w:pPr>
        <w:pStyle w:val="ListParagraph"/>
        <w:numPr>
          <w:ilvl w:val="0"/>
          <w:numId w:val="2"/>
        </w:numPr>
        <w:spacing w:after="60"/>
      </w:pPr>
      <w:r>
        <w:rPr>
          <w:rFonts w:ascii="Arial" w:cs="Arial" w:eastAsia="Arial" w:hAnsi="Arial"/>
          <w:sz w:val="22"/>
          <w:szCs w:val="22"/>
        </w:rPr>
        <w:t xml:space="preserve">singleVariants entries: {dataKey: 'stress_{case_key_slug}', label, riskCode, riskTitle}.</w:t>
      </w:r>
    </w:p>
    <w:p>
      <w:pPr>
        <w:pStyle w:val="Heading3"/>
        <w:spacing w:after="80" w:before="180"/>
      </w:pPr>
      <w:r>
        <w:rPr>
          <w:rFonts w:ascii="Arial" w:cs="Arial" w:eastAsia="Arial" w:hAnsi="Arial"/>
          <w:b/>
          <w:bCs/>
          <w:color w:val="263849"/>
          <w:sz w:val="26"/>
          <w:szCs w:val="26"/>
        </w:rPr>
        <w:t xml:space="preserve">Per-KPI data assembly</w:t>
      </w:r>
    </w:p>
    <w:p>
      <w:pPr>
        <w:pStyle w:val="ListParagraph"/>
        <w:numPr>
          <w:ilvl w:val="0"/>
          <w:numId w:val="2"/>
        </w:numPr>
        <w:spacing w:after="60"/>
      </w:pPr>
      <w:r>
        <w:rPr>
          <w:rFonts w:ascii="Arial" w:cs="Arial" w:eastAsia="Arial" w:hAnsi="Arial"/>
          <w:sz w:val="22"/>
          <w:szCs w:val="22"/>
        </w:rPr>
        <w:t xml:space="preserve">Union all years (actuals + scenarios).</w:t>
      </w:r>
    </w:p>
    <w:p>
      <w:pPr>
        <w:pStyle w:val="ListParagraph"/>
        <w:numPr>
          <w:ilvl w:val="0"/>
          <w:numId w:val="2"/>
        </w:numPr>
        <w:spacing w:after="60"/>
      </w:pPr>
      <w:r>
        <w:rPr>
          <w:rFonts w:ascii="Arial" w:cs="Arial" w:eastAsia="Arial" w:hAnsi="Arial"/>
          <w:sz w:val="22"/>
          <w:szCs w:val="22"/>
        </w:rPr>
        <w:t xml:space="preserve">For each year build MergedPoint with actual, mgmt, downside, stressBand, stress_* fields.</w:t>
      </w:r>
    </w:p>
    <w:p>
      <w:pPr>
        <w:pStyle w:val="ListParagraph"/>
        <w:numPr>
          <w:ilvl w:val="0"/>
          <w:numId w:val="2"/>
        </w:numPr>
        <w:spacing w:after="60"/>
      </w:pPr>
      <w:r>
        <w:rPr>
          <w:rFonts w:ascii="Arial" w:cs="Arial" w:eastAsia="Arial" w:hAnsi="Arial"/>
          <w:sz w:val="22"/>
          <w:szCs w:val="22"/>
        </w:rPr>
        <w:t xml:space="preserve">stressBand = [min(mgmt, downside), max(mgmt, downside)].</w:t>
      </w:r>
    </w:p>
    <w:p>
      <w:pPr>
        <w:pStyle w:val="ListParagraph"/>
        <w:numPr>
          <w:ilvl w:val="0"/>
          <w:numId w:val="2"/>
        </w:numPr>
        <w:spacing w:after="60"/>
      </w:pPr>
      <w:r>
        <w:rPr>
          <w:rFonts w:ascii="Arial" w:cs="Arial" w:eastAsia="Arial" w:hAnsi="Arial"/>
          <w:sz w:val="22"/>
          <w:szCs w:val="22"/>
        </w:rPr>
        <w:t xml:space="preserve">First/last values: prefer actuals, fall back to mgmt.</w:t>
      </w:r>
    </w:p>
    <w:p>
      <w:pPr>
        <w:pStyle w:val="Heading3"/>
        <w:spacing w:after="80" w:before="180"/>
      </w:pPr>
      <w:r>
        <w:rPr>
          <w:rFonts w:ascii="Arial" w:cs="Arial" w:eastAsia="Arial" w:hAnsi="Arial"/>
          <w:b/>
          <w:bCs/>
          <w:color w:val="263849"/>
          <w:sz w:val="26"/>
          <w:szCs w:val="26"/>
        </w:rPr>
        <w:t xml:space="preserve">Unit detection — regex on label, case-insensitive</w:t>
      </w:r>
    </w:p>
    <w:p>
      <w:pPr>
        <w:spacing w:after="80"/>
      </w:pPr>
      <w:r>
        <w:rPr>
          <w:rFonts w:ascii="Consolas" w:cs="Consolas" w:eastAsia="Consolas" w:hAnsi="Consolas"/>
          <w:color w:val="444444"/>
          <w:sz w:val="20"/>
          <w:szCs w:val="20"/>
        </w:rPr>
        <w:t xml:space="preserve">/%/ | /margin/ | /rate/              → unit="%", suffix="%", digits=1
/million/                            → unit="m", suffix="m", digits=1
/icr/ | /ratio/ | /dscr/ | /llcr/    → unit="x", suffix="x", digits=2
/per pax/ | /gbp/ | /usd/ | /eur/    → unit="£", suffix="", digits=2
default                              → unit="", suffix="", digits=2</w:t>
      </w:r>
    </w:p>
    <w:p>
      <w:pPr>
        <w:pStyle w:val="Heading3"/>
        <w:spacing w:after="80" w:before="180"/>
      </w:pPr>
      <w:r>
        <w:rPr>
          <w:rFonts w:ascii="Arial" w:cs="Arial" w:eastAsia="Arial" w:hAnsi="Arial"/>
          <w:b/>
          <w:bCs/>
          <w:color w:val="263849"/>
          <w:sz w:val="26"/>
          <w:szCs w:val="26"/>
        </w:rPr>
        <w:t xml:space="preserve">Chart render (ComposedChart)</w:t>
      </w:r>
    </w:p>
    <w:p>
      <w:pPr>
        <w:pStyle w:val="ListParagraph"/>
        <w:numPr>
          <w:ilvl w:val="0"/>
          <w:numId w:val="2"/>
        </w:numPr>
        <w:spacing w:after="60"/>
      </w:pPr>
      <w:r>
        <w:rPr>
          <w:rFonts w:ascii="Arial" w:cs="Arial" w:eastAsia="Arial" w:hAnsi="Arial"/>
          <w:sz w:val="22"/>
          <w:szCs w:val="22"/>
        </w:rPr>
        <w:t xml:space="preserve">X-axis: year labels (preserveStartEnd).</w:t>
      </w:r>
    </w:p>
    <w:p>
      <w:pPr>
        <w:pStyle w:val="ListParagraph"/>
        <w:numPr>
          <w:ilvl w:val="0"/>
          <w:numId w:val="2"/>
        </w:numPr>
        <w:spacing w:after="60"/>
      </w:pPr>
      <w:r>
        <w:rPr>
          <w:rFonts w:ascii="Arial" w:cs="Arial" w:eastAsia="Arial" w:hAnsi="Arial"/>
          <w:sz w:val="22"/>
          <w:szCs w:val="22"/>
        </w:rPr>
        <w:t xml:space="preserve">Area: stressBand (low-opacity red fill if hasBand).</w:t>
      </w:r>
    </w:p>
    <w:p>
      <w:pPr>
        <w:pStyle w:val="ListParagraph"/>
        <w:numPr>
          <w:ilvl w:val="0"/>
          <w:numId w:val="2"/>
        </w:numPr>
        <w:spacing w:after="60"/>
      </w:pPr>
      <w:r>
        <w:rPr>
          <w:rFonts w:ascii="Arial" w:cs="Arial" w:eastAsia="Arial" w:hAnsi="Arial"/>
          <w:sz w:val="22"/>
          <w:szCs w:val="22"/>
        </w:rPr>
        <w:t xml:space="preserve">Lines rendered in order: mgmt (dashed soft blue) → downside (dashed red) → single-variant stresses (thin dashed, STRESS_PALETTE) → actual (solid bold, rendered LAST so on top).</w:t>
      </w:r>
    </w:p>
    <w:p>
      <w:pPr>
        <w:pStyle w:val="ListParagraph"/>
        <w:numPr>
          <w:ilvl w:val="0"/>
          <w:numId w:val="2"/>
        </w:numPr>
        <w:spacing w:after="60"/>
      </w:pPr>
      <w:r>
        <w:rPr>
          <w:rFonts w:ascii="Arial" w:cs="Arial" w:eastAsia="Arial" w:hAnsi="Arial"/>
          <w:sz w:val="22"/>
          <w:szCs w:val="22"/>
        </w:rPr>
        <w:t xml:space="preserve">Custom dot on actual: circle, white/red fill based on breach.</w:t>
      </w:r>
    </w:p>
    <w:p>
      <w:pPr>
        <w:pStyle w:val="Heading3"/>
        <w:spacing w:after="80" w:before="180"/>
      </w:pPr>
      <w:r>
        <w:rPr>
          <w:rFonts w:ascii="Arial" w:cs="Arial" w:eastAsia="Arial" w:hAnsi="Arial"/>
          <w:b/>
          <w:bCs/>
          <w:color w:val="263849"/>
          <w:sz w:val="26"/>
          <w:szCs w:val="26"/>
        </w:rPr>
        <w:t xml:space="preserve">Risk attribution footer</w:t>
      </w:r>
    </w:p>
    <w:p>
      <w:pPr>
        <w:pStyle w:val="ListParagraph"/>
        <w:numPr>
          <w:ilvl w:val="0"/>
          <w:numId w:val="2"/>
        </w:numPr>
        <w:spacing w:after="60"/>
      </w:pPr>
      <w:r>
        <w:rPr>
          <w:rFonts w:ascii="Arial" w:cs="Arial" w:eastAsia="Arial" w:hAnsi="Arial"/>
          <w:sz w:val="22"/>
          <w:szCs w:val="22"/>
        </w:rPr>
        <w:t xml:space="preserve">If singleVariantStresses.length &gt; 0: render per-stress label + riskCode.</w:t>
      </w:r>
    </w:p>
    <w:p>
      <w:pPr>
        <w:pStyle w:val="Heading2"/>
        <w:spacing w:after="120" w:before="240"/>
      </w:pPr>
      <w:r>
        <w:rPr>
          <w:rFonts w:ascii="Arial" w:cs="Arial" w:eastAsia="Arial" w:hAnsi="Arial"/>
          <w:b/>
          <w:bCs/>
          <w:color w:val="263849"/>
          <w:sz w:val="30"/>
          <w:szCs w:val="30"/>
        </w:rPr>
        <w:t xml:space="preserve">10.4 /deals/[slug]/distribution/page.tsx</w:t>
      </w:r>
    </w:p>
    <w:p>
      <w:pPr>
        <w:pStyle w:val="Heading3"/>
        <w:spacing w:after="80" w:before="180"/>
      </w:pPr>
      <w:r>
        <w:rPr>
          <w:rFonts w:ascii="Arial" w:cs="Arial" w:eastAsia="Arial" w:hAnsi="Arial"/>
          <w:b/>
          <w:bCs/>
          <w:color w:val="263849"/>
          <w:sz w:val="26"/>
          <w:szCs w:val="26"/>
        </w:rPr>
        <w:t xml:space="preserve">Server component (async, no client state)</w:t>
      </w:r>
    </w:p>
    <w:p>
      <w:pPr>
        <w:pStyle w:val="ListParagraph"/>
        <w:numPr>
          <w:ilvl w:val="0"/>
          <w:numId w:val="2"/>
        </w:numPr>
        <w:spacing w:after="60"/>
      </w:pPr>
      <w:r>
        <w:rPr>
          <w:rFonts w:ascii="Arial" w:cs="Arial" w:eastAsia="Arial" w:hAnsi="Arial"/>
          <w:sz w:val="22"/>
          <w:szCs w:val="22"/>
        </w:rPr>
        <w:t xml:space="preserve">Fetch getDealDistribution(slug).</w:t>
      </w:r>
    </w:p>
    <w:p>
      <w:pPr>
        <w:pStyle w:val="ListParagraph"/>
        <w:numPr>
          <w:ilvl w:val="0"/>
          <w:numId w:val="2"/>
        </w:numPr>
        <w:spacing w:after="60"/>
      </w:pPr>
      <w:r>
        <w:rPr>
          <w:rFonts w:ascii="Arial" w:cs="Arial" w:eastAsia="Arial" w:hAnsi="Arial"/>
          <w:sz w:val="22"/>
          <w:szCs w:val="22"/>
        </w:rPr>
        <w:t xml:space="preserve">If error → notFound() (Next.js 404).</w:t>
      </w:r>
    </w:p>
    <w:p>
      <w:pPr>
        <w:pStyle w:val="Heading3"/>
        <w:spacing w:after="80" w:before="180"/>
      </w:pPr>
      <w:r>
        <w:rPr>
          <w:rFonts w:ascii="Arial" w:cs="Arial" w:eastAsia="Arial" w:hAnsi="Arial"/>
          <w:b/>
          <w:bCs/>
          <w:color w:val="263849"/>
          <w:sz w:val="26"/>
          <w:szCs w:val="26"/>
        </w:rPr>
        <w:t xml:space="preserve">Sections in order</w:t>
      </w:r>
    </w:p>
    <w:p>
      <w:pPr>
        <w:pStyle w:val="ListParagraph"/>
        <w:numPr>
          <w:ilvl w:val="0"/>
          <w:numId w:val="2"/>
        </w:numPr>
        <w:spacing w:after="60"/>
      </w:pPr>
      <w:r>
        <w:rPr>
          <w:rFonts w:ascii="Arial" w:cs="Arial" w:eastAsia="Arial" w:hAnsi="Arial"/>
          <w:sz w:val="22"/>
          <w:szCs w:val="22"/>
        </w:rPr>
        <w:t xml:space="preserve">Hero: title, badges (toneForStatus), buttons (Back to deal, Open period view).</w:t>
      </w:r>
    </w:p>
    <w:p>
      <w:pPr>
        <w:pStyle w:val="ListParagraph"/>
        <w:numPr>
          <w:ilvl w:val="0"/>
          <w:numId w:val="2"/>
        </w:numPr>
        <w:spacing w:after="60"/>
      </w:pPr>
      <w:r>
        <w:rPr>
          <w:rFonts w:ascii="Arial" w:cs="Arial" w:eastAsia="Arial" w:hAnsi="Arial"/>
          <w:sz w:val="22"/>
          <w:szCs w:val="22"/>
        </w:rPr>
        <w:t xml:space="preserve">Summary stats card: status / blockers / permitted capacity / cash trap.</w:t>
      </w:r>
    </w:p>
    <w:p>
      <w:pPr>
        <w:pStyle w:val="ListParagraph"/>
        <w:numPr>
          <w:ilvl w:val="0"/>
          <w:numId w:val="2"/>
        </w:numPr>
        <w:spacing w:after="60"/>
      </w:pPr>
      <w:r>
        <w:rPr>
          <w:rFonts w:ascii="Arial" w:cs="Arial" w:eastAsia="Arial" w:hAnsi="Arial"/>
          <w:sz w:val="22"/>
          <w:szCs w:val="22"/>
        </w:rPr>
        <w:t xml:space="preserve">Metric grid: assessment date / deal grade / covenant status / senior DSCR / lock-up / headroom.</w:t>
      </w:r>
    </w:p>
    <w:p>
      <w:pPr>
        <w:pStyle w:val="ListParagraph"/>
        <w:numPr>
          <w:ilvl w:val="0"/>
          <w:numId w:val="2"/>
        </w:numPr>
        <w:spacing w:after="60"/>
      </w:pPr>
      <w:r>
        <w:rPr>
          <w:rFonts w:ascii="Arial" w:cs="Arial" w:eastAsia="Arial" w:hAnsi="Arial"/>
          <w:sz w:val="22"/>
          <w:szCs w:val="22"/>
        </w:rPr>
        <w:t xml:space="preserve">Decision drivers panel: failedConditions[] mapped to cards with label + status badge + detail + code, or empty state.</w:t>
      </w:r>
    </w:p>
    <w:p>
      <w:pPr>
        <w:pStyle w:val="Heading2"/>
        <w:spacing w:after="120" w:before="240"/>
      </w:pPr>
      <w:r>
        <w:rPr>
          <w:rFonts w:ascii="Arial" w:cs="Arial" w:eastAsia="Arial" w:hAnsi="Arial"/>
          <w:b/>
          <w:bCs/>
          <w:color w:val="263849"/>
          <w:sz w:val="30"/>
          <w:szCs w:val="30"/>
        </w:rPr>
        <w:t xml:space="preserve">10.5 capital-stack.tsx (server component fragment)</w:t>
      </w:r>
    </w:p>
    <w:p>
      <w:pPr>
        <w:pStyle w:val="Heading3"/>
        <w:spacing w:after="80" w:before="180"/>
      </w:pPr>
      <w:r>
        <w:rPr>
          <w:rFonts w:ascii="Arial" w:cs="Arial" w:eastAsia="Arial" w:hAnsi="Arial"/>
          <w:b/>
          <w:bCs/>
          <w:color w:val="263849"/>
          <w:sz w:val="26"/>
          <w:szCs w:val="26"/>
        </w:rPr>
        <w:t xml:space="preserve">Layer visualisation</w:t>
      </w:r>
    </w:p>
    <w:p>
      <w:pPr>
        <w:pStyle w:val="ListParagraph"/>
        <w:numPr>
          <w:ilvl w:val="0"/>
          <w:numId w:val="2"/>
        </w:numPr>
        <w:spacing w:after="60"/>
      </w:pPr>
      <w:r>
        <w:rPr>
          <w:rFonts w:ascii="Arial" w:cs="Arial" w:eastAsia="Arial" w:hAnsi="Arial"/>
          <w:sz w:val="22"/>
          <w:szCs w:val="22"/>
        </w:rPr>
        <w:t xml:space="preserve">visualLayers = data.layers sorted by rank ascending (senior first).</w:t>
      </w:r>
    </w:p>
    <w:p>
      <w:pPr>
        <w:pStyle w:val="ListParagraph"/>
        <w:numPr>
          <w:ilvl w:val="0"/>
          <w:numId w:val="2"/>
        </w:numPr>
        <w:spacing w:after="60"/>
      </w:pPr>
      <w:r>
        <w:rPr>
          <w:rFonts w:ascii="Arial" w:cs="Arial" w:eastAsia="Arial" w:hAnsi="Arial"/>
          <w:sz w:val="22"/>
          <w:szCs w:val="22"/>
        </w:rPr>
        <w:t xml:space="preserve">Per layer: label ("Senior secured" rank 1 or "Subordinated (rank N)"), entity, total, our holding, rank, color (rankColor function), % of EV if hasEv, residual after debt.</w:t>
      </w:r>
    </w:p>
    <w:p>
      <w:pPr>
        <w:pStyle w:val="ListParagraph"/>
        <w:numPr>
          <w:ilvl w:val="0"/>
          <w:numId w:val="2"/>
        </w:numPr>
        <w:spacing w:after="60"/>
      </w:pPr>
      <w:r>
        <w:rPr>
          <w:rFonts w:ascii="Arial" w:cs="Arial" w:eastAsia="Arial" w:hAnsi="Arial"/>
          <w:sz w:val="22"/>
          <w:szCs w:val="22"/>
        </w:rPr>
        <w:t xml:space="preserve">If hasEv: append residual equity as top-most layer.</w:t>
      </w:r>
    </w:p>
    <w:p>
      <w:pPr>
        <w:pStyle w:val="Heading3"/>
        <w:spacing w:after="80" w:before="180"/>
      </w:pPr>
      <w:r>
        <w:rPr>
          <w:rFonts w:ascii="Arial" w:cs="Arial" w:eastAsia="Arial" w:hAnsi="Arial"/>
          <w:b/>
          <w:bCs/>
          <w:color w:val="263849"/>
          <w:sz w:val="26"/>
          <w:szCs w:val="26"/>
        </w:rPr>
        <w:t xml:space="preserve">EBITDA derivation (lines 119–133)</w:t>
      </w:r>
    </w:p>
    <w:p>
      <w:pPr>
        <w:spacing w:after="80"/>
      </w:pPr>
      <w:r>
        <w:rPr>
          <w:rFonts w:ascii="Consolas" w:cs="Consolas" w:eastAsia="Consolas" w:hAnsi="Consolas"/>
          <w:color w:val="444444"/>
          <w:sz w:val="20"/>
          <w:szCs w:val="20"/>
        </w:rPr>
        <w:t xml:space="preserve">if consolidated_leverage_x and consolidated_debt_total:
    ebitda = consolidated_debt_total / consolidated_leverage_x
cumulative = 0
for layer in layers sorted by rank:
    cumulative += debt_total
    ndByRank[rank] = cumulative / ebitda</w:t>
      </w:r>
    </w:p>
    <w:p>
      <w:pPr>
        <w:pStyle w:val="Heading3"/>
        <w:spacing w:after="80" w:before="180"/>
      </w:pPr>
      <w:r>
        <w:rPr>
          <w:rFonts w:ascii="Arial" w:cs="Arial" w:eastAsia="Arial" w:hAnsi="Arial"/>
          <w:b/>
          <w:bCs/>
          <w:color w:val="263849"/>
          <w:sz w:val="26"/>
          <w:szCs w:val="26"/>
        </w:rPr>
        <w:t xml:space="preserve">Formatting</w:t>
      </w:r>
    </w:p>
    <w:p>
      <w:pPr>
        <w:pStyle w:val="ListParagraph"/>
        <w:numPr>
          <w:ilvl w:val="0"/>
          <w:numId w:val="2"/>
        </w:numPr>
        <w:spacing w:after="60"/>
      </w:pPr>
      <w:r>
        <w:rPr>
          <w:rFonts w:ascii="Arial" w:cs="Arial" w:eastAsia="Arial" w:hAnsi="Arial"/>
          <w:sz w:val="22"/>
          <w:szCs w:val="22"/>
        </w:rPr>
        <w:t xml:space="preserve">fmtMillions(amount, ccy) → "{sym}{m}m"</w:t>
      </w:r>
    </w:p>
    <w:p>
      <w:pPr>
        <w:pStyle w:val="ListParagraph"/>
        <w:numPr>
          <w:ilvl w:val="0"/>
          <w:numId w:val="2"/>
        </w:numPr>
        <w:spacing w:after="60"/>
      </w:pPr>
      <w:r>
        <w:rPr>
          <w:rFonts w:ascii="Arial" w:cs="Arial" w:eastAsia="Arial" w:hAnsi="Arial"/>
          <w:sz w:val="22"/>
          <w:szCs w:val="22"/>
        </w:rPr>
        <w:t xml:space="preserve">fmtX(nd) → "{n.toFixed(2)}x" or "—"</w:t>
      </w:r>
    </w:p>
    <w:p>
      <w:pPr>
        <w:pStyle w:val="ListParagraph"/>
        <w:numPr>
          <w:ilvl w:val="0"/>
          <w:numId w:val="2"/>
        </w:numPr>
        <w:spacing w:after="60"/>
      </w:pPr>
      <w:r>
        <w:rPr>
          <w:rFonts w:ascii="Arial" w:cs="Arial" w:eastAsia="Arial" w:hAnsi="Arial"/>
          <w:sz w:val="22"/>
          <w:szCs w:val="22"/>
        </w:rPr>
        <w:t xml:space="preserve">fmtPct(pct) → "{n.toFixed(1)}%"</w:t>
      </w:r>
    </w:p>
    <w:p>
      <w:pPr>
        <w:pStyle w:val="Heading3"/>
        <w:spacing w:after="80" w:before="180"/>
      </w:pPr>
      <w:r>
        <w:rPr>
          <w:rFonts w:ascii="Arial" w:cs="Arial" w:eastAsia="Arial" w:hAnsi="Arial"/>
          <w:b/>
          <w:bCs/>
          <w:color w:val="263849"/>
          <w:sz w:val="26"/>
          <w:szCs w:val="26"/>
        </w:rPr>
        <w:t xml:space="preserve">rankColor function</w:t>
      </w:r>
    </w:p>
    <w:p>
      <w:pPr>
        <w:pStyle w:val="ListParagraph"/>
        <w:numPr>
          <w:ilvl w:val="0"/>
          <w:numId w:val="2"/>
        </w:numPr>
        <w:spacing w:after="60"/>
      </w:pPr>
      <w:r>
        <w:rPr>
          <w:rFonts w:ascii="Arial" w:cs="Arial" w:eastAsia="Arial" w:hAnsi="Arial"/>
          <w:sz w:val="22"/>
          <w:szCs w:val="22"/>
        </w:rPr>
        <w:t xml:space="preserve">Rank 1: darker blue.</w:t>
      </w:r>
    </w:p>
    <w:p>
      <w:pPr>
        <w:pStyle w:val="ListParagraph"/>
        <w:numPr>
          <w:ilvl w:val="0"/>
          <w:numId w:val="2"/>
        </w:numPr>
        <w:spacing w:after="60"/>
      </w:pPr>
      <w:r>
        <w:rPr>
          <w:rFonts w:ascii="Arial" w:cs="Arial" w:eastAsia="Arial" w:hAnsi="Arial"/>
          <w:sz w:val="22"/>
          <w:szCs w:val="22"/>
        </w:rPr>
        <w:t xml:space="preserve">Rank 2: orange.</w:t>
      </w:r>
    </w:p>
    <w:p>
      <w:pPr>
        <w:pStyle w:val="ListParagraph"/>
        <w:numPr>
          <w:ilvl w:val="0"/>
          <w:numId w:val="2"/>
        </w:numPr>
        <w:spacing w:after="60"/>
      </w:pPr>
      <w:r>
        <w:rPr>
          <w:rFonts w:ascii="Arial" w:cs="Arial" w:eastAsia="Arial" w:hAnsi="Arial"/>
          <w:sz w:val="22"/>
          <w:szCs w:val="22"/>
        </w:rPr>
        <w:t xml:space="preserve">Rank 3: red.</w:t>
      </w:r>
    </w:p>
    <w:p>
      <w:pPr>
        <w:pStyle w:val="Heading1"/>
        <w:pageBreakBefore/>
        <w:spacing w:after="180" w:before="240"/>
      </w:pPr>
      <w:r>
        <w:rPr>
          <w:rFonts w:ascii="Arial" w:cs="Arial" w:eastAsia="Arial" w:hAnsi="Arial"/>
          <w:b/>
          <w:bCs/>
          <w:color w:val="1F6FA5"/>
          <w:sz w:val="40"/>
          <w:szCs w:val="40"/>
        </w:rPr>
        <w:t xml:space="preserve">Closing</w:t>
      </w:r>
    </w:p>
    <w:p>
      <w:pPr>
        <w:spacing w:after="140" w:line="280"/>
        <w:jc w:val="both"/>
      </w:pPr>
      <w:r>
        <w:rPr>
          <w:rFonts w:ascii="Arial" w:cs="Arial" w:eastAsia="Arial" w:hAnsi="Arial"/>
          <w:sz w:val="22"/>
          <w:szCs w:val="22"/>
        </w:rPr>
        <w:t xml:space="preserve">This addendum closes the 10 identified gaps in the end-state description. Together with the integrated specification, it represents everything the extraction agents could pull out of the current code. Remaining TBDs are genuine unfinished-specification items in the code, not documentation gaps.</w:t>
      </w:r>
    </w:p>
    <w:p>
      <w:pPr>
        <w:pStyle w:val="Heading2"/>
        <w:spacing w:after="120" w:before="240"/>
      </w:pPr>
      <w:r>
        <w:rPr>
          <w:rFonts w:ascii="Arial" w:cs="Arial" w:eastAsia="Arial" w:hAnsi="Arial"/>
          <w:b/>
          <w:bCs/>
          <w:color w:val="263849"/>
          <w:sz w:val="30"/>
          <w:szCs w:val="30"/>
        </w:rPr>
        <w:t xml:space="preserve">Notable corrections against the integrated spec</w:t>
      </w:r>
    </w:p>
    <w:p>
      <w:pPr>
        <w:pStyle w:val="ListParagraph"/>
        <w:numPr>
          <w:ilvl w:val="0"/>
          <w:numId w:val="2"/>
        </w:numPr>
        <w:spacing w:after="60"/>
      </w:pPr>
      <w:r>
        <w:rPr>
          <w:rFonts w:ascii="Arial" w:cs="Arial" w:eastAsia="Arial" w:hAnsi="Arial"/>
          <w:sz w:val="22"/>
          <w:szCs w:val="22"/>
        </w:rPr>
        <w:t xml:space="preserve">Server framework is FastAPI (on Starlette), not Starlette. Functionally equivalent for this use-case.</w:t>
      </w:r>
    </w:p>
    <w:p>
      <w:pPr>
        <w:pStyle w:val="ListParagraph"/>
        <w:numPr>
          <w:ilvl w:val="0"/>
          <w:numId w:val="2"/>
        </w:numPr>
        <w:spacing w:after="60"/>
      </w:pPr>
      <w:r>
        <w:rPr>
          <w:rFonts w:ascii="Arial" w:cs="Arial" w:eastAsia="Arial" w:hAnsi="Arial"/>
          <w:sz w:val="22"/>
          <w:szCs w:val="22"/>
        </w:rPr>
        <w:t xml:space="preserve">Only 7 deals seeded in init.sql — remaining 5+ loaded via scripts/ingest-*.py.</w:t>
      </w:r>
    </w:p>
    <w:p>
      <w:pPr>
        <w:pStyle w:val="ListParagraph"/>
        <w:numPr>
          <w:ilvl w:val="0"/>
          <w:numId w:val="2"/>
        </w:numPr>
        <w:spacing w:after="60"/>
      </w:pPr>
      <w:r>
        <w:rPr>
          <w:rFonts w:ascii="Arial" w:cs="Arial" w:eastAsia="Arial" w:hAnsi="Arial"/>
          <w:sz w:val="22"/>
          <w:szCs w:val="22"/>
        </w:rPr>
        <w:t xml:space="preserve">obligation_taxonomy appears empty on init.sql alone — scripts/seed-obligation-taxonomy.py must be run to populate its 250+ rows.</w:t>
      </w:r>
    </w:p>
    <w:p>
      <w:pPr>
        <w:pStyle w:val="ListParagraph"/>
        <w:numPr>
          <w:ilvl w:val="0"/>
          <w:numId w:val="2"/>
        </w:numPr>
        <w:spacing w:after="60"/>
      </w:pPr>
      <w:r>
        <w:rPr>
          <w:rFonts w:ascii="Arial" w:cs="Arial" w:eastAsia="Arial" w:hAnsi="Arial"/>
          <w:sz w:val="22"/>
          <w:szCs w:val="22"/>
        </w:rPr>
        <w:t xml:space="preserve">v_topsheet_field_audit_status referenced in spec but not present in DDL — either add to migrations or remove reference.</w:t>
      </w:r>
    </w:p>
    <w:p>
      <w:pPr>
        <w:pStyle w:val="ListParagraph"/>
        <w:numPr>
          <w:ilvl w:val="0"/>
          <w:numId w:val="2"/>
        </w:numPr>
        <w:spacing w:after="60"/>
      </w:pPr>
      <w:r>
        <w:rPr>
          <w:rFonts w:ascii="Arial" w:cs="Arial" w:eastAsia="Arial" w:hAnsi="Arial"/>
          <w:sz w:val="22"/>
          <w:szCs w:val="22"/>
        </w:rPr>
        <w:t xml:space="preserve">No DEMO_USER env var exists — viewer cookie (VIEWER_COOKIE_NAME) is the actual demo-auth mechanism.</w:t>
      </w:r>
    </w:p>
    <w:p>
      <w:pPr>
        <w:pStyle w:val="ListParagraph"/>
        <w:numPr>
          <w:ilvl w:val="0"/>
          <w:numId w:val="2"/>
        </w:numPr>
        <w:spacing w:after="60"/>
      </w:pPr>
      <w:r>
        <w:rPr>
          <w:rFonts w:ascii="Arial" w:cs="Arial" w:eastAsia="Arial" w:hAnsi="Arial"/>
          <w:sz w:val="22"/>
          <w:szCs w:val="22"/>
        </w:rPr>
        <w:t xml:space="preserve">integrated spec described "12 demo deals" — this is the intended-state count, not the init.sql-seed count.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718A"/>
        <w:sz w:val="18"/>
        <w:szCs w:val="18"/>
      </w:rPr>
      <w:t xml:space="preserve">Page </w:t>
    </w:r>
    <w:r>
      <w:rPr>
        <w:rFonts w:ascii="Arial" w:cs="Arial" w:eastAsia="Arial" w:hAnsi="Arial"/>
        <w:color w:val="5671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6718A"/>
        <w:sz w:val="18"/>
        <w:szCs w:val="18"/>
      </w:rPr>
      <w:t xml:space="preserve">Integrated Spec Addendum A  ·  Sesame Street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6FA5"/>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263849"/>
      <w:sz w:val="30"/>
      <w:szCs w:val="30"/>
    </w:rPr>
  </w:style>
  <w:style w:type="paragraph" w:styleId="Heading3">
    <w:name w:val="Heading 3"/>
    <w:basedOn w:val="Normal"/>
    <w:next w:val="Normal"/>
    <w:qFormat/>
    <w:pPr>
      <w:spacing w:after="80" w:before="160"/>
      <w:outlineLvl w:val="2"/>
    </w:pPr>
    <w:rPr>
      <w:rFonts w:ascii="Arial" w:cs="Arial" w:eastAsia="Arial" w:hAnsi="Arial"/>
      <w:b/>
      <w:bCs/>
      <w:color w:val="263849"/>
      <w:sz w:val="26"/>
      <w:szCs w:val="26"/>
    </w:rPr>
  </w:style>
  <w:style w:type="paragraph" w:styleId="Heading4">
    <w:name w:val="Heading 4"/>
    <w:basedOn w:val="Normal"/>
    <w:next w:val="Normal"/>
    <w:qFormat/>
    <w:pPr>
      <w:spacing w:after="60" w:before="120"/>
      <w:outlineLvl w:val="3"/>
    </w:pPr>
    <w:rPr>
      <w:rFonts w:ascii="Arial" w:cs="Arial" w:eastAsia="Arial" w:hAnsi="Arial"/>
      <w:b/>
      <w:bCs/>
      <w:i/>
      <w:iCs/>
      <w:color w:val="5671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2026-04-19T00:28:55.847Z</dcterms:created>
  <dcterms:modified xsi:type="dcterms:W3CDTF">2026-04-19T00:28:55.850Z</dcterms:modified>
</cp:coreProperties>
</file>

<file path=docProps/custom.xml><?xml version="1.0" encoding="utf-8"?>
<Properties xmlns="http://schemas.openxmlformats.org/officeDocument/2006/custom-properties" xmlns:vt="http://schemas.openxmlformats.org/officeDocument/2006/docPropsVTypes"/>
</file>