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888888"/>
          <w:spacing w:val="40"/>
          <w:sz w:val="18"/>
          <w:szCs w:val="18"/>
        </w:rPr>
        <w:t xml:space="preserve">SESAME STREET  —  SCENARIO ANALYSIS</w:t>
      </w:r>
    </w:p>
    <w:p>
      <w:pPr>
        <w:spacing w:after="80"/>
      </w:pPr>
      <w:r>
        <w:rPr>
          <w:rFonts w:ascii="Arial" w:cs="Arial" w:eastAsia="Arial" w:hAnsi="Arial"/>
          <w:b/>
          <w:bCs/>
          <w:color w:val="1F6FA5"/>
          <w:sz w:val="40"/>
          <w:szCs w:val="40"/>
        </w:rPr>
        <w:t xml:space="preserve">Capital Stack — GIP-Secured MidCo Variant</w:t>
      </w:r>
    </w:p>
    <w:p>
      <w:pPr>
        <w:spacing w:after="240"/>
      </w:pPr>
      <w:r>
        <w:rPr>
          <w:rFonts w:ascii="Arial" w:cs="Arial" w:eastAsia="Arial" w:hAnsi="Arial"/>
          <w:i/>
          <w:iCs/>
          <w:color w:val="666666"/>
          <w:sz w:val="22"/>
          <w:szCs w:val="22"/>
        </w:rPr>
        <w:t xml:space="preserve">Gatwick Airport  ·  Hypothetical scenario  ·  For review</w:t>
      </w:r>
    </w:p>
    <w:p>
      <w:pPr>
        <w:pBdr>
          <w:top w:val="single" w:color="C97F1F" w:sz="6" w:space="4"/>
          <w:bottom w:val="single" w:color="C97F1F" w:sz="6" w:space="4"/>
        </w:pBdr>
        <w:shd w:fill="FFF7E0" w:val="clear"/>
        <w:spacing w:after="120" w:before="0"/>
      </w:pPr>
      <w:r>
        <w:rPr>
          <w:rFonts w:ascii="Arial" w:cs="Arial" w:eastAsia="Arial" w:hAnsi="Arial"/>
          <w:b/>
          <w:bCs/>
          <w:color w:val="C97F1F"/>
          <w:sz w:val="20"/>
          <w:szCs w:val="20"/>
        </w:rPr>
        <w:t xml:space="preserve">Scenario: </w:t>
      </w:r>
      <w:r>
        <w:rPr>
          <w:rFonts w:ascii="Arial" w:cs="Arial" w:eastAsia="Arial" w:hAnsi="Arial"/>
          <w:sz w:val="20"/>
          <w:szCs w:val="20"/>
        </w:rPr>
        <w:t xml:space="preserve">This document is a hypothetical variant of the Rev.2 Gatwick worked example. The actual Gatwick structure has a MidCo (GAF plc) with a £475m 6% 2030 bond that ranks above the shareholders and is effectively backed by both shareholders’ stakes pro-rata. In this variant we assume the £475m debt sits instead at a GIP-specific holding vehicle and is secured only on GIP’s 49.99% shareholding. VINCI’s 50.01% stake is unencumbered. This is a common pattern for shareholder-level NAV financings.</w:t>
      </w:r>
    </w:p>
    <w:p>
      <w:pPr>
        <w:spacing w:after="120"/>
      </w:pPr>
      <w:r>
        <w:rPr>
          <w:rFonts w:ascii="Arial" w:cs="Arial" w:eastAsia="Arial" w:hAnsi="Arial"/>
          <w:sz w:val="22"/>
          <w:szCs w:val="22"/>
        </w:rPr>
        <w:t xml:space="preserve"/>
      </w:r>
    </w:p>
    <w:p>
      <w:pPr>
        <w:pStyle w:val="Heading2"/>
        <w:spacing w:after="120" w:before="200"/>
      </w:pPr>
      <w:r>
        <w:rPr>
          <w:rFonts w:ascii="Arial" w:cs="Arial" w:eastAsia="Arial" w:hAnsi="Arial"/>
          <w:b/>
          <w:bCs/>
          <w:color w:val="1F6FA5"/>
          <w:sz w:val="26"/>
          <w:szCs w:val="26"/>
        </w:rPr>
        <w:t xml:space="preserve">Purpose</w:t>
      </w:r>
    </w:p>
    <w:p>
      <w:pPr>
        <w:spacing w:after="120"/>
      </w:pPr>
      <w:r>
        <w:rPr>
          <w:rFonts w:ascii="Arial" w:cs="Arial" w:eastAsia="Arial" w:hAnsi="Arial"/>
          <w:sz w:val="22"/>
          <w:szCs w:val="22"/>
        </w:rPr>
        <w:t xml:space="preserve">The purpose of this variant is to demonstrate how the Capital Stack engine must handle debt that sits outside the consolidated deal group. The same OpCo senior debt (£3,364.6m Class A bonds) and the same OpCo Enterprise Value (£6,500m) apply. What changes is: (a) the £475m of MidCo-level debt moves out of the consolidated chain into a GIP-specific SPV, (b) the security package is limited to GIP’s 49.99% stake, and (c) the shareholder positions become asymmetric.</w:t>
      </w:r>
    </w:p>
    <w:p>
      <w:pPr>
        <w:pStyle w:val="Heading2"/>
        <w:spacing w:after="120" w:before="200"/>
      </w:pPr>
      <w:r>
        <w:rPr>
          <w:rFonts w:ascii="Arial" w:cs="Arial" w:eastAsia="Arial" w:hAnsi="Arial"/>
          <w:b/>
          <w:bCs/>
          <w:color w:val="1F6FA5"/>
          <w:sz w:val="26"/>
          <w:szCs w:val="26"/>
        </w:rPr>
        <w:t xml:space="preserve">1. Corporate structure</w:t>
      </w:r>
    </w:p>
    <w:p>
      <w:pPr>
        <w:spacing w:after="120"/>
      </w:pPr>
      <w:r>
        <w:rPr>
          <w:rFonts w:ascii="Arial" w:cs="Arial" w:eastAsia="Arial" w:hAnsi="Arial"/>
          <w:sz w:val="22"/>
          <w:szCs w:val="22"/>
        </w:rPr>
        <w:t xml:space="preserve">The GAF MidCo shell is retained as a common holding layer, but now carries no external debt. A new entity — GIP Gatwick Holdings Ltd — sits in parallel and holds GIP’s 49.99% stake. The £475m NAV facility is at this GIP-only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500"/>
        <w:gridCol w:w="2660"/>
      </w:tblGrid>
      <w:tr>
        <w:trPr>
          <w:tblHeader/>
        </w:trPr>
        <w:tc>
          <w:tcPr>
            <w:tcW w:type="dxa" w:w="3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Entity</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Role</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Jurisdiction</w:t>
            </w:r>
          </w:p>
        </w:tc>
        <w:tc>
          <w:tcPr>
            <w:tcW w:type="dxa" w:w="2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Parent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Gatwick Airport Limited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OpCo (asset)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GB</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Ivy Holdco Limited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Gatwick Funding Limited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Issuer SPV</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GB</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Ivy Holdco Limited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Ivy Holdco Limited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BidCo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GB</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GAF plc</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Gatwick Airport Finance plc (GAF)</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MidCo (common)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GB</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VINCI Airports 50.01 / GIP Gatwick Holdings 49.99</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VINCI Airports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HoldCo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VINCI SA</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GIP Gatwick Holdings Ltd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MidCo (GIP-only) — £475m debt here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GB</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GIP / Blackrock funds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Global Infrastructure Partners (Blackrock)</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Ultimate parent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VINCI SA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Ultimate parent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r>
    </w:tbl>
    <w:p>
      <w:pPr>
        <w:spacing w:after="120"/>
      </w:pPr>
      <w:r>
        <w:rPr>
          <w:rFonts w:ascii="Arial" w:cs="Arial" w:eastAsia="Arial" w:hAnsi="Arial"/>
          <w:sz w:val="22"/>
          <w:szCs w:val="22"/>
        </w:rPr>
        <w:t xml:space="preserve"/>
      </w:r>
    </w:p>
    <w:p>
      <w:pPr>
        <w:pStyle w:val="Heading2"/>
        <w:spacing w:after="120" w:before="200"/>
      </w:pPr>
      <w:r>
        <w:rPr>
          <w:rFonts w:ascii="Arial" w:cs="Arial" w:eastAsia="Arial" w:hAnsi="Arial"/>
          <w:b/>
          <w:bCs/>
          <w:color w:val="1F6FA5"/>
          <w:sz w:val="26"/>
          <w:szCs w:val="26"/>
        </w:rPr>
        <w:t xml:space="preserve">2. Debt inventory</w:t>
      </w:r>
    </w:p>
    <w:p>
      <w:pPr>
        <w:pStyle w:val="Heading3"/>
        <w:spacing w:after="100" w:before="180"/>
      </w:pPr>
      <w:r>
        <w:rPr>
          <w:rFonts w:ascii="Arial" w:cs="Arial" w:eastAsia="Arial" w:hAnsi="Arial"/>
          <w:b/>
          <w:bCs/>
          <w:sz w:val="22"/>
          <w:szCs w:val="22"/>
        </w:rPr>
        <w:t xml:space="preserve">OpCo / Issuer debt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300"/>
        <w:gridCol w:w="1300"/>
        <w:gridCol w:w="2060"/>
      </w:tblGrid>
      <w:tr>
        <w:trPr>
          <w:tblHeader/>
        </w:trPr>
        <w:tc>
          <w:tcPr>
            <w:tcW w:type="dxa" w:w="3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Layer</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Total (£m)</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Our holding (£m)</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 of OpCo EV</w:t>
            </w:r>
          </w:p>
        </w:tc>
        <w:tc>
          <w:tcPr>
            <w:tcW w:type="dxa" w:w="20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Priority</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 A bonds — 11 tranches, pari-passu</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3,364.6</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bCs/>
                <w:color w:val="1F6FA5"/>
                <w:sz w:val="20"/>
                <w:szCs w:val="20"/>
              </w:rPr>
              <w:t xml:space="preserve">125.0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51.8%</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bCs/>
                <w:color w:val="1F6FA5"/>
                <w:sz w:val="20"/>
                <w:szCs w:val="20"/>
              </w:rPr>
              <w:t xml:space="preserve">Rank 1 (our position)</w:t>
            </w:r>
          </w:p>
        </w:tc>
      </w:tr>
    </w:tbl>
    <w:p>
      <w:pPr>
        <w:spacing w:after="120"/>
      </w:pPr>
      <w:r>
        <w:rPr>
          <w:rFonts w:ascii="Arial" w:cs="Arial" w:eastAsia="Arial" w:hAnsi="Arial"/>
          <w:sz w:val="22"/>
          <w:szCs w:val="22"/>
        </w:rPr>
        <w:t xml:space="preserve"/>
      </w:r>
    </w:p>
    <w:p>
      <w:pPr>
        <w:pStyle w:val="Heading3"/>
        <w:spacing w:after="100" w:before="180"/>
      </w:pPr>
      <w:r>
        <w:rPr>
          <w:rFonts w:ascii="Arial" w:cs="Arial" w:eastAsia="Arial" w:hAnsi="Arial"/>
          <w:b/>
          <w:bCs/>
          <w:sz w:val="22"/>
          <w:szCs w:val="22"/>
        </w:rPr>
        <w:t xml:space="preserve">GIP-level debt (new in this scenario)</w:t>
      </w:r>
    </w:p>
    <w:p>
      <w:pPr>
        <w:spacing w:after="120"/>
      </w:pPr>
      <w:r>
        <w:rPr>
          <w:rFonts w:ascii="Arial" w:cs="Arial" w:eastAsia="Arial" w:hAnsi="Arial"/>
          <w:sz w:val="22"/>
          <w:szCs w:val="22"/>
        </w:rPr>
        <w:t xml:space="preserve">Secured only on GIP Gatwick Holdings Ltd’s 49.99% stake in GAF. Not within the CTA ring-fence. Not an obligation of VINCI, GAF, Ivy Holdco, or the OpCo/Issuer.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300"/>
        <w:gridCol w:w="1300"/>
        <w:gridCol w:w="2060"/>
      </w:tblGrid>
      <w:tr>
        <w:trPr>
          <w:tblHeader/>
        </w:trPr>
        <w:tc>
          <w:tcPr>
            <w:tcW w:type="dxa" w:w="3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Layer</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Total (£m)</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Our holding (£m)</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 of GIP stake</w:t>
            </w:r>
          </w:p>
        </w:tc>
        <w:tc>
          <w:tcPr>
            <w:tcW w:type="dxa" w:w="20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Priority</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GIP Gatwick Holdings — £475m NAV facility</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475.0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0.0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30.3%</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C97F1F"/>
                <w:sz w:val="20"/>
                <w:szCs w:val="20"/>
              </w:rPr>
              <w:t xml:space="preserve">Rank 1 at GIP only</w:t>
            </w:r>
          </w:p>
        </w:tc>
      </w:tr>
    </w:tbl>
    <w:p>
      <w:pPr>
        <w:spacing w:after="120"/>
      </w:pPr>
      <w:r>
        <w:rPr>
          <w:rFonts w:ascii="Arial" w:cs="Arial" w:eastAsia="Arial" w:hAnsi="Arial"/>
          <w:sz w:val="22"/>
          <w:szCs w:val="22"/>
        </w:rPr>
        <w:t xml:space="preserve"/>
      </w:r>
    </w:p>
    <w:p>
      <w:pPr>
        <w:pStyle w:val="Heading2"/>
        <w:spacing w:after="120" w:before="200"/>
      </w:pPr>
      <w:r>
        <w:rPr>
          <w:rFonts w:ascii="Arial" w:cs="Arial" w:eastAsia="Arial" w:hAnsi="Arial"/>
          <w:b/>
          <w:bCs/>
          <w:color w:val="1F6FA5"/>
          <w:sz w:val="26"/>
          <w:szCs w:val="26"/>
        </w:rPr>
        <w:t xml:space="preserve">3. Valuation (unchanged from Rev.2)</w:t>
      </w:r>
    </w:p>
    <w:p>
      <w:pPr>
        <w:spacing w:after="120"/>
      </w:pPr>
      <w:r>
        <w:rPr>
          <w:rFonts w:ascii="Arial" w:cs="Arial" w:eastAsia="Arial" w:hAnsi="Arial"/>
          <w:sz w:val="22"/>
          <w:szCs w:val="22"/>
        </w:rPr>
        <w:t xml:space="preserve">OpCo Enterprise Value assumed £6,500m (FY2024 EBITDA £571m × ∼11.4×). The GIP NAV facility is advanced against 30.3% of the estimated value of GIP’s gross stake (£475m / £1,567m gross equity).</w:t>
      </w:r>
    </w:p>
    <w:p>
      <w:pPr>
        <w:pStyle w:val="Heading2"/>
        <w:spacing w:after="120" w:before="200"/>
      </w:pPr>
      <w:r>
        <w:rPr>
          <w:rFonts w:ascii="Arial" w:cs="Arial" w:eastAsia="Arial" w:hAnsi="Arial"/>
          <w:b/>
          <w:bCs/>
          <w:color w:val="1F6FA5"/>
          <w:sz w:val="26"/>
          <w:szCs w:val="26"/>
        </w:rPr>
        <w:t xml:space="preserve">4. The walked capital stack</w:t>
      </w:r>
    </w:p>
    <w:p>
      <w:pPr>
        <w:spacing w:after="120"/>
      </w:pPr>
      <w:r>
        <w:rPr>
          <w:rFonts w:ascii="Arial" w:cs="Arial" w:eastAsia="Arial" w:hAnsi="Arial"/>
          <w:sz w:val="22"/>
          <w:szCs w:val="22"/>
        </w:rPr>
        <w:t xml:space="preserve">Walked bottom-up from the operating asset. Note that below the Class A line, the stack is no longer purely sequential — the GIP NAV debt sits in a parallel claim pool, not stacked above or below the other layers in the same sense.</w:t>
      </w:r>
    </w:p>
    <w:p>
      <w:pPr>
        <w:pStyle w:val="Heading3"/>
        <w:spacing w:after="100" w:before="180"/>
      </w:pPr>
      <w:r>
        <w:rPr>
          <w:rFonts w:ascii="Arial" w:cs="Arial" w:eastAsia="Arial" w:hAnsi="Arial"/>
          <w:b/>
          <w:bCs/>
          <w:sz w:val="22"/>
          <w:szCs w:val="22"/>
        </w:rPr>
        <w:t xml:space="preserve">Step 1 — OpCo / Issuer (CTA ring-fenced group)</w:t>
      </w:r>
    </w:p>
    <w:p>
      <w:pPr>
        <w:pStyle w:val="ListParagraph"/>
        <w:numPr>
          <w:ilvl w:val="0"/>
          <w:numId w:val="2"/>
        </w:numPr>
        <w:spacing w:after="80"/>
      </w:pPr>
      <w:r>
        <w:rPr>
          <w:rFonts w:ascii="Arial" w:cs="Arial" w:eastAsia="Arial" w:hAnsi="Arial"/>
          <w:sz w:val="22"/>
          <w:szCs w:val="22"/>
        </w:rPr>
        <w:t xml:space="preserve">Class A bonds (total): £3,364.6m</w:t>
      </w:r>
    </w:p>
    <w:p>
      <w:pPr>
        <w:pStyle w:val="ListParagraph"/>
        <w:numPr>
          <w:ilvl w:val="0"/>
          <w:numId w:val="2"/>
        </w:numPr>
        <w:spacing w:after="80"/>
      </w:pPr>
      <w:r>
        <w:rPr>
          <w:rFonts w:ascii="Arial" w:cs="Arial" w:eastAsia="Arial" w:hAnsi="Arial"/>
          <w:sz w:val="22"/>
          <w:szCs w:val="22"/>
        </w:rPr>
        <w:t xml:space="preserve">OpCo residual equity flowing up: £6,500m − £3,364.6m = £3,135.4m</w:t>
      </w:r>
    </w:p>
    <w:p>
      <w:pPr>
        <w:pStyle w:val="Heading3"/>
        <w:spacing w:after="100" w:before="180"/>
      </w:pPr>
      <w:r>
        <w:rPr>
          <w:rFonts w:ascii="Arial" w:cs="Arial" w:eastAsia="Arial" w:hAnsi="Arial"/>
          <w:b/>
          <w:bCs/>
          <w:sz w:val="22"/>
          <w:szCs w:val="22"/>
        </w:rPr>
        <w:t xml:space="preserve">Step 2 — GAF MidCo</w:t>
      </w:r>
    </w:p>
    <w:p>
      <w:pPr>
        <w:spacing w:after="120"/>
      </w:pPr>
      <w:r>
        <w:rPr>
          <w:rFonts w:ascii="Arial" w:cs="Arial" w:eastAsia="Arial" w:hAnsi="Arial"/>
          <w:sz w:val="22"/>
          <w:szCs w:val="22"/>
        </w:rPr>
        <w:t xml:space="preserve">No external debt in this scenario. GAF is a pass-through for both shareholders.</w:t>
      </w:r>
    </w:p>
    <w:p>
      <w:pPr>
        <w:pStyle w:val="Heading3"/>
        <w:spacing w:after="100" w:before="180"/>
      </w:pPr>
      <w:r>
        <w:rPr>
          <w:rFonts w:ascii="Arial" w:cs="Arial" w:eastAsia="Arial" w:hAnsi="Arial"/>
          <w:b/>
          <w:bCs/>
          <w:sz w:val="22"/>
          <w:szCs w:val="22"/>
        </w:rPr>
        <w:t xml:space="preserve">Step 3 — Shareholder level (asymmetric)</w:t>
      </w:r>
    </w:p>
    <w:p>
      <w:pPr>
        <w:spacing w:after="120"/>
      </w:pPr>
      <w:r>
        <w:rPr>
          <w:rFonts w:ascii="Arial" w:cs="Arial" w:eastAsia="Arial" w:hAnsi="Arial"/>
          <w:sz w:val="22"/>
          <w:szCs w:val="22"/>
        </w:rPr>
        <w:t xml:space="preserve">GAF residual equity £3,135.4m splits pro-rata along the 50.01 / 49.99 JV, but the £475m NAV facility lands exclusively on GIP’s 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400"/>
        <w:gridCol w:w="1500"/>
        <w:gridCol w:w="1560"/>
      </w:tblGrid>
      <w:tr>
        <w:trPr>
          <w:tblHeader/>
        </w:trP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Shareholder</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Ownership</w:t>
            </w:r>
          </w:p>
        </w:tc>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Gross equity (£m)</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Debt on stake (£m)</w:t>
            </w:r>
          </w:p>
        </w:tc>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Net equity (£m)</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VINCI Airports (VINCI SA)</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50.01%</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1,568.4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0.0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bCs/>
                <w:color w:val="2F8B72"/>
                <w:sz w:val="20"/>
                <w:szCs w:val="20"/>
              </w:rPr>
              <w:t xml:space="preserve">1,568.4</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Global Infrastructure Partners (Blackrock)</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49.99%</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1,567.0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C97F1F"/>
                <w:sz w:val="20"/>
                <w:szCs w:val="20"/>
              </w:rPr>
              <w:t xml:space="preserve">(475.0)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bCs/>
                <w:color w:val="C97F1F"/>
                <w:sz w:val="20"/>
                <w:szCs w:val="20"/>
              </w:rPr>
              <w:t xml:space="preserve">1,092.0</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Total</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100.00%</w:t>
            </w:r>
          </w:p>
        </w:tc>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3,135.4</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(475.0)</w:t>
            </w:r>
          </w:p>
        </w:tc>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2,660.4</w:t>
            </w:r>
          </w:p>
        </w:tc>
      </w:tr>
    </w:tbl>
    <w:p>
      <w:pPr>
        <w:spacing w:after="120"/>
      </w:pPr>
      <w:r>
        <w:rPr>
          <w:rFonts w:ascii="Arial" w:cs="Arial" w:eastAsia="Arial" w:hAnsi="Arial"/>
          <w:sz w:val="22"/>
          <w:szCs w:val="22"/>
        </w:rPr>
        <w:t xml:space="preserve"/>
      </w:r>
    </w:p>
    <w:p>
      <w:pPr>
        <w:spacing w:after="120"/>
        <w:rPr>
          <w:i/>
          <w:iCs/>
        </w:rPr>
      </w:pPr>
      <w:r>
        <w:rPr>
          <w:rFonts w:ascii="Arial" w:cs="Arial" w:eastAsia="Arial" w:hAnsi="Arial"/>
          <w:i/>
          <w:iCs/>
          <w:sz w:val="22"/>
          <w:szCs w:val="22"/>
        </w:rPr>
        <w:t xml:space="preserve">VINCI carries no debt on its stake: full £1,568m. GIP’s £1,567m gross stake is reduced by the £475m NAV facility to £1,092m net. Total residual equity is unchanged from Rev.2 (£2,660m) but the allocation has shifted £237m from GIP to VINCI.</w:t>
      </w:r>
    </w:p>
    <w:p>
      <w:pPr>
        <w:pStyle w:val="Heading2"/>
        <w:spacing w:after="120" w:before="200"/>
      </w:pPr>
      <w:r>
        <w:rPr>
          <w:rFonts w:ascii="Arial" w:cs="Arial" w:eastAsia="Arial" w:hAnsi="Arial"/>
          <w:b/>
          <w:bCs/>
          <w:color w:val="1F6FA5"/>
          <w:sz w:val="26"/>
          <w:szCs w:val="26"/>
        </w:rPr>
        <w:t xml:space="preserve">5. Full stack — two columns (total and our 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300"/>
        <w:gridCol w:w="1300"/>
        <w:gridCol w:w="2060"/>
      </w:tblGrid>
      <w:tr>
        <w:trPr>
          <w:tblHeader/>
        </w:trPr>
        <w:tc>
          <w:tcPr>
            <w:tcW w:type="dxa" w:w="3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Layer (bottom = first claim)</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Total (£m)</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Our holding (£m)</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 of EV</w:t>
            </w:r>
          </w:p>
        </w:tc>
        <w:tc>
          <w:tcPr>
            <w:tcW w:type="dxa" w:w="20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Priority</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2F8B72"/>
                <w:sz w:val="20"/>
                <w:szCs w:val="20"/>
              </w:rPr>
              <w:t xml:space="preserve">VINCI residual equity (unencumbered)</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2F8B72"/>
                <w:sz w:val="20"/>
                <w:szCs w:val="20"/>
              </w:rPr>
              <w:t xml:space="preserve">1,568.4</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2F8B72"/>
                <w:sz w:val="20"/>
                <w:szCs w:val="20"/>
              </w:rPr>
              <w:t xml:space="preserve">0.0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2F8B72"/>
                <w:sz w:val="20"/>
                <w:szCs w:val="20"/>
              </w:rPr>
              <w:t xml:space="preserve">24.1%</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2F8B72"/>
                <w:sz w:val="20"/>
                <w:szCs w:val="20"/>
              </w:rPr>
              <w:t xml:space="preserve">Rank ∞ (clean)</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2F8B72"/>
                <w:sz w:val="20"/>
                <w:szCs w:val="20"/>
              </w:rPr>
              <w:t xml:space="preserve">GIP residual equity (net of NAV facility)</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2F8B72"/>
                <w:sz w:val="20"/>
                <w:szCs w:val="20"/>
              </w:rPr>
              <w:t xml:space="preserve">1,092.0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2F8B72"/>
                <w:sz w:val="20"/>
                <w:szCs w:val="20"/>
              </w:rPr>
              <w:t xml:space="preserve">0.0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2F8B72"/>
                <w:sz w:val="20"/>
                <w:szCs w:val="20"/>
              </w:rPr>
              <w:t xml:space="preserve">16.8%</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2F8B72"/>
                <w:sz w:val="20"/>
                <w:szCs w:val="20"/>
              </w:rPr>
              <w:t xml:space="preserve">Rank ∞ (on GIP stake)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C97F1F"/>
                <w:sz w:val="20"/>
                <w:szCs w:val="20"/>
              </w:rPr>
              <w:t xml:space="preserve">GIP Gatwick Holdings £475m facility  —  parallel claim on GIP’s 49.99% only</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C97F1F"/>
                <w:sz w:val="20"/>
                <w:szCs w:val="20"/>
              </w:rPr>
              <w:t xml:space="preserve">475.0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C97F1F"/>
                <w:sz w:val="20"/>
                <w:szCs w:val="20"/>
              </w:rPr>
              <w:t xml:space="preserve">0.0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C97F1F"/>
                <w:sz w:val="20"/>
                <w:szCs w:val="20"/>
              </w:rPr>
              <w:t xml:space="preserve">7.3%</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C97F1F"/>
                <w:sz w:val="20"/>
                <w:szCs w:val="20"/>
              </w:rPr>
              <w:t xml:space="preserve">Rank 1 at GIP HoldCo (not in CTA group)</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1F6FA5"/>
                <w:sz w:val="20"/>
                <w:szCs w:val="20"/>
              </w:rPr>
              <w:t xml:space="preserve">Class A senior secured (11 bonds, pari-passu)</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bCs/>
                <w:color w:val="1F6FA5"/>
                <w:sz w:val="20"/>
                <w:szCs w:val="20"/>
              </w:rPr>
              <w:t xml:space="preserve">3,364.6</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bCs/>
                <w:color w:val="1F6FA5"/>
                <w:sz w:val="20"/>
                <w:szCs w:val="20"/>
              </w:rPr>
              <w:t xml:space="preserve">125.0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bCs/>
                <w:color w:val="1F6FA5"/>
                <w:sz w:val="20"/>
                <w:szCs w:val="20"/>
              </w:rPr>
              <w:t xml:space="preserve">51.8%</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bCs/>
                <w:color w:val="1F6FA5"/>
                <w:sz w:val="20"/>
                <w:szCs w:val="20"/>
              </w:rPr>
              <w:t xml:space="preserve">Rank 1 (our position)</w:t>
            </w:r>
          </w:p>
        </w:tc>
      </w:tr>
      <w:tr>
        <w:tc>
          <w:tcPr>
            <w:tcW w:type="dxa" w:w="3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Enterprise Value (assumed, OpCo-level)</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6,500.0</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125.0</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100.0%</w:t>
            </w:r>
          </w:p>
        </w:tc>
        <w:tc>
          <w:tcPr>
            <w:tcW w:type="dxa" w:w="20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20"/>
      </w:pPr>
      <w:r>
        <w:rPr>
          <w:rFonts w:ascii="Arial" w:cs="Arial" w:eastAsia="Arial" w:hAnsi="Arial"/>
          <w:sz w:val="22"/>
          <w:szCs w:val="22"/>
        </w:rPr>
        <w:t xml:space="preserve"/>
      </w:r>
    </w:p>
    <w:p>
      <w:pPr>
        <w:spacing w:after="120"/>
        <w:rPr>
          <w:i/>
          <w:iCs/>
        </w:rPr>
      </w:pPr>
      <w:r>
        <w:rPr>
          <w:rFonts w:ascii="Arial" w:cs="Arial" w:eastAsia="Arial" w:hAnsi="Arial"/>
          <w:i/>
          <w:iCs/>
          <w:sz w:val="22"/>
          <w:szCs w:val="22"/>
        </w:rPr>
        <w:t xml:space="preserve">Note the visual structure: the GIP NAV debt is coloured differently and flagged as a parallel claim — it is not part of the priority waterfall on OpCo cashflows. In a rendered UI it would be offset or tagged to make this distinction obvious.</w:t>
      </w:r>
    </w:p>
    <w:p>
      <w:pPr>
        <w:pStyle w:val="Heading2"/>
        <w:spacing w:after="120" w:before="200"/>
      </w:pPr>
      <w:r>
        <w:rPr>
          <w:rFonts w:ascii="Arial" w:cs="Arial" w:eastAsia="Arial" w:hAnsi="Arial"/>
          <w:b/>
          <w:bCs/>
          <w:color w:val="1F6FA5"/>
          <w:sz w:val="26"/>
          <w:szCs w:val="26"/>
        </w:rPr>
        <w:t xml:space="preserve">6. Derived metrics — deal view vs our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660"/>
      </w:tblGrid>
      <w:tr>
        <w:trPr>
          <w:tblHeader/>
        </w:trPr>
        <w:tc>
          <w:tcPr>
            <w:tcW w:type="dxa" w:w="4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Metric</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Deal (consolidated group)</w:t>
            </w:r>
          </w:p>
        </w:tc>
        <w:tc>
          <w:tcPr>
            <w:tcW w:type="dxa" w:w="2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Our exposure view</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Senior LTV (Class A / EV)</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51.8%</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51.8% (we’re senior)</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Consolidated LTV (group debt only)</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51.8%</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n/a — we hold only senior</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Consolidated leverage (Class A / EBITDA)</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5.89×</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5.89×</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GIP HoldCo debt counted in group leverage?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No — outside CTA</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No</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Debt senior to us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£0 (we’re at rank 1)</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£0</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Subordinated cushion below us (consolidated group)</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£0 — no MidCo debt in CTA chain</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Shareholder-level debt on GIP stake (separate claim pool)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£475m</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Does not reduce our cushion; acts as change-of-control risk</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 equity cushion below us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£3,135m (same as Rev.2)</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VINCI attributable equity (unencumbered)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£1,568m</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GIP attributable equity (after NAV facility)</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£1,092m</w:t>
            </w:r>
          </w:p>
        </w:tc>
      </w:tr>
    </w:tbl>
    <w:p>
      <w:pPr>
        <w:spacing w:after="120"/>
      </w:pPr>
      <w:r>
        <w:rPr>
          <w:rFonts w:ascii="Arial" w:cs="Arial" w:eastAsia="Arial" w:hAnsi="Arial"/>
          <w:sz w:val="22"/>
          <w:szCs w:val="22"/>
        </w:rPr>
        <w:t xml:space="preserve"/>
      </w:r>
    </w:p>
    <w:p>
      <w:pPr>
        <w:pStyle w:val="Heading2"/>
        <w:spacing w:after="120" w:before="200"/>
      </w:pPr>
      <w:r>
        <w:rPr>
          <w:rFonts w:ascii="Arial" w:cs="Arial" w:eastAsia="Arial" w:hAnsi="Arial"/>
          <w:b/>
          <w:bCs/>
          <w:color w:val="1F6FA5"/>
          <w:sz w:val="26"/>
          <w:szCs w:val="26"/>
        </w:rPr>
        <w:t xml:space="preserve">7. Visual stack summary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VINCI (50.01%)                        ┃        ┃ GIP (49.99%)      ┃</w:t>
      </w:r>
    </w:p>
    <w:p>
      <w:pPr>
        <w:spacing w:after="40"/>
      </w:pPr>
      <w:r>
        <w:rPr>
          <w:rFonts w:ascii="Consolas" w:cs="Consolas" w:eastAsia="Consolas" w:hAnsi="Consolas"/>
          <w:sz w:val="18"/>
          <w:szCs w:val="18"/>
        </w:rPr>
        <w:t xml:space="preserve">┃   Unencumbered equity          £1,568m ┃        ┃   Net equity       ┃</w:t>
      </w:r>
    </w:p>
    <w:p>
      <w:pPr>
        <w:spacing w:after="40"/>
      </w:pPr>
      <w:r>
        <w:rPr>
          <w:rFonts w:ascii="Consolas" w:cs="Consolas" w:eastAsia="Consolas" w:hAnsi="Consolas"/>
          <w:sz w:val="18"/>
          <w:szCs w:val="18"/>
        </w:rPr>
        <w:t xml:space="preserve">┃                                       ┃        ┃            £1,092m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        ┃ GIP NAV £475m bond ┃  ← parallel</w:t>
      </w:r>
    </w:p>
    <w:p>
      <w:pPr>
        <w:spacing w:after="40"/>
      </w:pPr>
      <w:r>
        <w:rPr>
          <w:rFonts w:ascii="Consolas" w:cs="Consolas" w:eastAsia="Consolas" w:hAnsi="Consolas"/>
          <w:sz w:val="18"/>
          <w:szCs w:val="18"/>
        </w:rPr>
        <w:t xml:space="preserve">┃                                       ┃        ┃ (secured on GIP   ┃      claim</w:t>
      </w:r>
    </w:p>
    <w:p>
      <w:pPr>
        <w:spacing w:after="40"/>
      </w:pPr>
      <w:r>
        <w:rPr>
          <w:rFonts w:ascii="Consolas" w:cs="Consolas" w:eastAsia="Consolas" w:hAnsi="Consolas"/>
          <w:sz w:val="18"/>
          <w:szCs w:val="18"/>
        </w:rPr>
        <w:t xml:space="preserve">┃                                       ┃        ┃  shares only)     ┃      (not in CTA)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GAF MidCo (pass-through, no external debt)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Ivy Holdco  (BidCo, pass-through)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OPCO / ISSUER  (CTA ring-fence)               ┃</w:t>
      </w:r>
    </w:p>
    <w:p>
      <w:pPr>
        <w:spacing w:after="40"/>
      </w:pPr>
      <w:r>
        <w:rPr>
          <w:rFonts w:ascii="Consolas" w:cs="Consolas" w:eastAsia="Consolas" w:hAnsi="Consolas"/>
          <w:sz w:val="18"/>
          <w:szCs w:val="18"/>
        </w:rPr>
        <w:t xml:space="preserve">                 ┃   Class A bonds  £3,365m  Rank 1 (our £125m)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Enterprise Value = £6,500m</w:t>
      </w:r>
    </w:p>
    <w:p>
      <w:pPr>
        <w:spacing w:after="120"/>
      </w:pPr>
      <w:r>
        <w:rPr>
          <w:rFonts w:ascii="Arial" w:cs="Arial" w:eastAsia="Arial" w:hAnsi="Arial"/>
          <w:sz w:val="22"/>
          <w:szCs w:val="22"/>
        </w:rPr>
        <w:t xml:space="preserve"/>
      </w:r>
    </w:p>
    <w:p>
      <w:pPr>
        <w:pStyle w:val="Heading2"/>
        <w:spacing w:after="120" w:before="200"/>
      </w:pPr>
      <w:r>
        <w:rPr>
          <w:rFonts w:ascii="Arial" w:cs="Arial" w:eastAsia="Arial" w:hAnsi="Arial"/>
          <w:b/>
          <w:bCs/>
          <w:color w:val="1F6FA5"/>
          <w:sz w:val="26"/>
          <w:szCs w:val="26"/>
        </w:rPr>
        <w:t xml:space="preserve">8. Our position (unchanged in rank; altered in context)</w:t>
      </w:r>
    </w:p>
    <w:p>
      <w:pPr>
        <w:pStyle w:val="ListParagraph"/>
        <w:numPr>
          <w:ilvl w:val="0"/>
          <w:numId w:val="2"/>
        </w:numPr>
        <w:spacing w:after="80"/>
      </w:pPr>
      <w:r>
        <w:rPr>
          <w:rFonts w:ascii="Arial" w:cs="Arial" w:eastAsia="Arial" w:hAnsi="Arial"/>
          <w:sz w:val="22"/>
          <w:szCs w:val="22"/>
        </w:rPr>
        <w:t xml:space="preserve">Priority rank: 1 — first claim on OpCo cashflows, pari-passu with every other Class A bondholder.</w:t>
      </w:r>
    </w:p>
    <w:p>
      <w:pPr>
        <w:pStyle w:val="ListParagraph"/>
        <w:numPr>
          <w:ilvl w:val="0"/>
          <w:numId w:val="2"/>
        </w:numPr>
        <w:spacing w:after="80"/>
      </w:pPr>
      <w:r>
        <w:rPr>
          <w:rFonts w:ascii="Arial" w:cs="Arial" w:eastAsia="Arial" w:hAnsi="Arial"/>
          <w:sz w:val="22"/>
          <w:szCs w:val="22"/>
        </w:rPr>
        <w:t xml:space="preserve">Senior LTV: 51.8% (unchanged from Rev.2).</w:t>
      </w:r>
    </w:p>
    <w:p>
      <w:pPr>
        <w:pStyle w:val="ListParagraph"/>
        <w:numPr>
          <w:ilvl w:val="0"/>
          <w:numId w:val="2"/>
        </w:numPr>
        <w:spacing w:after="80"/>
      </w:pPr>
      <w:r>
        <w:rPr>
          <w:rFonts w:ascii="Arial" w:cs="Arial" w:eastAsia="Arial" w:hAnsi="Arial"/>
          <w:sz w:val="22"/>
          <w:szCs w:val="22"/>
        </w:rPr>
        <w:t xml:space="preserve">Consolidated leverage: 5.89× (unchanged from Rev.2; the GIP NAV facility is outside the CTA group and does not count).</w:t>
      </w:r>
    </w:p>
    <w:p>
      <w:pPr>
        <w:pStyle w:val="ListParagraph"/>
        <w:numPr>
          <w:ilvl w:val="0"/>
          <w:numId w:val="2"/>
        </w:numPr>
        <w:spacing w:after="80"/>
      </w:pPr>
      <w:r>
        <w:rPr>
          <w:rFonts w:ascii="Arial" w:cs="Arial" w:eastAsia="Arial" w:hAnsi="Arial"/>
          <w:sz w:val="22"/>
          <w:szCs w:val="22"/>
        </w:rPr>
        <w:t xml:space="preserve">True equity cushion below us: £3,135m (unchanged from Rev.2 in aggregate, though the distribution between VINCI and GIP is different).</w:t>
      </w:r>
    </w:p>
    <w:p>
      <w:pPr>
        <w:pStyle w:val="ListParagraph"/>
        <w:numPr>
          <w:ilvl w:val="0"/>
          <w:numId w:val="2"/>
        </w:numPr>
        <w:spacing w:after="80"/>
      </w:pPr>
      <w:r>
        <w:rPr>
          <w:rFonts w:ascii="Arial" w:cs="Arial" w:eastAsia="Arial" w:hAnsi="Arial"/>
          <w:sz w:val="22"/>
          <w:szCs w:val="22"/>
        </w:rPr>
        <w:t xml:space="preserve">Change-of-control exposure: elevated. An enforcement event against GIP’s shares by the NAV lender could transfer 49.99% of the equity to a different party. This does not breach the CTA automatically but may trigger change-of-control tests in the OpCo finance documents.</w:t>
      </w:r>
    </w:p>
    <w:p>
      <w:pPr>
        <w:pStyle w:val="Heading2"/>
        <w:spacing w:after="120" w:before="200"/>
      </w:pPr>
      <w:r>
        <w:rPr>
          <w:rFonts w:ascii="Arial" w:cs="Arial" w:eastAsia="Arial" w:hAnsi="Arial"/>
          <w:b/>
          <w:bCs/>
          <w:color w:val="1F6FA5"/>
          <w:sz w:val="26"/>
          <w:szCs w:val="26"/>
        </w:rPr>
        <w:t xml:space="preserve">9.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Theme</w:t>
            </w:r>
          </w:p>
        </w:tc>
        <w:tc>
          <w:tcPr>
            <w:tcW w:type="dxa" w:w="6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Observation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The £475m sits outside the consolidated group</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Unlike the actual Rev.2 structure where the GAF bond is MidCo debt inside the corporate chain, here the £475m is at a GIP-specific SPV that holds GIP’s shareholder stake. It is neither above nor below the OpCo senior in the same priority stack — it is a parallel claim on GIP’s shares only. Consolidated group leverage is unchanged from the senior-only case.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Asymmetric shareholder positions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VINCI owns its 50.01% clean; GIP owns its 49.99% encumbered. VINCI’s effective equity is £1,568m; GIP’s is £1,092m. Change of control is concentrated on the GIP side — an enforcement event against GIP’s shares could transfer the 49.99% to the NAV lender.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Our £125m senior is structurally the same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Rank 1 position unchanged. The £475m is not economically a cushion below us in this structure; it is a separate debt secured on a claim pool we do not touch. Our LTV to the senior is still 51.8% and our consolidated leverage is still 5.89×.</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But risk profile shifts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Change of control (partial, 49.99%) becomes more likely than in Rev.2 because GIP can default on its NAV facility without distressing the operating company. In Rev.2, a GAF default would trigger a GF lock-up; here, a GIP HoldCo default does not touch the CTA at all. Worth flagging in the change-of-control regime in Tab 1.</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No impact on Fitch ratings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Rating is on the OpCo (GF) group and on GAF (MidCo). In this scenario GAF has no debt, so there is no MidCo rating issue. The GIP HoldCo NAV facility would be rated separately by its own lenders based on the value and volatility of the GIP stake, not on CTA group performance.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How the spec must handle it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Capital Stack engine must be able to represent debt at an entity that is NOT in the consolidated chain — e.g. a GIP-specific holding vehicle. This is done by marking the entity’s within_security_perimeter=No on Tab 7. Its debt appears in the stack as a parallel claim, visually offset or tagged so it’s clear the debt does not sit in the group leverage.</w:t>
            </w:r>
          </w:p>
        </w:tc>
      </w:tr>
    </w:tbl>
    <w:p>
      <w:pPr>
        <w:spacing w:after="120"/>
      </w:pPr>
      <w:r>
        <w:rPr>
          <w:rFonts w:ascii="Arial" w:cs="Arial" w:eastAsia="Arial" w:hAnsi="Arial"/>
          <w:sz w:val="22"/>
          <w:szCs w:val="22"/>
        </w:rPr>
        <w:t xml:space="preserve"/>
      </w:r>
    </w:p>
    <w:p>
      <w:pPr>
        <w:pStyle w:val="Heading2"/>
        <w:spacing w:after="120" w:before="200"/>
      </w:pPr>
      <w:r>
        <w:rPr>
          <w:rFonts w:ascii="Arial" w:cs="Arial" w:eastAsia="Arial" w:hAnsi="Arial"/>
          <w:b/>
          <w:bCs/>
          <w:color w:val="1F6FA5"/>
          <w:sz w:val="26"/>
          <w:szCs w:val="26"/>
        </w:rPr>
        <w:t xml:space="preserve">10. Implications for the Capital Stack specification</w:t>
      </w:r>
    </w:p>
    <w:p>
      <w:pPr>
        <w:spacing w:after="120"/>
      </w:pPr>
      <w:r>
        <w:rPr>
          <w:rFonts w:ascii="Arial" w:cs="Arial" w:eastAsia="Arial" w:hAnsi="Arial"/>
          <w:sz w:val="22"/>
          <w:szCs w:val="22"/>
        </w:rPr>
        <w:t xml:space="preserve">This variant surfaces two requirements that were not visible in Rev.2:</w:t>
      </w:r>
    </w:p>
    <w:p>
      <w:pPr>
        <w:pStyle w:val="ListParagraph"/>
        <w:numPr>
          <w:ilvl w:val="0"/>
          <w:numId w:val="2"/>
        </w:numPr>
        <w:spacing w:after="80"/>
      </w:pPr>
      <w:r>
        <w:rPr>
          <w:rFonts w:ascii="Arial" w:cs="Arial" w:eastAsia="Arial" w:hAnsi="Arial"/>
          <w:sz w:val="22"/>
          <w:szCs w:val="22"/>
        </w:rPr>
        <w:t xml:space="preserve">Entities outside the consolidated chain must render in the stack but should not feed the consolidated leverage metrics. Use Tab 7 within_security_perimeter=No as the flag. The engine should tag any debt on a non-perimeter entity as a “parallel claim” rather than stacking it in the main priority waterfall.</w:t>
      </w:r>
    </w:p>
    <w:p>
      <w:pPr>
        <w:pStyle w:val="ListParagraph"/>
        <w:numPr>
          <w:ilvl w:val="0"/>
          <w:numId w:val="2"/>
        </w:numPr>
        <w:spacing w:after="80"/>
      </w:pPr>
      <w:r>
        <w:rPr>
          <w:rFonts w:ascii="Arial" w:cs="Arial" w:eastAsia="Arial" w:hAnsi="Arial"/>
          <w:sz w:val="22"/>
          <w:szCs w:val="22"/>
        </w:rPr>
        <w:t xml:space="preserve">Shareholder asymmetry must be captured. The VINCI / GIP split is 50.01 / 49.99 in ownership, but their net equity positions differ materially after shareholder-level debt. The Tab 7 entity for GIP Gatwick Holdings should carry its own 49.99% ownership_pct linked to Ivy Holdco, and Tab 2 should reference that entity as the entity_level for the NAV facility.</w:t>
      </w:r>
    </w:p>
    <w:p>
      <w:pPr>
        <w:pStyle w:val="ListParagraph"/>
        <w:numPr>
          <w:ilvl w:val="0"/>
          <w:numId w:val="2"/>
        </w:numPr>
        <w:spacing w:after="80"/>
      </w:pPr>
      <w:r>
        <w:rPr>
          <w:rFonts w:ascii="Arial" w:cs="Arial" w:eastAsia="Arial" w:hAnsi="Arial"/>
          <w:sz w:val="22"/>
          <w:szCs w:val="22"/>
        </w:rPr>
        <w:t xml:space="preserve">Change-of-control risk becomes a first-class output. When shareholder-level debt exists on part of the ownership, the engine should compute and surface the change-of-control coverage — i.e. the LTV on the pledged shareholding (30.3% here). A spike in that coverage is a lead indicator of potential partial change-of-control before any operating distress.</w:t>
      </w:r>
    </w:p>
    <w:p>
      <w:pPr>
        <w:pStyle w:val="ListParagraph"/>
        <w:numPr>
          <w:ilvl w:val="0"/>
          <w:numId w:val="2"/>
        </w:numPr>
        <w:spacing w:after="80"/>
      </w:pPr>
      <w:r>
        <w:rPr>
          <w:rFonts w:ascii="Arial" w:cs="Arial" w:eastAsia="Arial" w:hAnsi="Arial"/>
          <w:sz w:val="22"/>
          <w:szCs w:val="22"/>
        </w:rPr>
        <w:t xml:space="preserve">The stack UI needs a “parallel claim” visual treatment. In Rev.2 the stack is linear. In this scenario it branches on the shareholder row — VINCI’s stake runs clean while GIP’s stake carries its own debt. A well-drawn stack makes the asymmetry immediately obvious.</w:t>
      </w:r>
    </w:p>
    <w:p>
      <w:pPr>
        <w:spacing w:after="120"/>
      </w:pPr>
      <w:r>
        <w:rPr>
          <w:rFonts w:ascii="Arial" w:cs="Arial" w:eastAsia="Arial" w:hAnsi="Arial"/>
          <w:sz w:val="22"/>
          <w:szCs w:val="22"/>
        </w:rPr>
        <w:t xml:space="preserve"/>
      </w:r>
    </w:p>
    <w:p>
      <w:pPr>
        <w:spacing w:after="120"/>
        <w:rPr>
          <w:i/>
          <w:iCs/>
        </w:rPr>
      </w:pPr>
      <w:r>
        <w:rPr>
          <w:rFonts w:ascii="Arial" w:cs="Arial" w:eastAsia="Arial" w:hAnsi="Arial"/>
          <w:i/>
          <w:iCs/>
          <w:sz w:val="22"/>
          <w:szCs w:val="22"/>
        </w:rPr>
        <w:t xml:space="preserve">Once the spec handles this scenario cleanly, the Capital Stack feature is complete for the realistic range of infrastructure structures: single-level, multi-level consolidated (Rev.2), and shareholder-level parallel (this variant).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FA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6FA5"/>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Gatwick Capital Stack — GIP-Secured MidCo Scenario</dc:title>
  <dc:creator>Sesame Street</dc:creator>
  <dc:description>Worked example: MidCo debt secured on GIP's 49.99% shareholding only.</dc:description>
  <cp:lastModifiedBy>Un-named</cp:lastModifiedBy>
  <cp:revision>1</cp:revision>
  <dcterms:created xsi:type="dcterms:W3CDTF">2026-04-14T19:28:20.654Z</dcterms:created>
  <dcterms:modified xsi:type="dcterms:W3CDTF">2026-04-14T19:28:20.655Z</dcterms:modified>
</cp:coreProperties>
</file>

<file path=docProps/custom.xml><?xml version="1.0" encoding="utf-8"?>
<Properties xmlns="http://schemas.openxmlformats.org/officeDocument/2006/custom-properties" xmlns:vt="http://schemas.openxmlformats.org/officeDocument/2006/docPropsVTypes"/>
</file>