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888888"/>
          <w:spacing w:val="40"/>
          <w:sz w:val="18"/>
          <w:szCs w:val="18"/>
        </w:rPr>
        <w:t xml:space="preserve">SESAME STREET</w:t>
      </w:r>
    </w:p>
    <w:p>
      <w:pPr>
        <w:spacing w:after="80"/>
      </w:pPr>
      <w:r>
        <w:rPr>
          <w:rFonts w:ascii="Arial" w:cs="Arial" w:eastAsia="Arial" w:hAnsi="Arial"/>
          <w:b/>
          <w:bCs/>
          <w:color w:val="1F6FA5"/>
          <w:sz w:val="40"/>
          <w:szCs w:val="40"/>
        </w:rPr>
        <w:t xml:space="preserve">Capital Stack — Worked Example</w:t>
      </w:r>
    </w:p>
    <w:p>
      <w:pPr>
        <w:spacing w:after="240"/>
      </w:pPr>
      <w:r>
        <w:rPr>
          <w:rFonts w:ascii="Arial" w:cs="Arial" w:eastAsia="Arial" w:hAnsi="Arial"/>
          <w:i/>
          <w:iCs/>
          <w:color w:val="666666"/>
          <w:sz w:val="22"/>
          <w:szCs w:val="22"/>
        </w:rPr>
        <w:t xml:space="preserve">Gatwick Airport  ·  Rev. 2 — April 2026  ·  For review</w:t>
      </w:r>
    </w:p>
    <w:p>
      <w:pPr>
        <w:pStyle w:val="Heading2"/>
        <w:spacing w:after="120" w:before="200"/>
      </w:pPr>
      <w:r>
        <w:rPr>
          <w:rFonts w:ascii="Arial" w:cs="Arial" w:eastAsia="Arial" w:hAnsi="Arial"/>
          <w:b/>
          <w:bCs/>
          <w:color w:val="1F6FA5"/>
          <w:sz w:val="26"/>
          <w:szCs w:val="26"/>
        </w:rPr>
        <w:t xml:space="preserve">Purpose</w:t>
      </w:r>
    </w:p>
    <w:p>
      <w:pPr>
        <w:spacing w:after="120"/>
      </w:pPr>
      <w:r>
        <w:rPr>
          <w:rFonts w:ascii="Arial" w:cs="Arial" w:eastAsia="Arial" w:hAnsi="Arial"/>
          <w:sz w:val="22"/>
          <w:szCs w:val="22"/>
        </w:rPr>
        <w:t xml:space="preserve">This note walks the capital stack for Gatwick end-to-end using the v8 TopSheet taxonomy, now including the MidCo debt layer at Gatwick Airport Finance plc (GAF). It demonstrates how the stack should present two views side-by-side: the total deal position (structural picture), and our client’s holding (their specific slice).</w:t>
      </w:r>
    </w:p>
    <w:p>
      <w:pPr>
        <w:spacing w:after="120"/>
      </w:pPr>
      <w:r>
        <w:rPr>
          <w:rFonts w:ascii="Arial" w:cs="Arial" w:eastAsia="Arial" w:hAnsi="Arial"/>
          <w:sz w:val="22"/>
          <w:szCs w:val="22"/>
        </w:rPr>
        <w:t xml:space="preserve">Every debt figure below is either live from our database or sourced from the Fitch rating action dated 21 November 2025 for the MidCo bond. The remaining input needed to produce this view programmatically is a single Enterprise Value on Tab 1 of the TopSheet.</w:t>
      </w:r>
    </w:p>
    <w:p>
      <w:pPr>
        <w:pBdr>
          <w:top w:val="single" w:color="C97F1F" w:sz="6" w:space="4"/>
          <w:bottom w:val="single" w:color="C97F1F" w:sz="6" w:space="4"/>
        </w:pBdr>
        <w:shd w:fill="FFF7E0" w:val="clear"/>
        <w:spacing w:after="120" w:before="120"/>
      </w:pPr>
      <w:r>
        <w:rPr>
          <w:rFonts w:ascii="Arial" w:cs="Arial" w:eastAsia="Arial" w:hAnsi="Arial"/>
          <w:b/>
          <w:bCs/>
          <w:color w:val="C97F1F"/>
          <w:sz w:val="20"/>
          <w:szCs w:val="20"/>
        </w:rPr>
        <w:t xml:space="preserve">Correction to Rev. 1: </w:t>
      </w:r>
      <w:r>
        <w:rPr>
          <w:rFonts w:ascii="Arial" w:cs="Arial" w:eastAsia="Arial" w:hAnsi="Arial"/>
          <w:sz w:val="20"/>
          <w:szCs w:val="20"/>
        </w:rPr>
        <w:t xml:space="preserve">the previous version treated Gatwick as a single-level debt structure. Fitch’s 21 Nov 2025 rating action on the new £475m GAF 6% 2030 bond confirms a distinct MidCo debt level at Gatwick Airport Finance plc, two notches below the GF ring-fenced group. This revision adds that layer.</w:t>
      </w:r>
    </w:p>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1. The Gatwick structure</w:t>
      </w:r>
    </w:p>
    <w:p>
      <w:pPr>
        <w:pStyle w:val="Heading3"/>
        <w:spacing w:after="100" w:before="180"/>
      </w:pPr>
      <w:r>
        <w:rPr>
          <w:rFonts w:ascii="Arial" w:cs="Arial" w:eastAsia="Arial" w:hAnsi="Arial"/>
          <w:b/>
          <w:bCs/>
          <w:sz w:val="22"/>
          <w:szCs w:val="22"/>
        </w:rPr>
        <w:t xml:space="preserve">Corporate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gridCol w:w="2560"/>
      </w:tblGrid>
      <w:tr>
        <w:trPr>
          <w:tblHeader/>
        </w:trP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Entity</w:t>
            </w:r>
          </w:p>
        </w:tc>
        <w:tc>
          <w:tcPr>
            <w:tcW w:type="dxa" w:w="1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Role</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Jurisdiction</w:t>
            </w:r>
          </w:p>
        </w:tc>
        <w:tc>
          <w:tcPr>
            <w:tcW w:type="dxa" w:w="2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Parent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Gatwick Airport Limited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OpCo (asset)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Ivy Holdco Limited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Gatwick Funding Limited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Issuer SPV (OpCo-level)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Ivy Holdco Limited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Ivy Holdco Limited</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BidCo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Gatwick Airport Finance plc</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Gatwick Airport Finance plc (GAF)</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MidCo / Debt HoldCo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GB</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Airports / GIP (50.01 / 49.99)</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Airports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HoldCo</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SA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Infrastructure Partners (Blackrock)</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Ultimate parent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SA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Ultimate parent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FR</w:t>
            </w:r>
          </w:p>
        </w:tc>
        <w:tc>
          <w:tcPr>
            <w:tcW w:type="dxa" w:w="2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Gatwick Airport Finance plc (GAF) is the MidCo that sits between the shareholders and the Ivy Holdco / OpCo sub-group. GAF issues its own debt, secured on its only asset (the equity in the OpCo group).</w:t>
      </w:r>
    </w:p>
    <w:p>
      <w:pPr>
        <w:spacing w:after="120"/>
      </w:pPr>
      <w:r>
        <w:rPr>
          <w:rFonts w:ascii="Arial" w:cs="Arial" w:eastAsia="Arial" w:hAnsi="Arial"/>
          <w:sz w:val="22"/>
          <w:szCs w:val="22"/>
        </w:rPr>
        <w:t xml:space="preserve">The operating company (Gatwick Airport Limited) and the issuer SPV (Gatwick Funding Limited) are economically a single unit under the 2011 Common Terms Agreement — they are joint debtors, and bonds issued by Gatwick Funding are secured by the assets and cashflows of the operating company. Together they form the “ring-fenced group.” GAF debt is structurally subordinated to this ring-fence.</w:t>
      </w:r>
    </w:p>
    <w:p>
      <w:pPr>
        <w:pStyle w:val="Heading3"/>
        <w:spacing w:after="100" w:before="180"/>
      </w:pPr>
      <w:r>
        <w:rPr>
          <w:rFonts w:ascii="Arial" w:cs="Arial" w:eastAsia="Arial" w:hAnsi="Arial"/>
          <w:b/>
          <w:bCs/>
          <w:sz w:val="22"/>
          <w:szCs w:val="22"/>
        </w:rPr>
        <w:t xml:space="preserve">OpCo debt — Class A bonds (Gatwick Funding Ltd)</w:t>
      </w:r>
    </w:p>
    <w:p>
      <w:pPr>
        <w:spacing w:after="120"/>
      </w:pPr>
      <w:r>
        <w:rPr>
          <w:rFonts w:ascii="Arial" w:cs="Arial" w:eastAsia="Arial" w:hAnsi="Arial"/>
          <w:sz w:val="22"/>
          <w:szCs w:val="22"/>
        </w:rPr>
        <w:t xml:space="preserve">Our client holds £125m of the Class A bonds. All tranches are pari-passu.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500"/>
        <w:gridCol w:w="1100"/>
        <w:gridCol w:w="1660"/>
      </w:tblGrid>
      <w:tr>
        <w:trPr>
          <w:tblHeader/>
        </w:trP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Bond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Total (£m)</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Coupon</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Maturity</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Class</w:t>
            </w:r>
          </w:p>
        </w:tc>
        <w:tc>
          <w:tcPr>
            <w:tcW w:type="dxa" w:w="1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Our holding (£m)</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6.125% 2026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300.0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6.125%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 2026</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2.5% 2030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300.0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2.50%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Apr 2030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SLB 3.625% 2033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627.2</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3.625%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Oct 2033</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(SLB)</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4.625% 2034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350.0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4.625%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 2034</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5.75% 2037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300.0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5.75%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Jan 2037</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3.125% 2039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350.0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3.125%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Sep 2039</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5.5% 2040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250.0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Apr 2040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6.5% 2041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300.0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6.50%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 2041</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2.625% 2046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180.1</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2.625%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Oct 2046</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3.25% 2048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203.3</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3.25%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Feb 2048</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Class A 2.875% 2049 Bond</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204.0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2.875%</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Jul 2049</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pro-rata</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Total Class A bonds (OpCo)</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3,364.6</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all pari-passu</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rank 1</w:t>
            </w:r>
          </w:p>
        </w:tc>
        <w:tc>
          <w:tcPr>
            <w:tcW w:type="dxa" w:w="1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125.0</w:t>
            </w:r>
          </w:p>
        </w:tc>
      </w:tr>
    </w:tbl>
    <w:p>
      <w:pPr>
        <w:spacing w:after="120"/>
      </w:pPr>
      <w:r>
        <w:rPr>
          <w:rFonts w:ascii="Arial" w:cs="Arial" w:eastAsia="Arial" w:hAnsi="Arial"/>
          <w:sz w:val="22"/>
          <w:szCs w:val="22"/>
        </w:rPr>
        <w:t xml:space="preserve"/>
      </w:r>
    </w:p>
    <w:p>
      <w:pPr>
        <w:pStyle w:val="Heading3"/>
        <w:spacing w:after="100" w:before="180"/>
      </w:pPr>
      <w:r>
        <w:rPr>
          <w:rFonts w:ascii="Arial" w:cs="Arial" w:eastAsia="Arial" w:hAnsi="Arial"/>
          <w:b/>
          <w:bCs/>
          <w:sz w:val="22"/>
          <w:szCs w:val="22"/>
        </w:rPr>
        <w:t xml:space="preserve">MidCo debt — Gatwick Airport Finance plc (GAF)</w:t>
      </w:r>
    </w:p>
    <w:p>
      <w:pPr>
        <w:spacing w:after="120"/>
      </w:pPr>
      <w:r>
        <w:rPr>
          <w:rFonts w:ascii="Arial" w:cs="Arial" w:eastAsia="Arial" w:hAnsi="Arial"/>
          <w:sz w:val="22"/>
          <w:szCs w:val="22"/>
        </w:rPr>
        <w:t xml:space="preserve">Our client holds nothing at MidCo. Fitch rating action of 21 November 2025 confirms the new £475m bond: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1500"/>
        <w:gridCol w:w="1100"/>
        <w:gridCol w:w="1660"/>
      </w:tblGrid>
      <w:tr>
        <w:trPr>
          <w:tblHeader/>
        </w:trP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Bond</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Total (£m)</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Coupon</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Maturity</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Rating</w:t>
            </w:r>
          </w:p>
        </w:tc>
        <w:tc>
          <w:tcPr>
            <w:tcW w:type="dxa" w:w="1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Our holding (£m)</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GAF 6% 2030 Bond (XS3221827911)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475.0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6.00%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Nov 2030</w:t>
            </w:r>
          </w:p>
        </w:tc>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BB / Stable</w:t>
            </w:r>
          </w:p>
        </w:tc>
        <w:tc>
          <w:tcPr>
            <w:tcW w:type="dxa" w:w="1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0.0</w:t>
            </w:r>
          </w:p>
        </w:tc>
      </w:tr>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Total MidCo debt</w:t>
            </w:r>
          </w:p>
        </w:tc>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475.0</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structurally subordinated</w:t>
            </w:r>
          </w:p>
        </w:tc>
        <w:tc>
          <w:tcPr>
            <w:tcW w:type="dxa" w:w="11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rank 2</w:t>
            </w:r>
          </w:p>
        </w:tc>
        <w:tc>
          <w:tcPr>
            <w:tcW w:type="dxa" w:w="1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0.0</w:t>
            </w:r>
          </w:p>
        </w:tc>
      </w:tr>
    </w:tbl>
    <w:p>
      <w:pPr>
        <w:spacing w:after="120"/>
      </w:pPr>
      <w:r>
        <w:rPr>
          <w:rFonts w:ascii="Arial" w:cs="Arial" w:eastAsia="Arial" w:hAnsi="Arial"/>
          <w:sz w:val="22"/>
          <w:szCs w:val="22"/>
        </w:rPr>
        <w:t xml:space="preserve"/>
      </w:r>
    </w:p>
    <w:p>
      <w:pPr>
        <w:spacing w:after="120"/>
        <w:rPr>
          <w:i/>
          <w:iCs/>
          <w:color w:val="666666"/>
        </w:rPr>
      </w:pPr>
      <w:r>
        <w:rPr>
          <w:rFonts w:ascii="Arial" w:cs="Arial" w:eastAsia="Arial" w:hAnsi="Arial"/>
          <w:i/>
          <w:iCs/>
          <w:color w:val="666666"/>
          <w:sz w:val="22"/>
          <w:szCs w:val="22"/>
        </w:rPr>
        <w:t xml:space="preserve">Fitch notes: “The ‘BB’ rating on GAF’s notes reflects the structural subordination of its debt to the ring-fenced Gatwick Funding Limited (GF) group… GAF’s debt rating is notched down twice from the group’s consolidated profile.” Shareholders have publicly committed to maintaining six months of debt service as cash at GAF to mitigate the absence of a dedicated liquidity line.</w:t>
      </w:r>
    </w:p>
    <w:p>
      <w:pPr>
        <w:pStyle w:val="Heading2"/>
        <w:spacing w:after="120" w:before="200"/>
      </w:pPr>
      <w:r>
        <w:rPr>
          <w:rFonts w:ascii="Arial" w:cs="Arial" w:eastAsia="Arial" w:hAnsi="Arial"/>
          <w:b/>
          <w:bCs/>
          <w:color w:val="1F6FA5"/>
          <w:sz w:val="26"/>
          <w:szCs w:val="26"/>
        </w:rPr>
        <w:t xml:space="preserve">2. Valuation assumption (the missing input)</w:t>
      </w:r>
    </w:p>
    <w:p>
      <w:pPr>
        <w:spacing w:after="120"/>
      </w:pPr>
      <w:r>
        <w:rPr>
          <w:rFonts w:ascii="Arial" w:cs="Arial" w:eastAsia="Arial" w:hAnsi="Arial"/>
          <w:sz w:val="22"/>
          <w:szCs w:val="22"/>
        </w:rPr>
        <w:t xml:space="preserve">Gatwick does not yet have an Enterprise Value on file. For this example the working assumption is £6,500m, triangulated from:</w:t>
      </w:r>
    </w:p>
    <w:p>
      <w:pPr>
        <w:pStyle w:val="ListParagraph"/>
        <w:numPr>
          <w:ilvl w:val="0"/>
          <w:numId w:val="2"/>
        </w:numPr>
        <w:spacing w:after="80"/>
      </w:pPr>
      <w:r>
        <w:rPr>
          <w:rFonts w:ascii="Arial" w:cs="Arial" w:eastAsia="Arial" w:hAnsi="Arial"/>
          <w:sz w:val="22"/>
          <w:szCs w:val="22"/>
        </w:rPr>
        <w:t xml:space="preserve">FY2024 EBITDA of £571m at an EV/EBITDA multiple of ∼11.4× (midpoint of the UK regulated airport peer range) → £6.5bn.</w:t>
      </w:r>
    </w:p>
    <w:p>
      <w:pPr>
        <w:pStyle w:val="ListParagraph"/>
        <w:numPr>
          <w:ilvl w:val="0"/>
          <w:numId w:val="2"/>
        </w:numPr>
        <w:spacing w:after="80"/>
      </w:pPr>
      <w:r>
        <w:rPr>
          <w:rFonts w:ascii="Arial" w:cs="Arial" w:eastAsia="Arial" w:hAnsi="Arial"/>
          <w:sz w:val="22"/>
          <w:szCs w:val="22"/>
        </w:rPr>
        <w:t xml:space="preserve">VINCI paid £2.9bn for 50.01% in 2019, implying £5.8bn total. Post-Covid passenger recovery to 43.2m in 2024 and the recent refinancing justify a step up.</w:t>
      </w:r>
    </w:p>
    <w:p>
      <w:pPr>
        <w:pStyle w:val="ListParagraph"/>
        <w:numPr>
          <w:ilvl w:val="0"/>
          <w:numId w:val="2"/>
        </w:numPr>
        <w:spacing w:after="80"/>
      </w:pPr>
      <w:r>
        <w:rPr>
          <w:rFonts w:ascii="Arial" w:cs="Arial" w:eastAsia="Arial" w:hAnsi="Arial"/>
          <w:sz w:val="22"/>
          <w:szCs w:val="22"/>
        </w:rPr>
        <w:t xml:space="preserve">Sense-check against Fitch: consolidated Net Debt/EBITDA peaks at 7.2× in 2027 under their rating case. With £3,839.6m of debt today that implies 2027 EBITDA ≈ £533m, and on an 11-12× multiple an EV in the £5.9–6.4bn range.</w:t>
      </w:r>
    </w:p>
    <w:p>
      <w:pPr>
        <w:spacing w:after="120"/>
      </w:pPr>
      <w:r>
        <w:rPr>
          <w:rFonts w:ascii="Arial" w:cs="Arial" w:eastAsia="Arial" w:hAnsi="Arial"/>
          <w:sz w:val="22"/>
          <w:szCs w:val="22"/>
        </w:rPr>
        <w:t xml:space="preserve">In a live deal this single number goes on Tab 1 with a valuation method (transaction / DCF / multiples / appraisal / mark-to-model) and valuation date. Every other number on this page is derived from it.</w:t>
      </w:r>
    </w:p>
    <w:p>
      <w:pPr>
        <w:pStyle w:val="Heading2"/>
        <w:spacing w:after="120" w:before="200"/>
      </w:pPr>
      <w:r>
        <w:rPr>
          <w:rFonts w:ascii="Arial" w:cs="Arial" w:eastAsia="Arial" w:hAnsi="Arial"/>
          <w:b/>
          <w:bCs/>
          <w:color w:val="1F6FA5"/>
          <w:sz w:val="26"/>
          <w:szCs w:val="26"/>
        </w:rPr>
        <w:t xml:space="preserve">3. The walked capital stack</w:t>
      </w:r>
    </w:p>
    <w:p>
      <w:pPr>
        <w:spacing w:after="120"/>
      </w:pPr>
      <w:r>
        <w:rPr>
          <w:rFonts w:ascii="Arial" w:cs="Arial" w:eastAsia="Arial" w:hAnsi="Arial"/>
          <w:sz w:val="22"/>
          <w:szCs w:val="22"/>
        </w:rPr>
        <w:t xml:space="preserve">The stack is walked bottom-up — starting at the asset and ending at the ultimate shareholders. Each layer absorbs debt at its own level; the residual flows up through the ownership chain.</w:t>
      </w:r>
    </w:p>
    <w:p>
      <w:pPr>
        <w:pStyle w:val="Heading3"/>
        <w:spacing w:after="100" w:before="180"/>
      </w:pPr>
      <w:r>
        <w:rPr>
          <w:rFonts w:ascii="Arial" w:cs="Arial" w:eastAsia="Arial" w:hAnsi="Arial"/>
          <w:b/>
          <w:bCs/>
          <w:sz w:val="22"/>
          <w:szCs w:val="22"/>
        </w:rPr>
        <w:t xml:space="preserve">Step 1 — OpCo / Issuer (CTA ring-fenced group)</w:t>
      </w:r>
    </w:p>
    <w:p>
      <w:pPr>
        <w:spacing w:after="120"/>
      </w:pPr>
      <w:r>
        <w:rPr>
          <w:rFonts w:ascii="Arial" w:cs="Arial" w:eastAsia="Arial" w:hAnsi="Arial"/>
          <w:sz w:val="22"/>
          <w:szCs w:val="22"/>
        </w:rPr>
        <w:t xml:space="preserve">This is where the operating cashflow lives and where our £125m exposure sits. All Class A debt is pari-passu, rank 1.</w:t>
      </w:r>
    </w:p>
    <w:p>
      <w:pPr>
        <w:pStyle w:val="ListParagraph"/>
        <w:numPr>
          <w:ilvl w:val="0"/>
          <w:numId w:val="2"/>
        </w:numPr>
        <w:spacing w:after="80"/>
      </w:pPr>
      <w:r>
        <w:rPr>
          <w:rFonts w:ascii="Arial" w:cs="Arial" w:eastAsia="Arial" w:hAnsi="Arial"/>
          <w:sz w:val="22"/>
          <w:szCs w:val="22"/>
        </w:rPr>
        <w:t xml:space="preserve">Class A bonds (total): £3,364.6m</w:t>
      </w:r>
    </w:p>
    <w:p>
      <w:pPr>
        <w:pStyle w:val="ListParagraph"/>
        <w:numPr>
          <w:ilvl w:val="0"/>
          <w:numId w:val="2"/>
        </w:numPr>
        <w:spacing w:after="80"/>
      </w:pPr>
      <w:r>
        <w:rPr>
          <w:rFonts w:ascii="Arial" w:cs="Arial" w:eastAsia="Arial" w:hAnsi="Arial"/>
          <w:sz w:val="22"/>
          <w:szCs w:val="22"/>
        </w:rPr>
        <w:t xml:space="preserve">OpCo residual equity value: £6,500m − £3,364.6m = £3,135.4m</w:t>
      </w:r>
    </w:p>
    <w:p>
      <w:pPr>
        <w:pStyle w:val="ListParagraph"/>
        <w:numPr>
          <w:ilvl w:val="0"/>
          <w:numId w:val="2"/>
        </w:numPr>
        <w:spacing w:after="80"/>
      </w:pPr>
      <w:r>
        <w:rPr>
          <w:rFonts w:ascii="Arial" w:cs="Arial" w:eastAsia="Arial" w:hAnsi="Arial"/>
          <w:sz w:val="22"/>
          <w:szCs w:val="22"/>
        </w:rPr>
        <w:t xml:space="preserve">This residual flows up through Ivy Holdco (100% owner, no debt) to the MidCo.</w:t>
      </w:r>
    </w:p>
    <w:p>
      <w:pPr>
        <w:pStyle w:val="Heading3"/>
        <w:spacing w:after="100" w:before="180"/>
      </w:pPr>
      <w:r>
        <w:rPr>
          <w:rFonts w:ascii="Arial" w:cs="Arial" w:eastAsia="Arial" w:hAnsi="Arial"/>
          <w:b/>
          <w:bCs/>
          <w:sz w:val="22"/>
          <w:szCs w:val="22"/>
        </w:rPr>
        <w:t xml:space="preserve">Step 2 — MidCo (GAF)</w:t>
      </w:r>
    </w:p>
    <w:p>
      <w:pPr>
        <w:spacing w:after="120"/>
      </w:pPr>
      <w:r>
        <w:rPr>
          <w:rFonts w:ascii="Arial" w:cs="Arial" w:eastAsia="Arial" w:hAnsi="Arial"/>
          <w:sz w:val="22"/>
          <w:szCs w:val="22"/>
        </w:rPr>
        <w:t xml:space="preserve">The MidCo receives £3,135.4m of OpCo equity value and absorbs its own £475m bond. The MidCo bond is senior to equity but structurally subordinated to all OpCo debt (rank 2 in the v8 priority framework).</w:t>
      </w:r>
    </w:p>
    <w:p>
      <w:pPr>
        <w:pStyle w:val="ListParagraph"/>
        <w:numPr>
          <w:ilvl w:val="0"/>
          <w:numId w:val="2"/>
        </w:numPr>
        <w:spacing w:after="80"/>
      </w:pPr>
      <w:r>
        <w:rPr>
          <w:rFonts w:ascii="Arial" w:cs="Arial" w:eastAsia="Arial" w:hAnsi="Arial"/>
          <w:sz w:val="22"/>
          <w:szCs w:val="22"/>
        </w:rPr>
        <w:t xml:space="preserve">OpCo equity flowing in: £3,135.4m</w:t>
      </w:r>
    </w:p>
    <w:p>
      <w:pPr>
        <w:pStyle w:val="ListParagraph"/>
        <w:numPr>
          <w:ilvl w:val="0"/>
          <w:numId w:val="2"/>
        </w:numPr>
        <w:spacing w:after="80"/>
      </w:pPr>
      <w:r>
        <w:rPr>
          <w:rFonts w:ascii="Arial" w:cs="Arial" w:eastAsia="Arial" w:hAnsi="Arial"/>
          <w:sz w:val="22"/>
          <w:szCs w:val="22"/>
        </w:rPr>
        <w:t xml:space="preserve">Less MidCo external debt: £475m</w:t>
      </w:r>
    </w:p>
    <w:p>
      <w:pPr>
        <w:pStyle w:val="ListParagraph"/>
        <w:numPr>
          <w:ilvl w:val="0"/>
          <w:numId w:val="2"/>
        </w:numPr>
        <w:spacing w:after="80"/>
      </w:pPr>
      <w:r>
        <w:rPr>
          <w:rFonts w:ascii="Arial" w:cs="Arial" w:eastAsia="Arial" w:hAnsi="Arial"/>
          <w:sz w:val="22"/>
          <w:szCs w:val="22"/>
        </w:rPr>
        <w:t xml:space="preserve">MidCo residual equity: £2,660.4m</w:t>
      </w:r>
    </w:p>
    <w:p>
      <w:pPr>
        <w:pStyle w:val="Heading3"/>
        <w:spacing w:after="100" w:before="180"/>
      </w:pPr>
      <w:r>
        <w:rPr>
          <w:rFonts w:ascii="Arial" w:cs="Arial" w:eastAsia="Arial" w:hAnsi="Arial"/>
          <w:b/>
          <w:bCs/>
          <w:sz w:val="22"/>
          <w:szCs w:val="22"/>
        </w:rPr>
        <w:t xml:space="preserve">Step 3 — Shareholders (VINCI / GIP)</w:t>
      </w:r>
    </w:p>
    <w:p>
      <w:pPr>
        <w:spacing w:after="120"/>
      </w:pPr>
      <w:r>
        <w:rPr>
          <w:rFonts w:ascii="Arial" w:cs="Arial" w:eastAsia="Arial" w:hAnsi="Arial"/>
          <w:sz w:val="22"/>
          <w:szCs w:val="22"/>
        </w:rPr>
        <w:t xml:space="preserve">The MidCo residual splits along the 50.01 / 49.99 JV: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tcW w:type="dxa" w:w="4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Shareholder</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Ownership</w:t>
            </w:r>
          </w:p>
        </w:tc>
        <w:tc>
          <w:tcPr>
            <w:tcW w:type="dxa" w:w="3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Attributable equity (£m)</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VINCI Airports (VINCI SA)</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50.01%</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1,330.5</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Global Infrastructure Partners (Blackrock)</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49.99%</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1,329.9</w:t>
            </w:r>
          </w:p>
        </w:tc>
      </w:tr>
      <w:tr>
        <w:tc>
          <w:tcPr>
            <w:tcW w:type="dxa" w:w="4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Total residual equity (after GAF debt)</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100.00%</w:t>
            </w:r>
          </w:p>
        </w:tc>
        <w:tc>
          <w:tcPr>
            <w:tcW w:type="dxa" w:w="3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2,660.4</w:t>
            </w:r>
          </w:p>
        </w:tc>
      </w:tr>
    </w:tbl>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4. Full stack — two columns (total and our holding)</w:t>
      </w:r>
    </w:p>
    <w:p>
      <w:pPr>
        <w:spacing w:after="120"/>
      </w:pPr>
      <w:r>
        <w:rPr>
          <w:rFonts w:ascii="Arial" w:cs="Arial" w:eastAsia="Arial" w:hAnsi="Arial"/>
          <w:sz w:val="22"/>
          <w:szCs w:val="22"/>
        </w:rPr>
        <w:t xml:space="preserve">The proposed Capital Stack display: every layer on one row, with the total market position and our client’s slice side-by-side. Zeros in the right column make our position visually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1300"/>
        <w:gridCol w:w="2060"/>
      </w:tblGrid>
      <w:tr>
        <w:trPr>
          <w:tblHeader/>
        </w:trPr>
        <w:tc>
          <w:tcPr>
            <w:tcW w:type="dxa" w:w="3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Layer (bottom = first claim)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Total (£m)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Our holding (£m)</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 of EV</w:t>
            </w:r>
          </w:p>
        </w:tc>
        <w:tc>
          <w:tcPr>
            <w:tcW w:type="dxa" w:w="20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Priority</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2F8B72"/>
                <w:sz w:val="20"/>
                <w:szCs w:val="20"/>
              </w:rPr>
              <w:t xml:space="preserve">Residual equity (VINCI 50.01% / GIP 49.99%)</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2,660.4</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0.0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40.9%</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2F8B72"/>
                <w:sz w:val="20"/>
                <w:szCs w:val="20"/>
              </w:rPr>
              <w:t xml:space="preserve">Rank ∞</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C97F1F"/>
                <w:sz w:val="20"/>
                <w:szCs w:val="20"/>
              </w:rPr>
              <w:t xml:space="preserve">MidCo (GAF) 6% 2030 bond  —  structurally subordinated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475.0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0.0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7.3%</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C97F1F"/>
                <w:sz w:val="20"/>
                <w:szCs w:val="20"/>
              </w:rPr>
              <w:t xml:space="preserve">Rank 2</w:t>
            </w:r>
          </w:p>
        </w:tc>
      </w:tr>
      <w:tr>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1F6FA5"/>
                <w:sz w:val="20"/>
                <w:szCs w:val="20"/>
              </w:rPr>
              <w:t xml:space="preserve">Class A senior secured (11 bonds, pari-passu)</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3,364.6</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125.0</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51.8%</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bCs/>
                <w:color w:val="1F6FA5"/>
                <w:sz w:val="20"/>
                <w:szCs w:val="20"/>
              </w:rPr>
              <w:t xml:space="preserve">Rank 1  (our position)</w:t>
            </w:r>
          </w:p>
        </w:tc>
      </w:tr>
      <w:tr>
        <w:tc>
          <w:tcPr>
            <w:tcW w:type="dxa" w:w="34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20"/>
                <w:szCs w:val="20"/>
              </w:rPr>
              <w:t xml:space="preserve">Enterprise Value (assumed, OpCo-level)</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6,500.0</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125.0</w:t>
            </w:r>
          </w:p>
        </w:tc>
        <w:tc>
          <w:tcPr>
            <w:tcW w:type="dxa" w:w="13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jc w:val="right"/>
            </w:pPr>
            <w:r>
              <w:rPr>
                <w:rFonts w:ascii="Arial" w:cs="Arial" w:eastAsia="Arial" w:hAnsi="Arial"/>
                <w:b/>
                <w:bCs/>
                <w:color w:val="000000"/>
                <w:sz w:val="20"/>
                <w:szCs w:val="20"/>
              </w:rPr>
              <w:t xml:space="preserve">100.0%</w:t>
            </w:r>
          </w:p>
        </w:tc>
        <w:tc>
          <w:tcPr>
            <w:tcW w:type="dxa" w:w="20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5. Derived metrics — deal view vs our view</w:t>
      </w:r>
    </w:p>
    <w:p>
      <w:pPr>
        <w:spacing w:after="120"/>
      </w:pPr>
      <w:r>
        <w:rPr>
          <w:rFonts w:ascii="Arial" w:cs="Arial" w:eastAsia="Arial" w:hAnsi="Arial"/>
          <w:sz w:val="22"/>
          <w:szCs w:val="22"/>
        </w:rPr>
        <w:t xml:space="preserve">The two-column structure carries through to the ratios. Deal-level metrics describe how the deal is put together; our-view metrics describe where our claim sits within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660"/>
      </w:tblGrid>
      <w:tr>
        <w:trPr>
          <w:tblHeader/>
        </w:trPr>
        <w:tc>
          <w:tcPr>
            <w:tcW w:type="dxa" w:w="4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Metric</w:t>
            </w:r>
          </w:p>
        </w:tc>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Deal (total)</w:t>
            </w:r>
          </w:p>
        </w:tc>
        <w:tc>
          <w:tcPr>
            <w:tcW w:type="dxa" w:w="26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Our exposure view</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Senior LTV (Class A / EV)</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51.8%</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51.8% (we’re senior)</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Total LTV (Class A + GAF / EV)</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59.1%</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n/a — we hold only senior</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Senior leverage (Class A / EBITDA)</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5.89×</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5.89×</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Consolidated leverage inc. GAF</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6.72×</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n/a</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Debt senior to us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£0 (we’re at rank 1)</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£0</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Subordinated cushion below us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£475m (MidCo debt acts as a first-loss layer above equity)</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Equity cushion below us</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£2,660m (true equity after MidCo debt)</w:t>
            </w:r>
          </w:p>
        </w:tc>
      </w:tr>
      <w:tr>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Total cushion below our position</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w:t>
            </w:r>
          </w:p>
        </w:tc>
        <w:tc>
          <w:tcPr>
            <w:tcW w:type="dxa" w:w="2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jc w:val="right"/>
            </w:pPr>
            <w:r>
              <w:rPr>
                <w:rFonts w:ascii="Arial" w:cs="Arial" w:eastAsia="Arial" w:hAnsi="Arial"/>
                <w:b w:val="false"/>
                <w:bCs w:val="false"/>
                <w:color w:val="000000"/>
                <w:sz w:val="20"/>
                <w:szCs w:val="20"/>
              </w:rPr>
              <w:t xml:space="preserve">£3,135m (48.2% of EV)</w:t>
            </w:r>
          </w:p>
        </w:tc>
      </w:tr>
    </w:tbl>
    <w:p>
      <w:pPr>
        <w:spacing w:after="120"/>
      </w:pPr>
      <w:r>
        <w:rPr>
          <w:rFonts w:ascii="Arial" w:cs="Arial" w:eastAsia="Arial" w:hAnsi="Arial"/>
          <w:sz w:val="22"/>
          <w:szCs w:val="22"/>
        </w:rPr>
        <w:t xml:space="preserve"/>
      </w:r>
    </w:p>
    <w:p>
      <w:pPr>
        <w:spacing w:after="120"/>
        <w:rPr>
          <w:i/>
          <w:iCs/>
        </w:rPr>
      </w:pPr>
      <w:r>
        <w:rPr>
          <w:rFonts w:ascii="Arial" w:cs="Arial" w:eastAsia="Arial" w:hAnsi="Arial"/>
          <w:i/>
          <w:iCs/>
          <w:sz w:val="22"/>
          <w:szCs w:val="22"/>
        </w:rPr>
        <w:t xml:space="preserve">Interpretation: our £125m is at rank 1 with a 48.2% total cushion below us. Of that cushion, £475m of MidCo debt acts as a first-loss layer — in any distress scenario the MidCo coupon cannot be paid until the GF group releases distributions, so the sponsors and MidCo creditors bear stress before our senior coupon is threatened.</w:t>
      </w:r>
    </w:p>
    <w:p>
      <w:pPr>
        <w:pStyle w:val="Heading2"/>
        <w:spacing w:after="120" w:before="200"/>
      </w:pPr>
      <w:r>
        <w:rPr>
          <w:rFonts w:ascii="Arial" w:cs="Arial" w:eastAsia="Arial" w:hAnsi="Arial"/>
          <w:b/>
          <w:bCs/>
          <w:color w:val="1F6FA5"/>
          <w:sz w:val="26"/>
          <w:szCs w:val="26"/>
        </w:rPr>
        <w:t xml:space="preserve">6. Visual stack summary</w:t>
      </w:r>
    </w:p>
    <w:p>
      <w:pPr>
        <w:spacing w:after="120"/>
      </w:pPr>
      <w:r>
        <w:rPr>
          <w:rFonts w:ascii="Arial" w:cs="Arial" w:eastAsia="Arial" w:hAnsi="Arial"/>
          <w:sz w:val="22"/>
          <w:szCs w:val="22"/>
        </w:rPr>
        <w:t xml:space="preserve">The full stack from bottom (first claim on cashflows) to top (residual claim):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SHAREHOLDERS  (50.01 / 49.99 JV)                                  ┃</w:t>
      </w:r>
    </w:p>
    <w:p>
      <w:pPr>
        <w:spacing w:after="40"/>
      </w:pPr>
      <w:r>
        <w:rPr>
          <w:rFonts w:ascii="Consolas" w:cs="Consolas" w:eastAsia="Consolas" w:hAnsi="Consolas"/>
          <w:sz w:val="18"/>
          <w:szCs w:val="18"/>
        </w:rPr>
        <w:t xml:space="preserve">┃   VINCI Airports               £1,330m   50.01%  (our £0)       ┃</w:t>
      </w:r>
    </w:p>
    <w:p>
      <w:pPr>
        <w:spacing w:after="40"/>
      </w:pPr>
      <w:r>
        <w:rPr>
          <w:rFonts w:ascii="Consolas" w:cs="Consolas" w:eastAsia="Consolas" w:hAnsi="Consolas"/>
          <w:sz w:val="18"/>
          <w:szCs w:val="18"/>
        </w:rPr>
        <w:t xml:space="preserve">┃   GIP / Blackrock              £1,330m   49.99%  (our £0)       ┃</w:t>
      </w:r>
    </w:p>
    <w:p>
      <w:pPr>
        <w:spacing w:after="40"/>
      </w:pPr>
      <w:r>
        <w:rPr>
          <w:rFonts w:ascii="Consolas" w:cs="Consolas" w:eastAsia="Consolas" w:hAnsi="Consolas"/>
          <w:sz w:val="18"/>
          <w:szCs w:val="18"/>
        </w:rPr>
        <w:t xml:space="preserve">┃   Residual equity              £2,660m    41% of EV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GATWICK AIRPORT FINANCE PLC (MidCo)                              ┃</w:t>
      </w:r>
    </w:p>
    <w:p>
      <w:pPr>
        <w:spacing w:after="40"/>
      </w:pPr>
      <w:r>
        <w:rPr>
          <w:rFonts w:ascii="Consolas" w:cs="Consolas" w:eastAsia="Consolas" w:hAnsi="Consolas"/>
          <w:sz w:val="18"/>
          <w:szCs w:val="18"/>
        </w:rPr>
        <w:t xml:space="preserve">┃   GAF 6% 2030 bond              £475m    7%   Rank 2  (our £0)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IVY HOLDCO  (BidCo — pass-through, no debt)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OPCO / ISSUER  (CTA-linked ring-fenced group)                    ┃</w:t>
      </w:r>
    </w:p>
    <w:p>
      <w:pPr>
        <w:spacing w:after="40"/>
      </w:pPr>
      <w:r>
        <w:rPr>
          <w:rFonts w:ascii="Consolas" w:cs="Consolas" w:eastAsia="Consolas" w:hAnsi="Consolas"/>
          <w:sz w:val="18"/>
          <w:szCs w:val="18"/>
        </w:rPr>
        <w:t xml:space="preserve">┃   Class A bonds (11 tranches) £3,365m   52%   Rank 1 (our £125m)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Enterprise Value = £6,500m</w:t>
      </w:r>
    </w:p>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7.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Theme</w:t>
            </w:r>
          </w:p>
        </w:tc>
        <w:tc>
          <w:tcPr>
            <w:tcW w:type="dxa" w:w="6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pPr>
              <w:spacing w:after="0"/>
            </w:pPr>
            <w:r>
              <w:rPr>
                <w:rFonts w:ascii="Arial" w:cs="Arial" w:eastAsia="Arial" w:hAnsi="Arial"/>
                <w:b/>
                <w:bCs/>
                <w:color w:val="000000"/>
                <w:sz w:val="19"/>
                <w:szCs w:val="19"/>
              </w:rPr>
              <w:t xml:space="preserve">Observation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Multi-level structure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Two external debt levels: OpCo/Issuer (CTA, Class A, £3,365m) and MidCo/GAF (BB, £475m). The MidCo debt was introduced in Nov 2025 to refinance the Apr 2026 bond. Fitch rates GAF two notches below the consolidated group profile due to structural subordination.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Senior position is strong</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Senior LTV 51.8%, 48.2% total cushion, of which £475m is first-loss MidCo debt that sits between us and the equity. Typical airport senior debt runs 55–65% LTV — Gatwick is tighter.</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MidCo discipline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GAF debt service depends on dividends upstreamed from the ring-fenced group. Fitch notes shareholders have committed to holding 6 months of debt service as cash. For OpCo bondholders this is credit-positive: any distress will trigger a GF lock-up before the senior coupon is at risk.</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Ownership visibility matters structurally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50.01/49.99 JV split is economically close to a deadlock — change-of-control and shareholder-support undertakings matter more here than in a sponsor-controlled deal. Proportional consolidation is not needed because ultimate equity control is combined, but the split must still be visible.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Data currently missing from our DB</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Enterprise Value on Tab 1 (1 cell). (b) The GAF £475m bond as a Tab 2 row with entity_level=‘midco’ and cashflow_priority_rank=2. (c) The £300m RCF and any other non-bond OpCo facilities.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color w:val="000000"/>
                <w:sz w:val="20"/>
                <w:szCs w:val="20"/>
              </w:rPr>
              <w:t xml:space="preserve">Why the two-column display matters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stack has to speak two audiences at once: the structural picture (total market position — how the deal is put together) and our client’s slice (what piece of which layer they hold). Same data, two lenses, one table.</w:t>
            </w:r>
          </w:p>
        </w:tc>
      </w:tr>
    </w:tbl>
    <w:p>
      <w:pPr>
        <w:spacing w:after="120"/>
      </w:pPr>
      <w:r>
        <w:rPr>
          <w:rFonts w:ascii="Arial" w:cs="Arial" w:eastAsia="Arial" w:hAnsi="Arial"/>
          <w:sz w:val="22"/>
          <w:szCs w:val="22"/>
        </w:rPr>
        <w:t xml:space="preserve"/>
      </w:r>
    </w:p>
    <w:p>
      <w:pPr>
        <w:pStyle w:val="Heading2"/>
        <w:spacing w:after="120" w:before="200"/>
      </w:pPr>
      <w:r>
        <w:rPr>
          <w:rFonts w:ascii="Arial" w:cs="Arial" w:eastAsia="Arial" w:hAnsi="Arial"/>
          <w:b/>
          <w:bCs/>
          <w:color w:val="1F6FA5"/>
          <w:sz w:val="26"/>
          <w:szCs w:val="26"/>
        </w:rPr>
        <w:t xml:space="preserve">8. Implications for the Capital Stack specification</w:t>
      </w:r>
    </w:p>
    <w:p>
      <w:pPr>
        <w:spacing w:after="120"/>
      </w:pPr>
      <w:r>
        <w:rPr>
          <w:rFonts w:ascii="Arial" w:cs="Arial" w:eastAsia="Arial" w:hAnsi="Arial"/>
          <w:sz w:val="22"/>
          <w:szCs w:val="22"/>
        </w:rPr>
        <w:t xml:space="preserve">The Gatwick walk-through clarifies four things about the final spec:</w:t>
      </w:r>
    </w:p>
    <w:p>
      <w:pPr>
        <w:pStyle w:val="ListParagraph"/>
        <w:numPr>
          <w:ilvl w:val="0"/>
          <w:numId w:val="2"/>
        </w:numPr>
        <w:spacing w:after="80"/>
      </w:pPr>
      <w:r>
        <w:rPr>
          <w:rFonts w:ascii="Arial" w:cs="Arial" w:eastAsia="Arial" w:hAnsi="Arial"/>
          <w:sz w:val="22"/>
          <w:szCs w:val="22"/>
        </w:rPr>
        <w:t xml:space="preserve">Two-column structure is the default. Every row in the stack has a Total column (the whole market tranche) and an Our Holding column (our client’s slice, zero for layers we don’t hold). This is not an optional view — it is the primary display.</w:t>
      </w:r>
    </w:p>
    <w:p>
      <w:pPr>
        <w:pStyle w:val="ListParagraph"/>
        <w:numPr>
          <w:ilvl w:val="0"/>
          <w:numId w:val="2"/>
        </w:numPr>
        <w:spacing w:after="80"/>
      </w:pPr>
      <w:r>
        <w:rPr>
          <w:rFonts w:ascii="Arial" w:cs="Arial" w:eastAsia="Arial" w:hAnsi="Arial"/>
          <w:sz w:val="22"/>
          <w:szCs w:val="22"/>
        </w:rPr>
        <w:t xml:space="preserve">Multi-level debt is the norm, not the exception. Gatwick has two external debt levels; M6 Toll and Getlink will likely have the same pattern. The engine must handle this end-to-end without special casing.</w:t>
      </w:r>
    </w:p>
    <w:p>
      <w:pPr>
        <w:pStyle w:val="ListParagraph"/>
        <w:numPr>
          <w:ilvl w:val="0"/>
          <w:numId w:val="2"/>
        </w:numPr>
        <w:spacing w:after="80"/>
      </w:pPr>
      <w:r>
        <w:rPr>
          <w:rFonts w:ascii="Arial" w:cs="Arial" w:eastAsia="Arial" w:hAnsi="Arial"/>
          <w:sz w:val="22"/>
          <w:szCs w:val="22"/>
        </w:rPr>
        <w:t xml:space="preserve">Subordinated debt is part of the cushion, not part of the debt. From the senior bondholder’s perspective the £475m GAF debt is economically equivalent to equity (it can only be paid if the senior is whole). The ratios panel should show “Subordinated cushion” and “True equity cushion” as distinct lines.</w:t>
      </w:r>
    </w:p>
    <w:p>
      <w:pPr>
        <w:pStyle w:val="ListParagraph"/>
        <w:numPr>
          <w:ilvl w:val="0"/>
          <w:numId w:val="2"/>
        </w:numPr>
        <w:spacing w:after="80"/>
      </w:pPr>
      <w:r>
        <w:rPr>
          <w:rFonts w:ascii="Arial" w:cs="Arial" w:eastAsia="Arial" w:hAnsi="Arial"/>
          <w:sz w:val="22"/>
          <w:szCs w:val="22"/>
        </w:rPr>
        <w:t xml:space="preserve">Ownership splits need to be visible even when they don’t affect priority. The 50.01/49.99 JV does not change our senior position, but it changes who we’d negotiate with in a restructuring and who can block a change-of-control consent.</w:t>
      </w:r>
    </w:p>
    <w:p>
      <w:pPr>
        <w:pStyle w:val="Heading2"/>
        <w:spacing w:after="120" w:before="200"/>
      </w:pPr>
      <w:r>
        <w:rPr>
          <w:rFonts w:ascii="Arial" w:cs="Arial" w:eastAsia="Arial" w:hAnsi="Arial"/>
          <w:b/>
          <w:bCs/>
          <w:color w:val="1F6FA5"/>
          <w:sz w:val="26"/>
          <w:szCs w:val="26"/>
        </w:rPr>
        <w:t xml:space="preserve">9. Proposed implementation</w:t>
      </w:r>
    </w:p>
    <w:p>
      <w:pPr>
        <w:spacing w:after="120"/>
      </w:pPr>
      <w:r>
        <w:rPr>
          <w:rFonts w:ascii="Arial" w:cs="Arial" w:eastAsia="Arial" w:hAnsi="Arial"/>
          <w:sz w:val="22"/>
          <w:szCs w:val="22"/>
        </w:rPr>
        <w:t xml:space="preserve">To produce this view automatically on every deal:</w:t>
      </w:r>
    </w:p>
    <w:p>
      <w:pPr>
        <w:pStyle w:val="ListParagraph"/>
        <w:numPr>
          <w:ilvl w:val="0"/>
          <w:numId w:val="2"/>
        </w:numPr>
        <w:spacing w:after="80"/>
      </w:pPr>
      <w:r>
        <w:rPr>
          <w:rFonts w:ascii="Arial" w:cs="Arial" w:eastAsia="Arial" w:hAnsi="Arial"/>
          <w:sz w:val="22"/>
          <w:szCs w:val="22"/>
        </w:rPr>
        <w:t xml:space="preserve">Add 3 new columns to the deals table: valuation_date, valuation_method, valuation_entity. enterprise_value already exists.</w:t>
      </w:r>
    </w:p>
    <w:p>
      <w:pPr>
        <w:pStyle w:val="ListParagraph"/>
        <w:numPr>
          <w:ilvl w:val="0"/>
          <w:numId w:val="2"/>
        </w:numPr>
        <w:spacing w:after="80"/>
      </w:pPr>
      <w:r>
        <w:rPr>
          <w:rFonts w:ascii="Arial" w:cs="Arial" w:eastAsia="Arial" w:hAnsi="Arial"/>
          <w:sz w:val="22"/>
          <w:szCs w:val="22"/>
        </w:rPr>
        <w:t xml:space="preserve">Add a VALUATION &amp; EQUITY section to Tab 1 of the TopSheet collecting those four inputs (EV, Date, Method, Entity).</w:t>
      </w:r>
    </w:p>
    <w:p>
      <w:pPr>
        <w:pStyle w:val="ListParagraph"/>
        <w:numPr>
          <w:ilvl w:val="0"/>
          <w:numId w:val="2"/>
        </w:numPr>
        <w:spacing w:after="80"/>
      </w:pPr>
      <w:r>
        <w:rPr>
          <w:rFonts w:ascii="Arial" w:cs="Arial" w:eastAsia="Arial" w:hAnsi="Arial"/>
          <w:sz w:val="22"/>
          <w:szCs w:val="22"/>
        </w:rPr>
        <w:t xml:space="preserve">Ensure the Tab 2 row for MidCo debt is populated with entity_level=‘midco’, entity_name pointing to the MidCo entity in Tab 7, and either a manually set cashflow_priority_rank=2 or a blank (the v8 engine will auto-assign it).</w:t>
      </w:r>
    </w:p>
    <w:p>
      <w:pPr>
        <w:pStyle w:val="ListParagraph"/>
        <w:numPr>
          <w:ilvl w:val="0"/>
          <w:numId w:val="2"/>
        </w:numPr>
        <w:spacing w:after="80"/>
      </w:pPr>
      <w:r>
        <w:rPr>
          <w:rFonts w:ascii="Arial" w:cs="Arial" w:eastAsia="Arial" w:hAnsi="Arial"/>
          <w:sz w:val="22"/>
          <w:szCs w:val="22"/>
        </w:rPr>
        <w:t xml:space="preserve">Extend server/capital_structure_engine.py with a build_capital_stack(deal, instruments, entities, ev, our_holdings) helper. our_holdings is a dict keyed by instrument id → amount we hold. The helper returns a tiered stack structure with both total and our-holding figures per layer.</w:t>
      </w:r>
    </w:p>
    <w:p>
      <w:pPr>
        <w:pStyle w:val="ListParagraph"/>
        <w:numPr>
          <w:ilvl w:val="0"/>
          <w:numId w:val="2"/>
        </w:numPr>
        <w:spacing w:after="80"/>
      </w:pPr>
      <w:r>
        <w:rPr>
          <w:rFonts w:ascii="Arial" w:cs="Arial" w:eastAsia="Arial" w:hAnsi="Arial"/>
          <w:sz w:val="22"/>
          <w:szCs w:val="22"/>
        </w:rPr>
        <w:t xml:space="preserve">Add a Capital Stack block to the Deal TopSheet page rendering the two-column table + visual layers + derived metrics (deal view / our view).</w:t>
      </w:r>
    </w:p>
    <w:p>
      <w:pPr>
        <w:pStyle w:val="ListParagraph"/>
        <w:numPr>
          <w:ilvl w:val="0"/>
          <w:numId w:val="2"/>
        </w:numPr>
        <w:spacing w:after="80"/>
      </w:pPr>
      <w:r>
        <w:rPr>
          <w:rFonts w:ascii="Arial" w:cs="Arial" w:eastAsia="Arial" w:hAnsi="Arial"/>
          <w:sz w:val="22"/>
          <w:szCs w:val="22"/>
        </w:rPr>
        <w:t xml:space="preserve">Bump the Excel template to v9.</w:t>
      </w:r>
    </w:p>
    <w:p>
      <w:pPr>
        <w:spacing w:after="120"/>
      </w:pPr>
      <w:r>
        <w:rPr>
          <w:rFonts w:ascii="Arial" w:cs="Arial" w:eastAsia="Arial" w:hAnsi="Arial"/>
          <w:sz w:val="22"/>
          <w:szCs w:val="22"/>
        </w:rPr>
        <w:t xml:space="preserve"/>
      </w:r>
    </w:p>
    <w:p>
      <w:pPr>
        <w:spacing w:after="120"/>
        <w:rPr>
          <w:i/>
          <w:iCs/>
        </w:rPr>
      </w:pPr>
      <w:r>
        <w:rPr>
          <w:rFonts w:ascii="Arial" w:cs="Arial" w:eastAsia="Arial" w:hAnsi="Arial"/>
          <w:i/>
          <w:iCs/>
          <w:sz w:val="22"/>
          <w:szCs w:val="22"/>
        </w:rPr>
        <w:t xml:space="preserve">Once Enterprise Value is populated and the GAF bond is added as a Tab 2 row, every other number on this page becomes derived, consistent across the portfolio, and comparable across deals regardless of how many corporate layers sit between the operating asset and the ultimate sponsor.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6FA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6FA5"/>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Gatwick Capital Stack — Worked Example</dc:title>
  <dc:creator>Sesame Street</dc:creator>
  <dc:description>Multi-level capital stack walked through using the v8 taxonomy.</dc:description>
  <cp:lastModifiedBy>Un-named</cp:lastModifiedBy>
  <cp:revision>1</cp:revision>
  <dcterms:created xsi:type="dcterms:W3CDTF">2026-04-14T19:04:07.492Z</dcterms:created>
  <dcterms:modified xsi:type="dcterms:W3CDTF">2026-04-14T19:04:07.493Z</dcterms:modified>
</cp:coreProperties>
</file>

<file path=docProps/custom.xml><?xml version="1.0" encoding="utf-8"?>
<Properties xmlns="http://schemas.openxmlformats.org/officeDocument/2006/custom-properties" xmlns:vt="http://schemas.openxmlformats.org/officeDocument/2006/docPropsVTypes"/>
</file>