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rFonts w:ascii="Arial" w:cs="Arial" w:eastAsia="Arial" w:hAnsi="Arial"/>
          <w:b/>
          <w:bCs/>
          <w:color w:val="1F6FA5"/>
          <w:sz w:val="72"/>
          <w:szCs w:val="72"/>
        </w:rPr>
        <w:t xml:space="preserve">Sesame Street</w:t>
      </w:r>
    </w:p>
    <w:p>
      <w:pPr>
        <w:spacing w:after="200"/>
        <w:jc w:val="center"/>
      </w:pPr>
      <w:r>
        <w:rPr>
          <w:rFonts w:ascii="Arial" w:cs="Arial" w:eastAsia="Arial" w:hAnsi="Arial"/>
          <w:color w:val="263849"/>
          <w:sz w:val="32"/>
          <w:szCs w:val="32"/>
        </w:rPr>
        <w:t xml:space="preserve">Private Credit Monitoring Platform</w:t>
      </w:r>
    </w:p>
    <w:p>
      <w:pPr>
        <w:spacing w:after="1600"/>
        <w:jc w:val="center"/>
      </w:pPr>
      <w:r>
        <w:rPr>
          <w:rFonts w:ascii="Arial" w:cs="Arial" w:eastAsia="Arial" w:hAnsi="Arial"/>
          <w:i/>
          <w:iCs/>
          <w:color w:val="56718A"/>
          <w:sz w:val="36"/>
          <w:szCs w:val="36"/>
        </w:rPr>
        <w:t xml:space="preserve">Database Schema Reference</w:t>
      </w:r>
    </w:p>
    <w:p>
      <w:pPr>
        <w:spacing w:after="200"/>
        <w:jc w:val="center"/>
      </w:pPr>
      <w:r>
        <w:rPr>
          <w:rFonts w:ascii="Arial" w:cs="Arial" w:eastAsia="Arial" w:hAnsi="Arial"/>
          <w:color w:val="56718A"/>
          <w:sz w:val="22"/>
          <w:szCs w:val="22"/>
        </w:rPr>
        <w:t xml:space="preserve">Every table · every column · every constraint</w:t>
      </w:r>
    </w:p>
    <w:p>
      <w:pPr>
        <w:spacing w:after="80"/>
        <w:jc w:val="center"/>
      </w:pPr>
      <w:r>
        <w:rPr>
          <w:rFonts w:ascii="Arial" w:cs="Arial" w:eastAsia="Arial" w:hAnsi="Arial"/>
          <w:i/>
          <w:iCs/>
          <w:color w:val="56718A"/>
          <w:sz w:val="20"/>
          <w:szCs w:val="20"/>
        </w:rPr>
        <w:t xml:space="preserve">Document 1 of 8  ·  Version 1.0  ·  April 2026</w:t>
      </w:r>
    </w:p>
    <w:p>
      <w:pPr>
        <w:pStyle w:val="Heading1"/>
        <w:pageBreakBefore/>
        <w:spacing w:after="180" w:before="240"/>
      </w:pPr>
      <w:r>
        <w:rPr>
          <w:rFonts w:ascii="Arial" w:cs="Arial" w:eastAsia="Arial" w:hAnsi="Arial"/>
          <w:b/>
          <w:bCs/>
          <w:color w:val="1F6FA5"/>
          <w:sz w:val="40"/>
          <w:szCs w:val="40"/>
        </w:rPr>
        <w:t xml:space="preserve">How to use this document</w:t>
      </w:r>
    </w:p>
    <w:p>
      <w:pPr>
        <w:spacing w:after="140" w:line="280"/>
        <w:jc w:val="both"/>
      </w:pPr>
      <w:r>
        <w:rPr>
          <w:rFonts w:ascii="Arial" w:cs="Arial" w:eastAsia="Arial" w:hAnsi="Arial"/>
          <w:sz w:val="22"/>
          <w:szCs w:val="22"/>
        </w:rPr>
        <w:t xml:space="preserve">This document is the definitive reference for the Sesame Street database schema. If you need to recreate the database from scratch, every table you need to define is in here with its columns, types, constraints, and purpose. The schema is split across two files on disk: postgres/init.sql (first-time creation) and postgres/migrations.sql (idempotent evolutionary changes applied in order on every deploy).</w:t>
      </w:r>
    </w:p>
    <w:p>
      <w:pPr>
        <w:spacing w:after="140" w:line="280"/>
        <w:jc w:val="both"/>
      </w:pPr>
      <w:r>
        <w:rPr>
          <w:rFonts w:ascii="Arial" w:cs="Arial" w:eastAsia="Arial" w:hAnsi="Arial"/>
          <w:sz w:val="22"/>
          <w:szCs w:val="22"/>
        </w:rPr>
        <w:t xml:space="preserve">Tables are grouped into 17 families by purpose. Within each family, tables are listed in rough dependency order so a reader can build up the picture. Indexes and foreign keys are noted per table. Where a table carries the five-column audit-trail block, it is flagged rather than listed verbatim every time — the block is defined once at the end of Chapter 2.</w:t>
      </w:r>
    </w:p>
    <w:p>
      <w:pPr>
        <w:pStyle w:val="Heading2"/>
        <w:spacing w:after="120" w:before="240"/>
      </w:pPr>
      <w:r>
        <w:rPr>
          <w:rFonts w:ascii="Arial" w:cs="Arial" w:eastAsia="Arial" w:hAnsi="Arial"/>
          <w:b/>
          <w:bCs/>
          <w:color w:val="263849"/>
          <w:sz w:val="30"/>
          <w:szCs w:val="30"/>
        </w:rPr>
        <w:t xml:space="preserve">Conventions</w:t>
      </w:r>
    </w:p>
    <w:p>
      <w:pPr>
        <w:pStyle w:val="ListParagraph"/>
        <w:numPr>
          <w:ilvl w:val="0"/>
          <w:numId w:val="2"/>
        </w:numPr>
        <w:spacing w:after="60"/>
      </w:pPr>
      <w:r>
        <w:rPr>
          <w:rFonts w:ascii="Arial" w:cs="Arial" w:eastAsia="Arial" w:hAnsi="Arial"/>
          <w:sz w:val="22"/>
          <w:szCs w:val="22"/>
        </w:rPr>
        <w:t xml:space="preserve">Column types are the PostgreSQL types actually declared in the DDL.</w:t>
      </w:r>
    </w:p>
    <w:p>
      <w:pPr>
        <w:pStyle w:val="ListParagraph"/>
        <w:numPr>
          <w:ilvl w:val="0"/>
          <w:numId w:val="2"/>
        </w:numPr>
        <w:spacing w:after="60"/>
      </w:pPr>
      <w:r>
        <w:rPr>
          <w:rFonts w:ascii="Arial" w:cs="Arial" w:eastAsia="Arial" w:hAnsi="Arial"/>
          <w:sz w:val="22"/>
          <w:szCs w:val="22"/>
        </w:rPr>
        <w:t xml:space="preserve">TEXT and VARCHAR(N) are both listed as TEXT unless the length matters for validation.</w:t>
      </w:r>
    </w:p>
    <w:p>
      <w:pPr>
        <w:pStyle w:val="ListParagraph"/>
        <w:numPr>
          <w:ilvl w:val="0"/>
          <w:numId w:val="2"/>
        </w:numPr>
        <w:spacing w:after="60"/>
      </w:pPr>
      <w:r>
        <w:rPr>
          <w:rFonts w:ascii="Arial" w:cs="Arial" w:eastAsia="Arial" w:hAnsi="Arial"/>
          <w:sz w:val="22"/>
          <w:szCs w:val="22"/>
        </w:rPr>
        <w:t xml:space="preserve">Columns with DEFAULT values have the default shown inline.</w:t>
      </w:r>
    </w:p>
    <w:p>
      <w:pPr>
        <w:pStyle w:val="ListParagraph"/>
        <w:numPr>
          <w:ilvl w:val="0"/>
          <w:numId w:val="2"/>
        </w:numPr>
        <w:spacing w:after="60"/>
      </w:pPr>
      <w:r>
        <w:rPr>
          <w:rFonts w:ascii="Arial" w:cs="Arial" w:eastAsia="Arial" w:hAnsi="Arial"/>
          <w:sz w:val="22"/>
          <w:szCs w:val="22"/>
        </w:rPr>
        <w:t xml:space="preserve">Nullability is explicit only for NOT NULL; everything else is nullable unless marked PK.</w:t>
      </w:r>
    </w:p>
    <w:p>
      <w:pPr>
        <w:pStyle w:val="ListParagraph"/>
        <w:numPr>
          <w:ilvl w:val="0"/>
          <w:numId w:val="2"/>
        </w:numPr>
        <w:spacing w:after="60"/>
      </w:pPr>
      <w:r>
        <w:rPr>
          <w:rFonts w:ascii="Arial" w:cs="Arial" w:eastAsia="Arial" w:hAnsi="Arial"/>
          <w:sz w:val="22"/>
          <w:szCs w:val="22"/>
        </w:rPr>
        <w:t xml:space="preserve">Generated columns (e.g. capital_structure_instruments.private_debt_premium_bps) are flagged as GENERATED STORED.</w:t>
      </w:r>
    </w:p>
    <w:p>
      <w:pPr>
        <w:pStyle w:val="ListParagraph"/>
        <w:numPr>
          <w:ilvl w:val="0"/>
          <w:numId w:val="2"/>
        </w:numPr>
        <w:spacing w:after="60"/>
      </w:pPr>
      <w:r>
        <w:rPr>
          <w:rFonts w:ascii="Arial" w:cs="Arial" w:eastAsia="Arial" w:hAnsi="Arial"/>
          <w:sz w:val="22"/>
          <w:szCs w:val="22"/>
        </w:rPr>
        <w:t xml:space="preserve">JSONB fields are flagged with a hint about what typically lives inside.</w:t>
      </w:r>
    </w:p>
    <w:p>
      <w:pPr>
        <w:pStyle w:val="Heading2"/>
        <w:spacing w:after="120" w:before="240"/>
      </w:pPr>
      <w:r>
        <w:rPr>
          <w:rFonts w:ascii="Arial" w:cs="Arial" w:eastAsia="Arial" w:hAnsi="Arial"/>
          <w:b/>
          <w:bCs/>
          <w:color w:val="263849"/>
          <w:sz w:val="30"/>
          <w:szCs w:val="30"/>
        </w:rPr>
        <w:t xml:space="preserve">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File</w:t>
            </w:r>
          </w:p>
        </w:tc>
        <w:tc>
          <w:tcPr>
            <w:tcW w:type="dxa" w:w="6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postgres/init.sql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First-time database creation. Runs once on a fresh volume. Contains CREATE TABLE, CREATE INDEX, initial seed INSERTs.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postgres/migrations.sql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Idempotent migrations. Runs every deploy. ALTER TABLE ... ADD COLUMN IF NOT EXISTS, CREATE TABLE IF NOT EXISTS, etc. Also holds data-migration DO blocks guarded by NOT EXISTS checks.</w:t>
            </w:r>
          </w:p>
        </w:tc>
      </w:tr>
    </w:tbl>
    <w:p>
      <w:pPr>
        <w:pStyle w:val="Heading1"/>
        <w:pageBreakBefore/>
        <w:spacing w:after="180" w:before="240"/>
      </w:pPr>
      <w:r>
        <w:rPr>
          <w:rFonts w:ascii="Arial" w:cs="Arial" w:eastAsia="Arial" w:hAnsi="Arial"/>
          <w:b/>
          <w:bCs/>
          <w:color w:val="1F6FA5"/>
          <w:sz w:val="40"/>
          <w:szCs w:val="40"/>
        </w:rPr>
        <w:t xml:space="preserve">1. The five-column audit-trail block</w:t>
      </w:r>
    </w:p>
    <w:p>
      <w:pPr>
        <w:spacing w:after="140" w:line="280"/>
        <w:jc w:val="both"/>
      </w:pPr>
      <w:r>
        <w:rPr>
          <w:rFonts w:ascii="Arial" w:cs="Arial" w:eastAsia="Arial" w:hAnsi="Arial"/>
          <w:sz w:val="22"/>
          <w:szCs w:val="22"/>
        </w:rPr>
        <w:t xml:space="preserve">Every deal-scoped table that powers the TopSheet carries an identical five-column audit-trail block. Rather than list it on every table, we define it here once and flag tables that carry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Purpose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source_document_id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References documents(id). Identifies the canonical document that sourced this row. ON DELETE SET NULL.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source_page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Page number in the PDF/sheet.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source_snippet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Extracted quote (≤ 500 char typical) supporting the row.</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source_extracted_by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Attribution string: 'manual' / 'topsheet_importer' / 'email_ingestion' / 'ai_extraction:&lt;model-id&gt;' / 'rating_agency:&lt;agency&gt;'.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source_extracted_at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When the row was extracted.</w:t>
            </w:r>
          </w:p>
        </w:tc>
      </w:tr>
    </w:tbl>
    <w:p>
      <w:pPr>
        <w:spacing w:after="140" w:line="280"/>
        <w:jc w:val="both"/>
      </w:pPr>
      <w:r>
        <w:rPr>
          <w:rFonts w:ascii="Arial" w:cs="Arial" w:eastAsia="Arial" w:hAnsi="Arial"/>
          <w:sz w:val="22"/>
          <w:szCs w:val="22"/>
        </w:rPr>
        <w:t xml:space="preserve">Each table carrying the block also has an index on source_document_id so you can pivot any way you like ('every field that came from doc #42').</w:t>
      </w:r>
    </w:p>
    <w:p>
      <w:pPr>
        <w:pBdr>
          <w:left w:val="single" w:color="1F6FA5" w:sz="16" w:space="10"/>
        </w:pBdr>
        <w:spacing w:after="160" w:before="80"/>
        <w:ind w:left="200"/>
      </w:pPr>
      <w:r>
        <w:rPr>
          <w:rFonts w:ascii="Arial" w:cs="Arial" w:eastAsia="Arial" w:hAnsi="Arial"/>
          <w:i/>
          <w:iCs/>
          <w:color w:val="56718A"/>
          <w:sz w:val="22"/>
          <w:szCs w:val="22"/>
        </w:rPr>
        <w:t xml:space="preserve">In the current demo portfolio, every source_document_id column is NULL. The audit-trail hard-enforcement migration is deferred until real-client cutover — see Chapter 17 for the cutover bundle.</w:t>
      </w:r>
    </w:p>
    <w:p>
      <w:pPr>
        <w:pStyle w:val="Heading1"/>
        <w:pageBreakBefore/>
        <w:spacing w:after="180" w:before="240"/>
      </w:pPr>
      <w:r>
        <w:rPr>
          <w:rFonts w:ascii="Arial" w:cs="Arial" w:eastAsia="Arial" w:hAnsi="Arial"/>
          <w:b/>
          <w:bCs/>
          <w:color w:val="1F6FA5"/>
          <w:sz w:val="40"/>
          <w:szCs w:val="40"/>
        </w:rPr>
        <w:t xml:space="preserve">2. Core — deals</w:t>
      </w:r>
    </w:p>
    <w:p>
      <w:pPr>
        <w:pStyle w:val="Heading2"/>
        <w:spacing w:after="120" w:before="240"/>
      </w:pPr>
      <w:r>
        <w:rPr>
          <w:rFonts w:ascii="Arial" w:cs="Arial" w:eastAsia="Arial" w:hAnsi="Arial"/>
          <w:b/>
          <w:bCs/>
          <w:color w:val="263849"/>
          <w:sz w:val="30"/>
          <w:szCs w:val="30"/>
        </w:rPr>
        <w:t xml:space="preserve">deals</w:t>
      </w:r>
    </w:p>
    <w:p>
      <w:pPr>
        <w:spacing w:after="140" w:line="280"/>
        <w:jc w:val="both"/>
      </w:pPr>
      <w:r>
        <w:rPr>
          <w:rFonts w:ascii="Arial" w:cs="Arial" w:eastAsia="Arial" w:hAnsi="Arial"/>
          <w:sz w:val="22"/>
          <w:szCs w:val="22"/>
        </w:rPr>
        <w:t xml:space="preserve">The master record per deal. Single wide row. All downstream tables reference this by deal_id.</w:t>
      </w:r>
    </w:p>
    <w:p>
      <w:pPr>
        <w:pStyle w:val="Heading3"/>
        <w:spacing w:after="80" w:before="180"/>
      </w:pPr>
      <w:r>
        <w:rPr>
          <w:rFonts w:ascii="Arial" w:cs="Arial" w:eastAsia="Arial" w:hAnsi="Arial"/>
          <w:b/>
          <w:bCs/>
          <w:color w:val="263849"/>
          <w:sz w:val="26"/>
          <w:szCs w:val="26"/>
        </w:rPr>
        <w:t xml:space="preserve">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slug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UNIQUE. URL-safe identifier (e.g. 'gatwick-airport').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Display name.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borrower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Borrower entity name.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borrower_legal_name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Full legal name.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borrower_registered_number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Companies-house or equivalent.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borrower_jurisdiction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Country code.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borrower_registered_address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primary_business_country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primary_business_country_name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ISO-2 code.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EMEA / Americas / APAC.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sector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Infrastructure Debt / Real Estate / Corporate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sub_sector_label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Human label (e.g. 'Tolled Motorway (Concession)').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Infrastructure Debt / Acquisition Finance / Bond Issuance etc.</w:t>
            </w:r>
          </w:p>
        </w:tc>
      </w:tr>
    </w:tbl>
    <w:p>
      <w:pPr>
        <w:pStyle w:val="Heading3"/>
        <w:spacing w:after="80" w:before="180"/>
      </w:pPr>
      <w:r>
        <w:rPr>
          <w:rFonts w:ascii="Arial" w:cs="Arial" w:eastAsia="Arial" w:hAnsi="Arial"/>
          <w:b/>
          <w:bCs/>
          <w:color w:val="263849"/>
          <w:sz w:val="26"/>
          <w:szCs w:val="26"/>
        </w:rPr>
        <w:t xml:space="preserve">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origination_date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maturity_date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fiscal_year_end_month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1–12.</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concession_expiry_date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 concession-based deals.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primary_contract_expiry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valuation_date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Used by the Capital Stack engine.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latest_period_end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latest_period_label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latest_reported_at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next_test_date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3"/>
        <w:spacing w:after="80" w:before="180"/>
      </w:pPr>
      <w:r>
        <w:rPr>
          <w:rFonts w:ascii="Arial" w:cs="Arial" w:eastAsia="Arial" w:hAnsi="Arial"/>
          <w:b/>
          <w:bCs/>
          <w:color w:val="263849"/>
          <w:sz w:val="26"/>
          <w:szCs w:val="26"/>
        </w:rPr>
        <w:t xml:space="preserve">Size &amp;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currency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VARCHAR(3)</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GBP/USD/EUR/JPY/etc.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facility_amount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Total facility size.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exposure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Our holding amount.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enterprise_value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Valuation (optional). Used by Capital Stack.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equity_invested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Equity at risk (sponsor).</w:t>
            </w:r>
          </w:p>
        </w:tc>
      </w:tr>
    </w:tbl>
    <w:p>
      <w:pPr>
        <w:pStyle w:val="Heading3"/>
        <w:spacing w:after="80" w:before="180"/>
      </w:pPr>
      <w:r>
        <w:rPr>
          <w:rFonts w:ascii="Arial" w:cs="Arial" w:eastAsia="Arial" w:hAnsi="Arial"/>
          <w:b/>
          <w:bCs/>
          <w:color w:val="263849"/>
          <w:sz w:val="26"/>
          <w:szCs w:val="26"/>
        </w:rPr>
        <w:t xml:space="preserve">Ratings &amp;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1–4 performance grade with label (e.g. '2 - In Line').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base_grade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Grade before any override.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watchlist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True if on watchlist.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Monitoring / Funded / Restructured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moodys_rating, moodys_outlook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External rating.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sp_rating, sp_outlook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fitch_rating, fitch_outlook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internal_credit_score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Internal rating. Falls back to this if no externals.</w:t>
            </w:r>
          </w:p>
        </w:tc>
      </w:tr>
    </w:tbl>
    <w:p>
      <w:pPr>
        <w:pStyle w:val="Heading3"/>
        <w:spacing w:after="80" w:before="180"/>
      </w:pPr>
      <w:r>
        <w:rPr>
          <w:rFonts w:ascii="Arial" w:cs="Arial" w:eastAsia="Arial" w:hAnsi="Arial"/>
          <w:b/>
          <w:bCs/>
          <w:color w:val="263849"/>
          <w:sz w:val="26"/>
          <w:szCs w:val="26"/>
        </w:rPr>
        <w:t xml:space="preserve">Revenue risk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revenue_risk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P{1-6}-V{1-6}-D{1-5} composite code (pricing-volume-duration).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revenue_risk_composite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Same format, stored for query speed.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contracted_revenue_pct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DECIMAL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0–100.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merchant_revenue_pct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DECIMAL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0–100.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duration_coverage_pct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DECIMAL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How many % of debt is repaid from contracted cashflows.</w:t>
            </w:r>
          </w:p>
        </w:tc>
      </w:tr>
    </w:tbl>
    <w:p>
      <w:pPr>
        <w:pStyle w:val="Heading3"/>
        <w:spacing w:after="80" w:before="180"/>
      </w:pPr>
      <w:r>
        <w:rPr>
          <w:rFonts w:ascii="Arial" w:cs="Arial" w:eastAsia="Arial" w:hAnsi="Arial"/>
          <w:b/>
          <w:bCs/>
          <w:color w:val="263849"/>
          <w:sz w:val="26"/>
          <w:szCs w:val="26"/>
        </w:rPr>
        <w:t xml:space="preserv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security_ranking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 Secured / Senior Unsecured / Subordinated / Holdco-style.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governing_law</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English / New York / Delaware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sponsor_name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parent_group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ownership_structure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Narrative of control structure.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phase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construction / operational / stabilised / divestment.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tail_anchor_type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concession / primary_contract / asset_life.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tail_anchor_date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tail_anchor_label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tail_residual_value_treatment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zero_residual / nominal_residual / retained_asset.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tail_notes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renewal_profile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deep_market_repricing / bilateral_negotiation / competitive_tender_* / hand_back_zero_value / no_anchor_contract.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debt_repayment_from_renewal_pct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DECIMAL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of debt that needs to be repaid after the anchor contract ends.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renewal_notes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3"/>
        <w:spacing w:after="80" w:before="180"/>
      </w:pPr>
      <w:r>
        <w:rPr>
          <w:rFonts w:ascii="Arial" w:cs="Arial" w:eastAsia="Arial" w:hAnsi="Arial"/>
          <w:b/>
          <w:bCs/>
          <w:color w:val="263849"/>
          <w:sz w:val="26"/>
          <w:szCs w:val="26"/>
        </w:rPr>
        <w:t xml:space="preserve">Narrative &amp;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summary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Short description.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deal_overview</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Full investment description (the 'what it is, how it was structured' paragraph).</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metrics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Cached latest metrics object (revenue, EBITDA, CFADS, debt service, net debt, cash).</w:t>
            </w:r>
          </w:p>
        </w:tc>
      </w:tr>
    </w:tbl>
    <w:p>
      <w:pPr>
        <w:pStyle w:val="Heading3"/>
        <w:spacing w:after="80" w:before="180"/>
      </w:pPr>
      <w:r>
        <w:rPr>
          <w:rFonts w:ascii="Arial" w:cs="Arial" w:eastAsia="Arial" w:hAnsi="Arial"/>
          <w:b/>
          <w:bCs/>
          <w:color w:val="263849"/>
          <w:sz w:val="26"/>
          <w:szCs w:val="26"/>
        </w:rPr>
        <w:t xml:space="preserve">Denormalised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overall_covenant_status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Cached worst tier across all covenants.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distribution_status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Cached result of Distribution Assessment Engine.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consecutive_lockup_periods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 escalation logic.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active_grade_override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Pointer to grade_overrides.id.</w:t>
            </w:r>
          </w:p>
        </w:tc>
      </w:tr>
    </w:tbl>
    <w:p>
      <w:pPr>
        <w:pStyle w:val="Heading3"/>
        <w:spacing w:after="80" w:before="180"/>
      </w:pPr>
      <w:r>
        <w:rPr>
          <w:rFonts w:ascii="Arial" w:cs="Arial" w:eastAsia="Arial" w:hAnsi="Arial"/>
          <w:b/>
          <w:bCs/>
          <w:color w:val="263849"/>
          <w:sz w:val="26"/>
          <w:szCs w:val="26"/>
        </w:rPr>
        <w:t xml:space="preserve">Audit trail</w:t>
      </w:r>
    </w:p>
    <w:p>
      <w:pPr>
        <w:spacing w:after="140" w:line="280"/>
        <w:jc w:val="both"/>
      </w:pPr>
      <w:r>
        <w:rPr>
          <w:rFonts w:ascii="Arial" w:cs="Arial" w:eastAsia="Arial" w:hAnsi="Arial"/>
          <w:sz w:val="22"/>
          <w:szCs w:val="22"/>
        </w:rPr>
        <w:t xml:space="preserve">Carries the five-column source_* block (Chapter 1) plus column-level citations in evidence_citations using the 'deals.&lt;column&gt;:&lt;deal_id&gt;' field_key convention.</w:t>
      </w:r>
    </w:p>
    <w:p>
      <w:pPr>
        <w:pStyle w:val="Heading1"/>
        <w:pageBreakBefore/>
        <w:spacing w:after="180" w:before="240"/>
      </w:pPr>
      <w:r>
        <w:rPr>
          <w:rFonts w:ascii="Arial" w:cs="Arial" w:eastAsia="Arial" w:hAnsi="Arial"/>
          <w:b/>
          <w:bCs/>
          <w:color w:val="1F6FA5"/>
          <w:sz w:val="40"/>
          <w:szCs w:val="40"/>
        </w:rPr>
        <w:t xml:space="preserve">3. Capital structure</w:t>
      </w:r>
    </w:p>
    <w:p>
      <w:pPr>
        <w:pStyle w:val="Heading2"/>
        <w:spacing w:after="120" w:before="240"/>
      </w:pPr>
      <w:r>
        <w:rPr>
          <w:rFonts w:ascii="Arial" w:cs="Arial" w:eastAsia="Arial" w:hAnsi="Arial"/>
          <w:b/>
          <w:bCs/>
          <w:color w:val="263849"/>
          <w:sz w:val="30"/>
          <w:szCs w:val="30"/>
        </w:rPr>
        <w:t xml:space="preserve">capital_structure_instruments</w:t>
      </w:r>
    </w:p>
    <w:p>
      <w:pPr>
        <w:spacing w:after="140" w:line="280"/>
        <w:jc w:val="both"/>
      </w:pPr>
      <w:r>
        <w:rPr>
          <w:rFonts w:ascii="Arial" w:cs="Arial" w:eastAsia="Arial" w:hAnsi="Arial"/>
          <w:sz w:val="22"/>
          <w:szCs w:val="22"/>
        </w:rPr>
        <w:t xml:space="preserve">One row per debt instrument. ~70 columns spanning identity, pricing (v9 decomposition), fees, prepayment, yield, and the capital-structure taxonomy. Largest of the child tables.</w:t>
      </w:r>
    </w:p>
    <w:p>
      <w:pPr>
        <w:pStyle w:val="Heading3"/>
        <w:spacing w:after="80" w:before="180"/>
      </w:pPr>
      <w:r>
        <w:rPr>
          <w:rFonts w:ascii="Arial" w:cs="Arial" w:eastAsia="Arial" w:hAnsi="Arial"/>
          <w:b/>
          <w:bCs/>
          <w:color w:val="263849"/>
          <w:sz w:val="26"/>
          <w:szCs w:val="26"/>
        </w:rPr>
        <w:t xml:space="preserve">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UUID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 gen_random_uuid().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ON DELETE CASCADE.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instrument_name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Required. Human name.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instrument_type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senior_term / senior_rcf / capex_facility / mezzanine / shl / bond / note / frn / private_placement / intercompany.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instrument_format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loan / bond / note / frn / il_bond / private_placement / convertible.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pari_passu_group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Instruments in the same group rank equally.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waterfall_priority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Overall waterfall position.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enforcement_class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 A / Class B / Mezz / Equity.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security_ranking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VARCHAR(40)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 Secured / Senior Unsecured / Subordinated.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issuing_entity_id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UUID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FK to corporate_entities.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DEFAULT 'active'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active / repaid / cancelled / restructured.</w:t>
            </w:r>
          </w:p>
        </w:tc>
      </w:tr>
    </w:tbl>
    <w:p>
      <w:pPr>
        <w:pStyle w:val="Heading3"/>
        <w:spacing w:after="80" w:before="180"/>
      </w:pPr>
      <w:r>
        <w:rPr>
          <w:rFonts w:ascii="Arial" w:cs="Arial" w:eastAsia="Arial" w:hAnsi="Arial"/>
          <w:b/>
          <w:bCs/>
          <w:color w:val="263849"/>
          <w:sz w:val="26"/>
          <w:szCs w:val="26"/>
        </w:rPr>
        <w:t xml:space="preserve">Amounts &amp;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committed_amount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Total facility size.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drawn_amount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Currently drawn.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currency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VARCHAR(3)</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start_date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Drawdown / issue date.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maturity_date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our_holding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Our share of this specific instrument.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our_holding_pct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dsra_months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DSRA coverage for this instrument.</w:t>
            </w:r>
          </w:p>
        </w:tc>
      </w:tr>
    </w:tbl>
    <w:p>
      <w:pPr>
        <w:pStyle w:val="Heading3"/>
        <w:spacing w:after="80" w:before="180"/>
      </w:pPr>
      <w:r>
        <w:rPr>
          <w:rFonts w:ascii="Arial" w:cs="Arial" w:eastAsia="Arial" w:hAnsi="Arial"/>
          <w:b/>
          <w:bCs/>
          <w:color w:val="263849"/>
          <w:sz w:val="26"/>
          <w:szCs w:val="26"/>
        </w:rPr>
        <w:t xml:space="preserve">Pricing decomposition (v9)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interest_type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fixed / floating / index_linked / hybrid.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base_rate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SOFR / SONIA / EURIBOR / ESTR / GILT / Fixed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margin_bps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Legacy. Retained for backward compat.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coupon_bps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v9. Full coupon for fixed-rate bonds.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base_rate_at_issuance_bps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v9. Snapshot of the gilt/treasury at pricing.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spread_bps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v9. Canonical credit spread. Used by WA Spread aggregation.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benchmark_spread_bps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v9. IC-memo author's view of comparable new-issue spread.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private_debt_premium_bps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GENERATED STORED = spread_bps − benchmark_spread_bps.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floor_bps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Base-rate floor.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all_in_rate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Legacy field, retained.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payment_frequency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monthly / quarterly / semi_annual / annual.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day_count_convention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act_360 / act_365 / 30_360.</w:t>
            </w:r>
          </w:p>
        </w:tc>
      </w:tr>
    </w:tbl>
    <w:p>
      <w:pPr>
        <w:pStyle w:val="Heading3"/>
        <w:spacing w:after="80" w:before="180"/>
      </w:pPr>
      <w:r>
        <w:rPr>
          <w:rFonts w:ascii="Arial" w:cs="Arial" w:eastAsia="Arial" w:hAnsi="Arial"/>
          <w:b/>
          <w:bCs/>
          <w:color w:val="263849"/>
          <w:sz w:val="26"/>
          <w:szCs w:val="26"/>
        </w:rPr>
        <w:t xml:space="preserve">Loan fee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upfront_fee_bps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Arrangement / OID.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upfront_fee_basis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committed / drawn.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commitment_fee_pct_of_margin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NUMERIC(5,2)</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of margin paid on undrawn.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commitment_fee_bps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Alternative absolute bps on undrawn.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utilisation_fee_tiers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[{threshold_pct, fee_bps}, ...]</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ticking_fee_bps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Delayed-draw fee.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ticking_fee_start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agent_fee_annual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Flat annual amount in native currency.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extension_fee_bps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exit_fee_bps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3"/>
        <w:spacing w:after="80" w:before="180"/>
      </w:pPr>
      <w:r>
        <w:rPr>
          <w:rFonts w:ascii="Arial" w:cs="Arial" w:eastAsia="Arial" w:hAnsi="Arial"/>
          <w:b/>
          <w:bCs/>
          <w:color w:val="263849"/>
          <w:sz w:val="26"/>
          <w:szCs w:val="26"/>
        </w:rPr>
        <w:t xml:space="preserve">Prepayment /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repayment_type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bullet / amortising / sculpted / cash_sweep.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amortisation_profile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Narrative or reference.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call_protection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Legacy freeform 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prepayment_protection_type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make_whole / hard_call / soft_call / none.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prepayment_schedule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[{from_year, premium_pct}, ...].</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soft_call_until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 until soft-call applies.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mfn_sunset_months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Most-favoured-nation sunset.</w:t>
            </w:r>
          </w:p>
        </w:tc>
      </w:tr>
    </w:tbl>
    <w:p>
      <w:pPr>
        <w:pStyle w:val="Heading3"/>
        <w:spacing w:after="80" w:before="180"/>
      </w:pPr>
      <w:r>
        <w:rPr>
          <w:rFonts w:ascii="Arial" w:cs="Arial" w:eastAsia="Arial" w:hAnsi="Arial"/>
          <w:b/>
          <w:bCs/>
          <w:color w:val="263849"/>
          <w:sz w:val="26"/>
          <w:szCs w:val="26"/>
        </w:rPr>
        <w:t xml:space="preserve">Yield / acquisition (our 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acquisition_channel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primary / secondary_purchase.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purchase_price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NUMERIC(8,4)</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Par = 100.00. E.g. 99.50.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original_issue_price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NUMERIC(8,4)</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OID-adjusted issue price.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ytm_bps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Yield to maturity at our acquisition.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ytw_bps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Yield to worst.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has_pik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 DEFAULT FALSE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pik_margin_bps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pik_toggle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 DEFAULT FALSE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3"/>
        <w:spacing w:after="80" w:before="180"/>
      </w:pPr>
      <w:r>
        <w:rPr>
          <w:rFonts w:ascii="Arial" w:cs="Arial" w:eastAsia="Arial" w:hAnsi="Arial"/>
          <w:b/>
          <w:bCs/>
          <w:color w:val="263849"/>
          <w:sz w:val="26"/>
          <w:szCs w:val="26"/>
        </w:rPr>
        <w:t xml:space="preserve">Capital structure taxonomy (v8)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entity_level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VARCHAR(20)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opco / midco / holdco / topco / issuer / bidco / majority_holdco / minority_holdco.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entity_name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match a corporate_entities row.</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ownership_pct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NUMERIC(5,2)</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0–100.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structural_seniority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 closest to cashflows.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ratio_consolidation_level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VARCHAR(30)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opco_standalone / consolidated / proportional_consolidated.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intercompany_lender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subordination_agreement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cashflow_priority_rank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 first claim. Auto-assigned.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pledged_share_entity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v9. For shareholder-NAV debt.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pledged_share_pct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NUMERIC(5,2)</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v9. Drives grossed-up leverage factor (1 / pct).</w:t>
            </w:r>
          </w:p>
        </w:tc>
      </w:tr>
    </w:tbl>
    <w:p>
      <w:pPr>
        <w:pStyle w:val="Heading3"/>
        <w:spacing w:after="80" w:before="180"/>
      </w:pPr>
      <w:r>
        <w:rPr>
          <w:rFonts w:ascii="Arial" w:cs="Arial" w:eastAsia="Arial" w:hAnsi="Arial"/>
          <w:b/>
          <w:bCs/>
          <w:color w:val="263849"/>
          <w:sz w:val="26"/>
          <w:szCs w:val="26"/>
        </w:rPr>
        <w:t xml:space="preserve">Audit trail</w:t>
      </w:r>
    </w:p>
    <w:p>
      <w:pPr>
        <w:spacing w:after="140" w:line="280"/>
        <w:jc w:val="both"/>
      </w:pPr>
      <w:r>
        <w:rPr>
          <w:rFonts w:ascii="Arial" w:cs="Arial" w:eastAsia="Arial" w:hAnsi="Arial"/>
          <w:sz w:val="22"/>
          <w:szCs w:val="22"/>
        </w:rPr>
        <w:t xml:space="preserve">Carries the five-column source_* block. Indexed on source_document_id.</w:t>
      </w:r>
    </w:p>
    <w:p>
      <w:pPr>
        <w:pStyle w:val="Heading3"/>
        <w:spacing w:after="80" w:before="180"/>
      </w:pPr>
      <w:r>
        <w:rPr>
          <w:rFonts w:ascii="Arial" w:cs="Arial" w:eastAsia="Arial" w:hAnsi="Arial"/>
          <w:b/>
          <w:bCs/>
          <w:color w:val="263849"/>
          <w:sz w:val="26"/>
          <w:szCs w:val="26"/>
        </w:rPr>
        <w:t xml:space="preserve">Indexes</w:t>
      </w:r>
    </w:p>
    <w:p>
      <w:pPr>
        <w:pStyle w:val="ListParagraph"/>
        <w:numPr>
          <w:ilvl w:val="0"/>
          <w:numId w:val="2"/>
        </w:numPr>
        <w:spacing w:after="60"/>
      </w:pPr>
      <w:r>
        <w:rPr>
          <w:rFonts w:ascii="Arial" w:cs="Arial" w:eastAsia="Arial" w:hAnsi="Arial"/>
          <w:sz w:val="22"/>
          <w:szCs w:val="22"/>
        </w:rPr>
        <w:t xml:space="preserve">PRIMARY KEY (id)</w:t>
      </w:r>
    </w:p>
    <w:p>
      <w:pPr>
        <w:pStyle w:val="ListParagraph"/>
        <w:numPr>
          <w:ilvl w:val="0"/>
          <w:numId w:val="2"/>
        </w:numPr>
        <w:spacing w:after="60"/>
      </w:pPr>
      <w:r>
        <w:rPr>
          <w:rFonts w:ascii="Arial" w:cs="Arial" w:eastAsia="Arial" w:hAnsi="Arial"/>
          <w:sz w:val="22"/>
          <w:szCs w:val="22"/>
        </w:rPr>
        <w:t xml:space="preserve">idx_csi_deal ON (deal_id)</w:t>
      </w:r>
    </w:p>
    <w:p>
      <w:pPr>
        <w:pStyle w:val="ListParagraph"/>
        <w:numPr>
          <w:ilvl w:val="0"/>
          <w:numId w:val="2"/>
        </w:numPr>
        <w:spacing w:after="60"/>
      </w:pPr>
      <w:r>
        <w:rPr>
          <w:rFonts w:ascii="Arial" w:cs="Arial" w:eastAsia="Arial" w:hAnsi="Arial"/>
          <w:sz w:val="22"/>
          <w:szCs w:val="22"/>
        </w:rPr>
        <w:t xml:space="preserve">idx_csi_src_doc ON (source_document_id)</w:t>
      </w:r>
    </w:p>
    <w:p>
      <w:pPr>
        <w:pStyle w:val="Heading2"/>
        <w:spacing w:after="120" w:before="240"/>
      </w:pPr>
      <w:r>
        <w:rPr>
          <w:rFonts w:ascii="Arial" w:cs="Arial" w:eastAsia="Arial" w:hAnsi="Arial"/>
          <w:b/>
          <w:bCs/>
          <w:color w:val="263849"/>
          <w:sz w:val="30"/>
          <w:szCs w:val="30"/>
        </w:rPr>
        <w:t xml:space="preserve">capital_structure_margin_ratchets</w:t>
      </w:r>
    </w:p>
    <w:p>
      <w:pPr>
        <w:spacing w:after="140" w:line="280"/>
        <w:jc w:val="both"/>
      </w:pPr>
      <w:r>
        <w:rPr>
          <w:rFonts w:ascii="Arial" w:cs="Arial" w:eastAsia="Arial" w:hAnsi="Arial"/>
          <w:sz w:val="22"/>
          <w:szCs w:val="22"/>
        </w:rPr>
        <w:t xml:space="preserve">Child of capital_structure_instruments. One row per ratchet tier. Holds both base-margin ratchets (time- or covenant-triggered) and ESG SPT adjustments (additive bps deltas linked to sustainability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instrument_id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UUID NOT NULL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ON DELETE CASCADE to capital_structure_instruments.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step_order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Ordinal within the instrument.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ratchet_kind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base_margin / esg_adjustment. CHECK-constrained.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time_based / leverage / dscr / icr / coverage_ratio / event_based / esg_kpi / pik_toggle.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trigger_metric</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'net_leverage' / 'senior_dscr' / 'COD' / 'sector_kpi_3' / 'carbon_intensity_tco2_per_pax'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trigger_operator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 / '&lt;=' / '=' / '&gt;=' / '&gt;' / 'between'. CHECK-constrained.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trigger_threshold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 threshold.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trigger_threshold_upper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 'between' operator.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effective_from</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Optional.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effective_to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Optional.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adjustment_mode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absolute (replaces base) / additive (delta). CHECK-matched to ratchet_kind.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margin_bps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Absolute total for base_margin; signed delta for esg_adjustment.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pik_portion_bps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PIK split within the tier (absolute mode only).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step_type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initial / step_up / ratchet_down / pik_toggle / default_margin / esg_reward / esg_penalty.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Audit trail.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created_at, updated_at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3"/>
        <w:spacing w:after="80" w:before="180"/>
      </w:pPr>
      <w:r>
        <w:rPr>
          <w:rFonts w:ascii="Arial" w:cs="Arial" w:eastAsia="Arial" w:hAnsi="Arial"/>
          <w:b/>
          <w:bCs/>
          <w:color w:val="263849"/>
          <w:sz w:val="26"/>
          <w:szCs w:val="26"/>
        </w:rPr>
        <w:t xml:space="preserve">Constraints</w:t>
      </w:r>
    </w:p>
    <w:p>
      <w:pPr>
        <w:pStyle w:val="ListParagraph"/>
        <w:numPr>
          <w:ilvl w:val="0"/>
          <w:numId w:val="2"/>
        </w:numPr>
        <w:spacing w:after="60"/>
      </w:pPr>
      <w:r>
        <w:rPr>
          <w:rFonts w:ascii="Arial" w:cs="Arial" w:eastAsia="Arial" w:hAnsi="Arial"/>
          <w:sz w:val="22"/>
          <w:szCs w:val="22"/>
        </w:rPr>
        <w:t xml:space="preserve">UNIQUE (instrument_id, step_order)</w:t>
      </w:r>
    </w:p>
    <w:p>
      <w:pPr>
        <w:pStyle w:val="ListParagraph"/>
        <w:numPr>
          <w:ilvl w:val="0"/>
          <w:numId w:val="2"/>
        </w:numPr>
        <w:spacing w:after="60"/>
      </w:pPr>
      <w:r>
        <w:rPr>
          <w:rFonts w:ascii="Arial" w:cs="Arial" w:eastAsia="Arial" w:hAnsi="Arial"/>
          <w:sz w:val="22"/>
          <w:szCs w:val="22"/>
        </w:rPr>
        <w:t xml:space="preserve">CHECK (ratchet_kind IN ('base_margin','esg_adjustment'))</w:t>
      </w:r>
    </w:p>
    <w:p>
      <w:pPr>
        <w:pStyle w:val="ListParagraph"/>
        <w:numPr>
          <w:ilvl w:val="0"/>
          <w:numId w:val="2"/>
        </w:numPr>
        <w:spacing w:after="60"/>
      </w:pPr>
      <w:r>
        <w:rPr>
          <w:rFonts w:ascii="Arial" w:cs="Arial" w:eastAsia="Arial" w:hAnsi="Arial"/>
          <w:sz w:val="22"/>
          <w:szCs w:val="22"/>
        </w:rPr>
        <w:t xml:space="preserve">CHECK (adjustment_mode IN ('absolute','additive'))</w:t>
      </w:r>
    </w:p>
    <w:p>
      <w:pPr>
        <w:pStyle w:val="ListParagraph"/>
        <w:numPr>
          <w:ilvl w:val="0"/>
          <w:numId w:val="2"/>
        </w:numPr>
        <w:spacing w:after="60"/>
      </w:pPr>
      <w:r>
        <w:rPr>
          <w:rFonts w:ascii="Arial" w:cs="Arial" w:eastAsia="Arial" w:hAnsi="Arial"/>
          <w:sz w:val="22"/>
          <w:szCs w:val="22"/>
        </w:rPr>
        <w:t xml:space="preserve">CHECK ((ratchet_kind='base_margin' AND adjustment_mode='absolute') OR (ratchet_kind='esg_adjustment' AND adjustment_mode='additive'))</w:t>
      </w:r>
    </w:p>
    <w:p>
      <w:pPr>
        <w:pStyle w:val="ListParagraph"/>
        <w:numPr>
          <w:ilvl w:val="0"/>
          <w:numId w:val="2"/>
        </w:numPr>
        <w:spacing w:after="60"/>
      </w:pPr>
      <w:r>
        <w:rPr>
          <w:rFonts w:ascii="Arial" w:cs="Arial" w:eastAsia="Arial" w:hAnsi="Arial"/>
          <w:sz w:val="22"/>
          <w:szCs w:val="22"/>
        </w:rPr>
        <w:t xml:space="preserve">Indexes: idx_csmr_instrument, idx_csmr_effective_from, idx_csmr_kind, idx_csmr_src_doc.</w:t>
      </w:r>
    </w:p>
    <w:p>
      <w:pPr>
        <w:pStyle w:val="Heading2"/>
        <w:spacing w:after="120" w:before="240"/>
      </w:pPr>
      <w:r>
        <w:rPr>
          <w:rFonts w:ascii="Arial" w:cs="Arial" w:eastAsia="Arial" w:hAnsi="Arial"/>
          <w:b/>
          <w:bCs/>
          <w:color w:val="263849"/>
          <w:sz w:val="30"/>
          <w:szCs w:val="30"/>
        </w:rPr>
        <w:t xml:space="preserve">corporate_entities</w:t>
      </w:r>
    </w:p>
    <w:p>
      <w:pPr>
        <w:spacing w:after="140" w:line="280"/>
        <w:jc w:val="both"/>
      </w:pPr>
      <w:r>
        <w:rPr>
          <w:rFonts w:ascii="Arial" w:cs="Arial" w:eastAsia="Arial" w:hAnsi="Arial"/>
          <w:sz w:val="22"/>
          <w:szCs w:val="22"/>
        </w:rPr>
        <w:t xml:space="preserve">Entity map per deal. Used by the Capital Stack engine to walk the asset-to-equity chain and apply consolidation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UUID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 gen_random_uuid().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entity_name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entity_type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opco / holdco / issuer / bidco / ultimate_parent / intermediate.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parent_entity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Name of parent, if any.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jurisdiction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Country code.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ring_fenced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securitisation_boundary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Is this entity inside the security perimeter?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ownership_pct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NUMERIC(5,2)</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v8. Economic ownership at this level.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ownership_type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v8.</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control_type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v8.</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consolidation_method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v8. full / equity_method / proportional / not_consolidated.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within_security_perimeter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v8.</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ratio_level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v8. Defines the level at which ratios are tested.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enforcement_classes</w:t>
      </w:r>
    </w:p>
    <w:p>
      <w:pPr>
        <w:spacing w:after="140" w:line="280"/>
        <w:jc w:val="both"/>
      </w:pPr>
      <w:r>
        <w:rPr>
          <w:rFonts w:ascii="Arial" w:cs="Arial" w:eastAsia="Arial" w:hAnsi="Arial"/>
          <w:sz w:val="22"/>
          <w:szCs w:val="22"/>
        </w:rPr>
        <w:t xml:space="preserve">For multi-class capital structures (whole-business-securitisation, bond issuers). One row per class, listing ratio definitions and class-level covenant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 A / Class B / Mezz.</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class_code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Short code.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priority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Enforcement order.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included_instruments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Which instruments are in this class.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ratio_definitions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How ratios are computed at this class level.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covenant_thresholds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Class-level thresholds.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deal_jurisdiction_splits</w:t>
      </w:r>
    </w:p>
    <w:p>
      <w:pPr>
        <w:spacing w:after="140" w:line="280"/>
        <w:jc w:val="both"/>
      </w:pPr>
      <w:r>
        <w:rPr>
          <w:rFonts w:ascii="Arial" w:cs="Arial" w:eastAsia="Arial" w:hAnsi="Arial"/>
          <w:sz w:val="22"/>
          <w:szCs w:val="22"/>
        </w:rPr>
        <w:t xml:space="preserve">Multi-country revenue / operations proportions. For deals that operate across jurisdictions (e.g. Getlink 50% France / 50% 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country_code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ISO-2.</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country_name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activity_pct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0–100. Proportion of activity in this country.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activity_type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revenue / operations / assets.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is_primary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One row flagged primary per (deal, activity_type).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1"/>
        <w:pageBreakBefore/>
        <w:spacing w:after="180" w:before="240"/>
      </w:pPr>
      <w:r>
        <w:rPr>
          <w:rFonts w:ascii="Arial" w:cs="Arial" w:eastAsia="Arial" w:hAnsi="Arial"/>
          <w:b/>
          <w:bCs/>
          <w:color w:val="1F6FA5"/>
          <w:sz w:val="40"/>
          <w:szCs w:val="40"/>
        </w:rPr>
        <w:t xml:space="preserve">4. Counterparties, reserves, hedging</w:t>
      </w:r>
    </w:p>
    <w:p>
      <w:pPr>
        <w:pStyle w:val="Heading2"/>
        <w:spacing w:after="120" w:before="240"/>
      </w:pPr>
      <w:r>
        <w:rPr>
          <w:rFonts w:ascii="Arial" w:cs="Arial" w:eastAsia="Arial" w:hAnsi="Arial"/>
          <w:b/>
          <w:bCs/>
          <w:color w:val="263849"/>
          <w:sz w:val="30"/>
          <w:szCs w:val="30"/>
        </w:rPr>
        <w:t xml:space="preserve">deal_counterparties</w:t>
      </w:r>
    </w:p>
    <w:p>
      <w:pPr>
        <w:spacing w:after="140" w:line="280"/>
        <w:jc w:val="both"/>
      </w:pPr>
      <w:r>
        <w:rPr>
          <w:rFonts w:ascii="Arial" w:cs="Arial" w:eastAsia="Arial" w:hAnsi="Arial"/>
          <w:sz w:val="22"/>
          <w:szCs w:val="22"/>
        </w:rPr>
        <w:t xml:space="preserve">Key counterparties per deal: sponsors, arrangers, servicers, offtakers, insurers, rating agencies. Drives counterparty-concentration analysis at portfolio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role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Sponsor / Arranger / Facility Agent / Security Agent / Offtaker / Insurer / Rating Agency.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jurisdiction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rating_agency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exposure_pct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of concentration on this counterparty.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replaceable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contract_end_date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deal_reserve_accounts</w:t>
      </w:r>
    </w:p>
    <w:p>
      <w:pPr>
        <w:spacing w:after="140" w:line="280"/>
        <w:jc w:val="both"/>
      </w:pPr>
      <w:r>
        <w:rPr>
          <w:rFonts w:ascii="Arial" w:cs="Arial" w:eastAsia="Arial" w:hAnsi="Arial"/>
          <w:sz w:val="22"/>
          <w:szCs w:val="22"/>
        </w:rPr>
        <w:t xml:space="preserve">Reserves and liquidity facilities. Required balance vs current balance, funded status, funding source breakdown (cash / LC / PCG / surety), provider names, LC expiry. Underfunded-period counter drives the Distribution Engine's reserve blocker.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UUID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account_name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'Debt Service Reserve Account'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account_type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dsra / mra / capex_reserve / liquidity_facility / working_capital_facility / rcf.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required_balance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current_balance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target_balance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shortfall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GENERATED or cached.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funded_status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fully_funded / partially_funded / unfunded / surplus.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currency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cash_amount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lc_amount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lc_provider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lc_expiry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pcg_amount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pcg_provider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pcg_expiry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surety_amount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periods_underfunded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Consecutive periods underfunded — escalation driver.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top_up_deadline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release_conditions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deal_reserve_history</w:t>
      </w:r>
    </w:p>
    <w:p>
      <w:pPr>
        <w:spacing w:after="140" w:line="280"/>
        <w:jc w:val="both"/>
      </w:pPr>
      <w:r>
        <w:rPr>
          <w:rFonts w:ascii="Arial" w:cs="Arial" w:eastAsia="Arial" w:hAnsi="Arial"/>
          <w:sz w:val="22"/>
          <w:szCs w:val="22"/>
        </w:rPr>
        <w:t xml:space="preserve">Time-series of reserve balances. One row per (account, period). Drives the top-up alert engine and reserve-history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reserve_account_id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deal_reporting_periods.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required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actual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expected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shortfall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variance_pct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top_up_alert_raised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observed_at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hedge_portfolio</w:t>
      </w:r>
    </w:p>
    <w:p>
      <w:pPr>
        <w:spacing w:after="140" w:line="280"/>
        <w:jc w:val="both"/>
      </w:pPr>
      <w:r>
        <w:rPr>
          <w:rFonts w:ascii="Arial" w:cs="Arial" w:eastAsia="Arial" w:hAnsi="Arial"/>
          <w:sz w:val="22"/>
          <w:szCs w:val="22"/>
        </w:rPr>
        <w:t xml:space="preserve">Derivative instruments on the deal — swaps, caps, floors, FX forwards.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instrument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interest_rate_swap / cap / floor / collar / fx_forward / fx_swap / inflation_swap.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counterparty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notional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currency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fixed_leg_rate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floating_leg_index</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start_date, maturity_date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coverage_pct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Of underlying exposure.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cash_settled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mark_to_market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1"/>
        <w:pageBreakBefore/>
        <w:spacing w:after="180" w:before="240"/>
      </w:pPr>
      <w:r>
        <w:rPr>
          <w:rFonts w:ascii="Arial" w:cs="Arial" w:eastAsia="Arial" w:hAnsi="Arial"/>
          <w:b/>
          <w:bCs/>
          <w:color w:val="1F6FA5"/>
          <w:sz w:val="40"/>
          <w:szCs w:val="40"/>
        </w:rPr>
        <w:t xml:space="preserve">5. Covenants and distribution</w:t>
      </w:r>
    </w:p>
    <w:p>
      <w:pPr>
        <w:pStyle w:val="Heading2"/>
        <w:spacing w:after="120" w:before="240"/>
      </w:pPr>
      <w:r>
        <w:rPr>
          <w:rFonts w:ascii="Arial" w:cs="Arial" w:eastAsia="Arial" w:hAnsi="Arial"/>
          <w:b/>
          <w:bCs/>
          <w:color w:val="263849"/>
          <w:sz w:val="30"/>
          <w:szCs w:val="30"/>
        </w:rPr>
        <w:t xml:space="preserve">covenant_thresholds</w:t>
      </w:r>
    </w:p>
    <w:p>
      <w:pPr>
        <w:spacing w:after="140" w:line="280"/>
        <w:jc w:val="both"/>
      </w:pPr>
      <w:r>
        <w:rPr>
          <w:rFonts w:ascii="Arial" w:cs="Arial" w:eastAsia="Arial" w:hAnsi="Arial"/>
          <w:sz w:val="22"/>
          <w:szCs w:val="22"/>
        </w:rPr>
        <w:t xml:space="preserve">Per-covenant three-tier thresholds. Drives every covenant test the Covenant Testing Engine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 DSCR' / 'Senior ICR' / 'LLCR' / 'Net Debt / EBITDA'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ratio_name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seniorDscr / seniorIcr / llcr / seniorNetDebtEbitda / ltv / rar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test_type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hard_covenant / distribution_condition / incurrence_test / performance_trigger.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direction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min / max (min = higher-is-better, e.g. DSCR).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lockup_level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DECIMAL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trigger_level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DECIMAL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default_level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DECIMAL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equity_cure_available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step_down_schedule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Year-by-year step-down, if any.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ratio_level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v8. Level at which the ratio is tested (opco_standalone / consolidated / proportional_consolidated).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covenant_tests</w:t>
      </w:r>
    </w:p>
    <w:p>
      <w:pPr>
        <w:spacing w:after="140" w:line="280"/>
        <w:jc w:val="both"/>
      </w:pPr>
      <w:r>
        <w:rPr>
          <w:rFonts w:ascii="Arial" w:cs="Arial" w:eastAsia="Arial" w:hAnsi="Arial"/>
          <w:sz w:val="22"/>
          <w:szCs w:val="22"/>
        </w:rPr>
        <w:t xml:space="preserve">Per-period, per-covenant test result written by the Covenant Testing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actual_period_id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covenant_threshold_id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covenant_name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test_type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ratio_value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Value actually tested (first non-null of platform_computed / borrower_reported / actual_metrics).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borrower_reported_value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What the borrower said in the compliance certificate.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lockup_threshold, trigger_threshold, default_threshold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tier_status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performing / distribution_lockup / trigger_event / event_of_default / not_assessed.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headroom_to_lockup, headroom_to_trigger, headroom_to_default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Direction-aware.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components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Breakdown of numerator/denominator elements for DSCR-like ratios.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tested_at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ListParagraph"/>
        <w:numPr>
          <w:ilvl w:val="0"/>
          <w:numId w:val="2"/>
        </w:numPr>
        <w:spacing w:after="60"/>
      </w:pPr>
      <w:r>
        <w:rPr>
          <w:rFonts w:ascii="Arial" w:cs="Arial" w:eastAsia="Arial" w:hAnsi="Arial"/>
          <w:sz w:val="22"/>
          <w:szCs w:val="22"/>
        </w:rPr>
        <w:t xml:space="preserve">Unique: (actual_period_id, covenant_threshold_id).</w:t>
      </w:r>
    </w:p>
    <w:p>
      <w:pPr>
        <w:pStyle w:val="Heading2"/>
        <w:spacing w:after="120" w:before="240"/>
      </w:pPr>
      <w:r>
        <w:rPr>
          <w:rFonts w:ascii="Arial" w:cs="Arial" w:eastAsia="Arial" w:hAnsi="Arial"/>
          <w:b/>
          <w:bCs/>
          <w:color w:val="263849"/>
          <w:sz w:val="30"/>
          <w:szCs w:val="30"/>
        </w:rPr>
        <w:t xml:space="preserve">deal_distribution_conditions</w:t>
      </w:r>
    </w:p>
    <w:p>
      <w:pPr>
        <w:spacing w:after="140" w:line="280"/>
        <w:jc w:val="both"/>
      </w:pPr>
      <w:r>
        <w:rPr>
          <w:rFonts w:ascii="Arial" w:cs="Arial" w:eastAsia="Arial" w:hAnsi="Arial"/>
          <w:sz w:val="22"/>
          <w:szCs w:val="22"/>
        </w:rPr>
        <w:t xml:space="preserve">Full lock-up register. One row per condition that must pass before equity can be distributed. Populated from Tab 22 of the TopSheet Excel template. Authoritative source for the Distribution Assessment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condition_name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condition_category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14 categories: ratio / reserve / compliance / revolving_facility / credit_support / structural / timing / behavioural / cash_sweep / sweep_mechanic / incurrence_test /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consequence_tier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7 tiers: distribution_condition / trigger_event / cash_trap / remedial_plan / incurrence_test / event_of_default / sweep_mechanic.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test_type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metric_name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 ratio tests.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threshold_value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threshold_direction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min / max.</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lockup_escalation_periods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If N consecutive lockup periods hit, escalate.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remedy_period_days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cure_available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deal_eod_register</w:t>
      </w:r>
    </w:p>
    <w:p>
      <w:pPr>
        <w:spacing w:after="140" w:line="280"/>
        <w:jc w:val="both"/>
      </w:pPr>
      <w:r>
        <w:rPr>
          <w:rFonts w:ascii="Arial" w:cs="Arial" w:eastAsia="Arial" w:hAnsi="Arial"/>
          <w:sz w:val="22"/>
          <w:szCs w:val="22"/>
        </w:rPr>
        <w:t xml:space="preserve">Catalogue of defined events of default per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event_code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Internal code.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event_description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clause_reference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Finance-doc clause.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grace_period_days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remedy_possible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potential / triggered / waived / cured.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deal_trigger_events</w:t>
      </w:r>
    </w:p>
    <w:p>
      <w:pPr>
        <w:spacing w:after="140" w:line="280"/>
        <w:jc w:val="both"/>
      </w:pPr>
      <w:r>
        <w:rPr>
          <w:rFonts w:ascii="Arial" w:cs="Arial" w:eastAsia="Arial" w:hAnsi="Arial"/>
          <w:sz w:val="22"/>
          <w:szCs w:val="22"/>
        </w:rPr>
        <w:t xml:space="preserve">Catalogue of defined trigger events — distinct from EoD; typically covenant breaches that require specific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trigger_code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trigger_description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clause_reference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consequence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cash_trap / sweep / step_up /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distribution_assessments</w:t>
      </w:r>
    </w:p>
    <w:p>
      <w:pPr>
        <w:spacing w:after="140" w:line="280"/>
        <w:jc w:val="both"/>
      </w:pPr>
      <w:r>
        <w:rPr>
          <w:rFonts w:ascii="Arial" w:cs="Arial" w:eastAsia="Arial" w:hAnsi="Arial"/>
          <w:sz w:val="22"/>
          <w:szCs w:val="22"/>
        </w:rPr>
        <w:t xml:space="preserve">Result of running the Distribution Assessment Engine. One row per assessment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assessment_date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allowed / review_required / restricted / blocked / not_assessed.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summary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Human narrative.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lockup_state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blocker_count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passed_count, failed_count, sweep_count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failed_conditions, passed_conditions, sweep_conditions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distribution_capacity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Permitted distribution amount if allowed.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escalation_triggered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next_test_date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last_assessed_at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assessed_by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1"/>
        <w:pageBreakBefore/>
        <w:spacing w:after="180" w:before="240"/>
      </w:pPr>
      <w:r>
        <w:rPr>
          <w:rFonts w:ascii="Arial" w:cs="Arial" w:eastAsia="Arial" w:hAnsi="Arial"/>
          <w:b/>
          <w:bCs/>
          <w:color w:val="1F6FA5"/>
          <w:sz w:val="40"/>
          <w:szCs w:val="40"/>
        </w:rPr>
        <w:t xml:space="preserve">6. Risk register</w:t>
      </w:r>
    </w:p>
    <w:p>
      <w:pPr>
        <w:pStyle w:val="Heading2"/>
        <w:spacing w:after="120" w:before="240"/>
      </w:pPr>
      <w:r>
        <w:rPr>
          <w:rFonts w:ascii="Arial" w:cs="Arial" w:eastAsia="Arial" w:hAnsi="Arial"/>
          <w:b/>
          <w:bCs/>
          <w:color w:val="263849"/>
          <w:sz w:val="30"/>
          <w:szCs w:val="30"/>
        </w:rPr>
        <w:t xml:space="preserve">risk_taxonomy</w:t>
      </w:r>
    </w:p>
    <w:p>
      <w:pPr>
        <w:spacing w:after="140" w:line="280"/>
        <w:jc w:val="both"/>
      </w:pPr>
      <w:r>
        <w:rPr>
          <w:rFonts w:ascii="Arial" w:cs="Arial" w:eastAsia="Arial" w:hAnsi="Arial"/>
          <w:sz w:val="22"/>
          <w:szCs w:val="22"/>
        </w:rPr>
        <w:t xml:space="preserve">226-item master taxonomy of risks used across the platform. Stable reference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 (natural key, e.g. 'RISK-AP-001').</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risk_category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Credit &amp; Financial / Market &amp; Macro / Business &amp; Operational / Regulatory &amp; Legal / ESG &amp; Climate / Structural &amp; Documentation / Sector-Specific / Contract &amp; Concession Renewal.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typical_sectors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mitigation_archetypes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reference_notes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deal_risk_register</w:t>
      </w:r>
    </w:p>
    <w:p>
      <w:pPr>
        <w:spacing w:after="140" w:line="280"/>
        <w:jc w:val="both"/>
      </w:pPr>
      <w:r>
        <w:rPr>
          <w:rFonts w:ascii="Arial" w:cs="Arial" w:eastAsia="Arial" w:hAnsi="Arial"/>
          <w:sz w:val="22"/>
          <w:szCs w:val="22"/>
        </w:rPr>
        <w:t xml:space="preserve">Per-deal risk assignments. Links to risk_taxonomy via risk_id. Carries mitigation scoring (party + capital), trend, monitoring KPI, commentary, next review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UUID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 gen_random_uuid().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ON DELETE CASCADE.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risk_taxonomy(risk_id). UNIQUE with deal_id.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DEFAULT 'not_yet_assessed'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not_yet_assessed / active / mitigated / resolved / transferred / accepted.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likelihood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1–5. CHECK constrained.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severity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1–6. CHECK constrained.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risk_score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GENERATED STORED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likelihood * severity. Max 30.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risk_level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GENERATED STORED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low / moderate / high / critical / fatal based on risk_score.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mitigation_party_score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M1_none / M2_reputational / M3_contractual / M4_direct_economic / M5_rated_sovereign. CHECK constrained.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mitigation_party_name, mitigation_party_detail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mitigation_capital_score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C1_none / C2_comfort / C3_contractual_backstop / C4_funded_reserve / C5_unconditional_guarantee. CHECK constrained.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mitigation_capital_type, mitigation_capital_provider, mitigation_capital_detail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mitigation_capital_amount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mitigation_capital_expiry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sensitised_at_origination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 DEFAULT FALSE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sensitivity_name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stress_applied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stress_dscr_min, stress_dscr_max, stress_dscr_avg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stress_other_ratios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stress_model_scenario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monitoring_kpi</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KPI label used to monitor this risk.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monitoring_threshold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trend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DEFAULT 'new'</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new / improving / stable / deteriorating / deteriorating_rapidly.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commentary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assessed_by, review_trigger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assessed_at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prior_assessment_id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self. Links versions.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created_at, updated_at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 DEFAULT NOW()</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ListParagraph"/>
        <w:numPr>
          <w:ilvl w:val="0"/>
          <w:numId w:val="2"/>
        </w:numPr>
        <w:spacing w:after="60"/>
      </w:pPr>
      <w:r>
        <w:rPr>
          <w:rFonts w:ascii="Arial" w:cs="Arial" w:eastAsia="Arial" w:hAnsi="Arial"/>
          <w:sz w:val="22"/>
          <w:szCs w:val="22"/>
        </w:rPr>
        <w:t xml:space="preserve">UNIQUE (deal_id, risk_id). idx_drr_deal / idx_drr_level / idx_drr_risk / idx_drr_score / idx_drr_status / idx_drr_src_doc.</w:t>
      </w:r>
    </w:p>
    <w:p>
      <w:pPr>
        <w:pStyle w:val="Heading2"/>
        <w:spacing w:after="120" w:before="240"/>
      </w:pPr>
      <w:r>
        <w:rPr>
          <w:rFonts w:ascii="Arial" w:cs="Arial" w:eastAsia="Arial" w:hAnsi="Arial"/>
          <w:b/>
          <w:bCs/>
          <w:color w:val="263849"/>
          <w:sz w:val="30"/>
          <w:szCs w:val="30"/>
        </w:rPr>
        <w:t xml:space="preserve">deal_risk_register_history</w:t>
      </w:r>
    </w:p>
    <w:p>
      <w:pPr>
        <w:spacing w:after="140" w:line="280"/>
        <w:jc w:val="both"/>
      </w:pPr>
      <w:r>
        <w:rPr>
          <w:rFonts w:ascii="Arial" w:cs="Arial" w:eastAsia="Arial" w:hAnsi="Arial"/>
          <w:sz w:val="22"/>
          <w:szCs w:val="22"/>
        </w:rPr>
        <w:t xml:space="preserve">Audit trail of risk register changes. One row per state transition, with supersession pointer.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UUID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register_id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deal_risk_register(id).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superseded_by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deal_risk_register(id).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previous_state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Full snapshot of previous row values.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transition_at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transition_by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rationale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risk_register_entries</w:t>
      </w:r>
    </w:p>
    <w:p>
      <w:pPr>
        <w:spacing w:after="140" w:line="280"/>
        <w:jc w:val="both"/>
      </w:pPr>
      <w:r>
        <w:rPr>
          <w:rFonts w:ascii="Arial" w:cs="Arial" w:eastAsia="Arial" w:hAnsi="Arial"/>
          <w:sz w:val="22"/>
          <w:szCs w:val="22"/>
        </w:rPr>
        <w:t xml:space="preserve">Legacy risk register table (separate from deal_risk_register). Predates the taxonomy-based design. Used by older engines — the get_deal endpoint reads from this table to populate the riskSnapshot payload, via serialize_risk_entry.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assessment_id, trend_record_id, compliance_case_id, ratio_reconciliation_id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Links to various driver records.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source_document_id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risk_category, risk_name, risk_id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severity, probability, impact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Free-text. Legacy allows words ('high', 'likely') AND numeric strings ('4'). _coerce_score() in generate_risk_narrative handles both.</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likelihood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score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owner_name, title, summary, mitigant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next_review_date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opened_at, closed_at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trend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sensitised_at_origination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sensitivity_name, stress_description, stress_parameters, dscr_min_stress, dscr_max_stress, dscr_avg_stress, monitoring_kpi, monitoring_threshold, identified_at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various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Sensitivity and monitoring hints.</w:t>
            </w:r>
          </w:p>
        </w:tc>
      </w:tr>
    </w:tbl>
    <w:p>
      <w:pPr>
        <w:pBdr>
          <w:left w:val="single" w:color="1F6FA5" w:sz="16" w:space="10"/>
        </w:pBdr>
        <w:spacing w:after="160" w:before="80"/>
        <w:ind w:left="200"/>
      </w:pPr>
      <w:r>
        <w:rPr>
          <w:rFonts w:ascii="Arial" w:cs="Arial" w:eastAsia="Arial" w:hAnsi="Arial"/>
          <w:i/>
          <w:iCs/>
          <w:color w:val="56718A"/>
          <w:sz w:val="22"/>
          <w:szCs w:val="22"/>
        </w:rPr>
        <w:t xml:space="preserve">Both risk-register tables exist today. deal_risk_register is the new model used for scoring and portfolio aggregation; risk_register_entries is retained for the existing get_deal payload. The consolidation is a pending housekeeping item.</w:t>
      </w:r>
    </w:p>
    <w:p>
      <w:pPr>
        <w:pStyle w:val="Heading1"/>
        <w:pageBreakBefore/>
        <w:spacing w:after="180" w:before="240"/>
      </w:pPr>
      <w:r>
        <w:rPr>
          <w:rFonts w:ascii="Arial" w:cs="Arial" w:eastAsia="Arial" w:hAnsi="Arial"/>
          <w:b/>
          <w:bCs/>
          <w:color w:val="1F6FA5"/>
          <w:sz w:val="40"/>
          <w:szCs w:val="40"/>
        </w:rPr>
        <w:t xml:space="preserve">7. Financial reporting (periods, line items, actuals)</w:t>
      </w:r>
    </w:p>
    <w:p>
      <w:pPr>
        <w:pStyle w:val="Heading2"/>
        <w:spacing w:after="120" w:before="240"/>
      </w:pPr>
      <w:r>
        <w:rPr>
          <w:rFonts w:ascii="Arial" w:cs="Arial" w:eastAsia="Arial" w:hAnsi="Arial"/>
          <w:b/>
          <w:bCs/>
          <w:color w:val="263849"/>
          <w:sz w:val="30"/>
          <w:szCs w:val="30"/>
        </w:rPr>
        <w:t xml:space="preserve">deal_reporting_schedule</w:t>
      </w:r>
    </w:p>
    <w:p>
      <w:pPr>
        <w:spacing w:after="140" w:line="280"/>
        <w:jc w:val="both"/>
      </w:pPr>
      <w:r>
        <w:rPr>
          <w:rFonts w:ascii="Arial" w:cs="Arial" w:eastAsia="Arial" w:hAnsi="Arial"/>
          <w:sz w:val="22"/>
          <w:szCs w:val="22"/>
        </w:rPr>
        <w:t xml:space="preserve">One row per deal. Defines the cadence at which the deal reports and the horizon over which periods are projected.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UNIQUE.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periodicity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annual / semi_annual / quarterly / monthly.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first_period_start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final_period_end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fiscal_year_end_month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1–12.</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reporting_lag_days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Days after period end before report is due.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forecast_end_date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How far forecast periods run.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model_periods_count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Total periods the sponsor model covers.</w:t>
            </w:r>
          </w:p>
        </w:tc>
      </w:tr>
    </w:tbl>
    <w:p>
      <w:pPr>
        <w:pStyle w:val="Heading2"/>
        <w:spacing w:after="120" w:before="240"/>
      </w:pPr>
      <w:r>
        <w:rPr>
          <w:rFonts w:ascii="Arial" w:cs="Arial" w:eastAsia="Arial" w:hAnsi="Arial"/>
          <w:b/>
          <w:bCs/>
          <w:color w:val="263849"/>
          <w:sz w:val="30"/>
          <w:szCs w:val="30"/>
        </w:rPr>
        <w:t xml:space="preserve">deal_reporting_periods</w:t>
      </w:r>
    </w:p>
    <w:p>
      <w:pPr>
        <w:spacing w:after="140" w:line="280"/>
        <w:jc w:val="both"/>
      </w:pPr>
      <w:r>
        <w:rPr>
          <w:rFonts w:ascii="Arial" w:cs="Arial" w:eastAsia="Arial" w:hAnsi="Arial"/>
          <w:sz w:val="22"/>
          <w:szCs w:val="22"/>
        </w:rPr>
        <w:t xml:space="preserve">Materialised period slots per deal. Auto-generated from the reporting_schedule. Every actual and every forecast value references a period_id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period_flag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Machine-readable key ('FY2026', '2026Q1', '2026H1').</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Human label ('FY 2026').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period_start, period_end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period_frequency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annual / semi_annual / quarterly / monthly.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period_ordinal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Sequential order within the deal.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historical / current / forecast.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data_status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awaiting / submitted / under_review / approved.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source_document_id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ListParagraph"/>
        <w:numPr>
          <w:ilvl w:val="0"/>
          <w:numId w:val="2"/>
        </w:numPr>
        <w:spacing w:after="60"/>
      </w:pPr>
      <w:r>
        <w:rPr>
          <w:rFonts w:ascii="Arial" w:cs="Arial" w:eastAsia="Arial" w:hAnsi="Arial"/>
          <w:sz w:val="22"/>
          <w:szCs w:val="22"/>
        </w:rPr>
        <w:t xml:space="preserve">idx_drp_deal_flag / idx_drp_deal_ordinal / idx_drp_status.</w:t>
      </w:r>
    </w:p>
    <w:p>
      <w:pPr>
        <w:pStyle w:val="Heading2"/>
        <w:spacing w:after="120" w:before="240"/>
      </w:pPr>
      <w:r>
        <w:rPr>
          <w:rFonts w:ascii="Arial" w:cs="Arial" w:eastAsia="Arial" w:hAnsi="Arial"/>
          <w:b/>
          <w:bCs/>
          <w:color w:val="263849"/>
          <w:sz w:val="30"/>
          <w:szCs w:val="30"/>
        </w:rPr>
        <w:t xml:space="preserve">line_item_definitions</w:t>
      </w:r>
    </w:p>
    <w:p>
      <w:pPr>
        <w:spacing w:after="140" w:line="280"/>
        <w:jc w:val="both"/>
      </w:pPr>
      <w:r>
        <w:rPr>
          <w:rFonts w:ascii="Arial" w:cs="Arial" w:eastAsia="Arial" w:hAnsi="Arial"/>
          <w:sz w:val="22"/>
          <w:szCs w:val="22"/>
        </w:rPr>
        <w:t xml:space="preserve">The chart of accounts. 181 rows spanning sections: cashflow, balance_sheet, covenant_ratios, annualised, moodys_ratios, sector_kpi. Stable reference data, extended via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line_key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 'total_revenue', 'senior_dscr', 'sector_kpi_1'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cashflow / balance_sheet / covenant_ratio / annualised / moodys / sector_kpi / ...</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display_label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Generic default label.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row_order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Sort order within section.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is_generic</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TRUE for sector_kpi_N placeholders.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is_computed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TRUE for derived lines (EBITDA, CFADS).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unit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currency / percentage / ratio / count / years.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parent_line_key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 hierarchy (e.g. CFADS under Cashflow).</w:t>
            </w:r>
          </w:p>
        </w:tc>
      </w:tr>
    </w:tbl>
    <w:p>
      <w:pPr>
        <w:pStyle w:val="Heading2"/>
        <w:spacing w:after="120" w:before="240"/>
      </w:pPr>
      <w:r>
        <w:rPr>
          <w:rFonts w:ascii="Arial" w:cs="Arial" w:eastAsia="Arial" w:hAnsi="Arial"/>
          <w:b/>
          <w:bCs/>
          <w:color w:val="263849"/>
          <w:sz w:val="30"/>
          <w:szCs w:val="30"/>
        </w:rPr>
        <w:t xml:space="preserve">deal_line_item_labels</w:t>
      </w:r>
    </w:p>
    <w:p>
      <w:pPr>
        <w:spacing w:after="140" w:line="280"/>
        <w:jc w:val="both"/>
      </w:pPr>
      <w:r>
        <w:rPr>
          <w:rFonts w:ascii="Arial" w:cs="Arial" w:eastAsia="Arial" w:hAnsi="Arial"/>
          <w:sz w:val="22"/>
          <w:szCs w:val="22"/>
        </w:rPr>
        <w:t xml:space="preserve">Per-deal override of the display_label on a line_key. Gatwick's sector_kpi_1 becomes 'Passengers (millions)'; Aurora's sector_kpi_1 becomes 'Contracted Capacity (MW)'.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line_key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line_item_definitions.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display_label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Per-deal label override.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ordinal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Order within deal.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is_active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ListParagraph"/>
        <w:numPr>
          <w:ilvl w:val="0"/>
          <w:numId w:val="2"/>
        </w:numPr>
        <w:spacing w:after="60"/>
      </w:pPr>
      <w:r>
        <w:rPr>
          <w:rFonts w:ascii="Arial" w:cs="Arial" w:eastAsia="Arial" w:hAnsi="Arial"/>
          <w:sz w:val="22"/>
          <w:szCs w:val="22"/>
        </w:rPr>
        <w:t xml:space="preserve">UNIQUE (deal_id, line_key).</w:t>
      </w:r>
    </w:p>
    <w:p>
      <w:pPr>
        <w:pStyle w:val="Heading2"/>
        <w:spacing w:after="120" w:before="240"/>
      </w:pPr>
      <w:r>
        <w:rPr>
          <w:rFonts w:ascii="Arial" w:cs="Arial" w:eastAsia="Arial" w:hAnsi="Arial"/>
          <w:b/>
          <w:bCs/>
          <w:color w:val="263849"/>
          <w:sz w:val="30"/>
          <w:szCs w:val="30"/>
        </w:rPr>
        <w:t xml:space="preserve">period_financial_items</w:t>
      </w:r>
    </w:p>
    <w:p>
      <w:pPr>
        <w:spacing w:after="140" w:line="280"/>
        <w:jc w:val="both"/>
      </w:pPr>
      <w:r>
        <w:rPr>
          <w:rFonts w:ascii="Arial" w:cs="Arial" w:eastAsia="Arial" w:hAnsi="Arial"/>
          <w:sz w:val="22"/>
          <w:szCs w:val="22"/>
        </w:rPr>
        <w:t xml:space="preserve">The actuals grid. One row per (deal × period × line_key). Primary store for everything the borrower has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BIGSERIAL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reporting_period_id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line_key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reported_value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NUMERIC(18,4)</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Raw value from the borrower.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approved_value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NUMERIC(18,4)</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Final reviewed value.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computed_value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NUMERIC(18,4)</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Platform-computed variant (for derived lines).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forecast_value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NUMERIC(18,4)</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Cached management-case value for the same period + line (for quick variance lookup).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variance_to_forecast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approved_value − forecast_value.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value_origin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extracted / computed / manual / blended.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item_status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pending / flagged / approved / superseded.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ListParagraph"/>
        <w:numPr>
          <w:ilvl w:val="0"/>
          <w:numId w:val="2"/>
        </w:numPr>
        <w:spacing w:after="60"/>
      </w:pPr>
      <w:r>
        <w:rPr>
          <w:rFonts w:ascii="Arial" w:cs="Arial" w:eastAsia="Arial" w:hAnsi="Arial"/>
          <w:sz w:val="22"/>
          <w:szCs w:val="22"/>
        </w:rPr>
        <w:t xml:space="preserve">UNIQUE (deal_id, reporting_period_id, line_key). idx_pfi_deal_line / idx_pfi_deal_period / idx_pfi_status / idx_pfi_period.</w:t>
      </w:r>
    </w:p>
    <w:p>
      <w:pPr>
        <w:pStyle w:val="Heading2"/>
        <w:spacing w:after="120" w:before="240"/>
      </w:pPr>
      <w:r>
        <w:rPr>
          <w:rFonts w:ascii="Arial" w:cs="Arial" w:eastAsia="Arial" w:hAnsi="Arial"/>
          <w:b/>
          <w:bCs/>
          <w:color w:val="263849"/>
          <w:sz w:val="30"/>
          <w:szCs w:val="30"/>
        </w:rPr>
        <w:t xml:space="preserve">actual_periods</w:t>
      </w:r>
    </w:p>
    <w:p>
      <w:pPr>
        <w:spacing w:after="140" w:line="280"/>
        <w:jc w:val="both"/>
      </w:pPr>
      <w:r>
        <w:rPr>
          <w:rFonts w:ascii="Arial" w:cs="Arial" w:eastAsia="Arial" w:hAnsi="Arial"/>
          <w:sz w:val="22"/>
          <w:szCs w:val="22"/>
        </w:rPr>
        <w:t xml:space="preserve">Legacy/parallel structure used by earlier engines. Wide JSONB fields for quick read. Coexists with period_financial_items; many engines still read from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reporting_period_id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period_flag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UNIQUE with deal_id.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period_start, period_end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actual_metrics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Primary metrics: revenue, ebitda, cfads, debt_service, net_debt, cash, dscr, icr, leased_capacity_pct,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borrower_reported_ratios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Ratios as the borrower computed them.</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platform_computed_ratios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Ratios as the platform computed them from components.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source_hierarchy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Ordered list of source channels.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extraction_confidence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approval_tier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approved_at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approved_by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source_document_id, source_document_name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 / 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financial_periods</w:t>
      </w:r>
    </w:p>
    <w:p>
      <w:pPr>
        <w:spacing w:after="140" w:line="280"/>
        <w:jc w:val="both"/>
      </w:pPr>
      <w:r>
        <w:rPr>
          <w:rFonts w:ascii="Arial" w:cs="Arial" w:eastAsia="Arial" w:hAnsi="Arial"/>
          <w:sz w:val="22"/>
          <w:szCs w:val="22"/>
        </w:rPr>
        <w:t xml:space="preserve">Older quarterly-style financial period records with expected vs reported JSONBs. Kept for existing engines (especially the Variance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period_key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period_end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reported_metrics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expected_metrics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Management case.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stress_metrics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financial_variances</w:t>
      </w:r>
    </w:p>
    <w:p>
      <w:pPr>
        <w:spacing w:after="140" w:line="280"/>
        <w:jc w:val="both"/>
      </w:pPr>
      <w:r>
        <w:rPr>
          <w:rFonts w:ascii="Arial" w:cs="Arial" w:eastAsia="Arial" w:hAnsi="Arial"/>
          <w:sz w:val="22"/>
          <w:szCs w:val="22"/>
        </w:rPr>
        <w:t xml:space="preserve">Per-metric variance output of the Variance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financial_period_id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metric_key, metric_label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reported_value, expected_value, variance_value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variance_pct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direction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up / down / favourable / adverse.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materiality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critical / material / notable / minor.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commentary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1"/>
        <w:pageBreakBefore/>
        <w:spacing w:after="180" w:before="240"/>
      </w:pPr>
      <w:r>
        <w:rPr>
          <w:rFonts w:ascii="Arial" w:cs="Arial" w:eastAsia="Arial" w:hAnsi="Arial"/>
          <w:b/>
          <w:bCs/>
          <w:color w:val="1F6FA5"/>
          <w:sz w:val="40"/>
          <w:szCs w:val="40"/>
        </w:rPr>
        <w:t xml:space="preserve">8. Forecasts and KPI scenarios</w:t>
      </w:r>
    </w:p>
    <w:p>
      <w:pPr>
        <w:pStyle w:val="Heading2"/>
        <w:spacing w:after="120" w:before="240"/>
      </w:pPr>
      <w:r>
        <w:rPr>
          <w:rFonts w:ascii="Arial" w:cs="Arial" w:eastAsia="Arial" w:hAnsi="Arial"/>
          <w:b/>
          <w:bCs/>
          <w:color w:val="263849"/>
          <w:sz w:val="30"/>
          <w:szCs w:val="30"/>
        </w:rPr>
        <w:t xml:space="preserve">forecast_cases</w:t>
      </w:r>
    </w:p>
    <w:p>
      <w:pPr>
        <w:spacing w:after="140" w:line="280"/>
        <w:jc w:val="both"/>
      </w:pPr>
      <w:r>
        <w:rPr>
          <w:rFonts w:ascii="Arial" w:cs="Arial" w:eastAsia="Arial" w:hAnsi="Arial"/>
          <w:sz w:val="22"/>
          <w:szCs w:val="22"/>
        </w:rPr>
        <w:t xml:space="preserve">Per-deal scenarios. scenario_kind distinguishes the purpose; driving_risk_id links stress cases back to the IC-identified risk that motivated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case_key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UNIQUE with deal_id.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case_name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Human label.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case_type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Legacy: management_case / credit_case / combined_downside. Retained for backward compat.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scenario_kind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v9 canonical: management_case / credit_case / lender_case / combined_downside / single_variant_stress / custom.</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stress_label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Human name for a stress scenario ('Pandemic passenger shock').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driving_risk_id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deal_risk_register(id) ON DELETE SET NULL. For single_variant_stress, links to motivating risk.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comparison_priority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 DEFAULT 1</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 primary / 2 = secondary / 3 = floor.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drives_monitoring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 NOT NULL DEFAULT FALSE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One per deal.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owner_name, summary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ListParagraph"/>
        <w:numPr>
          <w:ilvl w:val="0"/>
          <w:numId w:val="2"/>
        </w:numPr>
        <w:spacing w:after="60"/>
      </w:pPr>
      <w:r>
        <w:rPr>
          <w:rFonts w:ascii="Arial" w:cs="Arial" w:eastAsia="Arial" w:hAnsi="Arial"/>
          <w:sz w:val="22"/>
          <w:szCs w:val="22"/>
        </w:rPr>
        <w:t xml:space="preserve">UNIQUE (deal_id, case_key). idx_forecast_cases_driving_risk / idx_forecast_cases_scenario_kind.</w:t>
      </w:r>
    </w:p>
    <w:p>
      <w:pPr>
        <w:pStyle w:val="Heading2"/>
        <w:spacing w:after="120" w:before="240"/>
      </w:pPr>
      <w:r>
        <w:rPr>
          <w:rFonts w:ascii="Arial" w:cs="Arial" w:eastAsia="Arial" w:hAnsi="Arial"/>
          <w:b/>
          <w:bCs/>
          <w:color w:val="263849"/>
          <w:sz w:val="30"/>
          <w:szCs w:val="30"/>
        </w:rPr>
        <w:t xml:space="preserve">forecast_case_versions</w:t>
      </w:r>
    </w:p>
    <w:p>
      <w:pPr>
        <w:spacing w:after="140" w:line="280"/>
        <w:jc w:val="both"/>
      </w:pPr>
      <w:r>
        <w:rPr>
          <w:rFonts w:ascii="Arial" w:cs="Arial" w:eastAsia="Arial" w:hAnsi="Arial"/>
          <w:sz w:val="22"/>
          <w:szCs w:val="22"/>
        </w:rPr>
        <w:t xml:space="preserve">Version history per case. Frozen at IC approval via activated_at + is_active. Reforecasting creates a new version; old version marked is_active=FALSE.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forecast_case_id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version_number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UNIQUE with forecast_case_id.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version_label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'v1' / 'v2 (Sep 2026 reforecast)'.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version_status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draft / active / superseded / archived.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source_domain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sponsor_model / pm_reforecast / borrower_reforecast / pm_downside / ic_memo / migration.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summary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effective_from</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activated_at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IC-freeze timestamp.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is_active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 NOT NULL DEFAULT FALSE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forecast_period_items</w:t>
      </w:r>
    </w:p>
    <w:p>
      <w:pPr>
        <w:spacing w:after="140" w:line="280"/>
        <w:jc w:val="both"/>
      </w:pPr>
      <w:r>
        <w:rPr>
          <w:rFonts w:ascii="Arial" w:cs="Arial" w:eastAsia="Arial" w:hAnsi="Arial"/>
          <w:sz w:val="22"/>
          <w:szCs w:val="22"/>
        </w:rPr>
        <w:t xml:space="preserve">The forecast grid. (version × period × line_key) = value. Holds financial-line AND KPI forecasts. Canonical store for every expected value across every scenario. Added in the April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BIGSERIAL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forecast_case_version_id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reporting_period_id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line_key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line_item_definitions.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value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NUMERIC(18,4)</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 DEFAULT NOW()</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ListParagraph"/>
        <w:numPr>
          <w:ilvl w:val="0"/>
          <w:numId w:val="2"/>
        </w:numPr>
        <w:spacing w:after="60"/>
      </w:pPr>
      <w:r>
        <w:rPr>
          <w:rFonts w:ascii="Arial" w:cs="Arial" w:eastAsia="Arial" w:hAnsi="Arial"/>
          <w:sz w:val="22"/>
          <w:szCs w:val="22"/>
        </w:rPr>
        <w:t xml:space="preserve">UNIQUE (forecast_case_version_id, reporting_period_id, line_key). idx_fpi_deal_version / idx_fpi_deal_line / idx_fpi_version_period.</w:t>
      </w:r>
    </w:p>
    <w:p>
      <w:pPr>
        <w:pStyle w:val="Heading2"/>
        <w:spacing w:after="120" w:before="240"/>
      </w:pPr>
      <w:r>
        <w:rPr>
          <w:rFonts w:ascii="Arial" w:cs="Arial" w:eastAsia="Arial" w:hAnsi="Arial"/>
          <w:b/>
          <w:bCs/>
          <w:color w:val="263849"/>
          <w:sz w:val="30"/>
          <w:szCs w:val="30"/>
        </w:rPr>
        <w:t xml:space="preserve">forecast_case_periods</w:t>
      </w:r>
    </w:p>
    <w:p>
      <w:pPr>
        <w:spacing w:after="140" w:line="280"/>
        <w:jc w:val="both"/>
      </w:pPr>
      <w:r>
        <w:rPr>
          <w:rFonts w:ascii="Arial" w:cs="Arial" w:eastAsia="Arial" w:hAnsi="Arial"/>
          <w:sz w:val="22"/>
          <w:szCs w:val="22"/>
        </w:rPr>
        <w:t xml:space="preserve">Legacy table retained for historical Aurora-era deals. Newer ingestion writes to forecast_period_items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forecast_case_version_id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financial_period_id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period_key, period_label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scenario_metrics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Wide metrics blob.</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scenario_summary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forecast_model_metadata</w:t>
      </w:r>
    </w:p>
    <w:p>
      <w:pPr>
        <w:spacing w:after="140" w:line="280"/>
        <w:jc w:val="both"/>
      </w:pPr>
      <w:r>
        <w:rPr>
          <w:rFonts w:ascii="Arial" w:cs="Arial" w:eastAsia="Arial" w:hAnsi="Arial"/>
          <w:sz w:val="22"/>
          <w:szCs w:val="22"/>
        </w:rPr>
        <w:t xml:space="preserve">Provenance of the source financial model — name, date, source, approved-by,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forecast_case_version_id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model_name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model_date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model_source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ic_memo / sponsor_model / lender_model / pm_reforecast.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model_periodicity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model_start_date, model_end_date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model_periods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model_currency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VARCHAR(3)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base_rate_assumption, inflation_assumption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prepared_by, approved_by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approved_at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IC-freeze timestamp.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source_document_id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forecast_refresh_impacts</w:t>
      </w:r>
    </w:p>
    <w:p>
      <w:pPr>
        <w:spacing w:after="140" w:line="280"/>
        <w:jc w:val="both"/>
      </w:pPr>
      <w:r>
        <w:rPr>
          <w:rFonts w:ascii="Arial" w:cs="Arial" w:eastAsia="Arial" w:hAnsi="Arial"/>
          <w:sz w:val="22"/>
          <w:szCs w:val="22"/>
        </w:rPr>
        <w:t xml:space="preserve">Audit trail of what changed when a forecast version was refreshed — which entities were affected, before/after snapshots.</w:t>
      </w:r>
    </w:p>
    <w:p>
      <w:pPr>
        <w:pStyle w:val="Heading2"/>
        <w:spacing w:after="120" w:before="240"/>
      </w:pPr>
      <w:r>
        <w:rPr>
          <w:rFonts w:ascii="Arial" w:cs="Arial" w:eastAsia="Arial" w:hAnsi="Arial"/>
          <w:b/>
          <w:bCs/>
          <w:color w:val="263849"/>
          <w:sz w:val="30"/>
          <w:szCs w:val="30"/>
        </w:rPr>
        <w:t xml:space="preserve">deal_kpi_observations</w:t>
      </w:r>
    </w:p>
    <w:p>
      <w:pPr>
        <w:spacing w:after="140" w:line="280"/>
        <w:jc w:val="both"/>
      </w:pPr>
      <w:r>
        <w:rPr>
          <w:rFonts w:ascii="Arial" w:cs="Arial" w:eastAsia="Arial" w:hAnsi="Arial"/>
          <w:sz w:val="22"/>
          <w:szCs w:val="22"/>
        </w:rPr>
        <w:t xml:space="preserve">Actual KPI values per period, paired with their stress-case targets at observation time, with the canonical deviation_to_stress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reporting_period_id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kpi_key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sector_kpi_1,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kpi_label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Denormalised display label.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observed_value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base_case_target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Snapshot of the management_case value at observation time.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stress_case_target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Snapshot of the combined_downside value.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base_forecast_item_id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Audit trace to the exact forecast_period_items row used.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stress_forecast_item_id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Audit trace for the stress side.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variance_to_base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observed − base.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variance_to_base_pct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deviation_to_stress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Core metric: 0 = at base, 100 = at stress, &gt;100 = worse.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DEFAULT 'on_track'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on_track / watch / approaching_stress / breached_stress.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compliance_certificate / business_plan_update / management_presentation / operating_report.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source_document_id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observed_at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ListParagraph"/>
        <w:numPr>
          <w:ilvl w:val="0"/>
          <w:numId w:val="2"/>
        </w:numPr>
        <w:spacing w:after="60"/>
      </w:pPr>
      <w:r>
        <w:rPr>
          <w:rFonts w:ascii="Arial" w:cs="Arial" w:eastAsia="Arial" w:hAnsi="Arial"/>
          <w:sz w:val="22"/>
          <w:szCs w:val="22"/>
        </w:rPr>
        <w:t xml:space="preserve">UNIQUE (deal_id, reporting_period_id, kpi_key). idx_dko_deal / idx_dko_period / idx_dko_status.</w:t>
      </w:r>
    </w:p>
    <w:p>
      <w:pPr>
        <w:pBdr>
          <w:left w:val="single" w:color="1F6FA5" w:sz="16" w:space="10"/>
        </w:pBdr>
        <w:spacing w:after="160" w:before="80"/>
        <w:ind w:left="200"/>
      </w:pPr>
      <w:r>
        <w:rPr>
          <w:rFonts w:ascii="Arial" w:cs="Arial" w:eastAsia="Arial" w:hAnsi="Arial"/>
          <w:i/>
          <w:iCs/>
          <w:color w:val="56718A"/>
          <w:sz w:val="22"/>
          <w:szCs w:val="22"/>
        </w:rPr>
        <w:t xml:space="preserve">The old deal_kpi_targets table (scalar per-scenario values) was dropped in the April migration. Every scalar target was copied into forecast_period_items as a constant-across-periods value. See Chapter 6 of the Requirements Specification for the full architectural story.</w:t>
      </w:r>
    </w:p>
    <w:p>
      <w:pPr>
        <w:pStyle w:val="Heading1"/>
        <w:pageBreakBefore/>
        <w:spacing w:after="180" w:before="240"/>
      </w:pPr>
      <w:r>
        <w:rPr>
          <w:rFonts w:ascii="Arial" w:cs="Arial" w:eastAsia="Arial" w:hAnsi="Arial"/>
          <w:b/>
          <w:bCs/>
          <w:color w:val="1F6FA5"/>
          <w:sz w:val="40"/>
          <w:szCs w:val="40"/>
        </w:rPr>
        <w:t xml:space="preserve">9. Obligations, amendments, development</w:t>
      </w:r>
    </w:p>
    <w:p>
      <w:pPr>
        <w:pStyle w:val="Heading2"/>
        <w:spacing w:after="120" w:before="240"/>
      </w:pPr>
      <w:r>
        <w:rPr>
          <w:rFonts w:ascii="Arial" w:cs="Arial" w:eastAsia="Arial" w:hAnsi="Arial"/>
          <w:b/>
          <w:bCs/>
          <w:color w:val="263849"/>
          <w:sz w:val="30"/>
          <w:szCs w:val="30"/>
        </w:rPr>
        <w:t xml:space="preserve">obligation_taxonomy</w:t>
      </w:r>
    </w:p>
    <w:p>
      <w:pPr>
        <w:spacing w:after="140" w:line="280"/>
        <w:jc w:val="both"/>
      </w:pPr>
      <w:r>
        <w:rPr>
          <w:rFonts w:ascii="Arial" w:cs="Arial" w:eastAsia="Arial" w:hAnsi="Arial"/>
          <w:sz w:val="22"/>
          <w:szCs w:val="22"/>
        </w:rPr>
        <w:t xml:space="preserve">Master taxonomy of obligation types across the platform. 229 items.</w:t>
      </w:r>
    </w:p>
    <w:p>
      <w:pPr>
        <w:pStyle w:val="Heading2"/>
        <w:spacing w:after="120" w:before="240"/>
      </w:pPr>
      <w:r>
        <w:rPr>
          <w:rFonts w:ascii="Arial" w:cs="Arial" w:eastAsia="Arial" w:hAnsi="Arial"/>
          <w:b/>
          <w:bCs/>
          <w:color w:val="263849"/>
          <w:sz w:val="30"/>
          <w:szCs w:val="30"/>
        </w:rPr>
        <w:t xml:space="preserve">deal_obligation_register</w:t>
      </w:r>
    </w:p>
    <w:p>
      <w:pPr>
        <w:spacing w:after="140" w:line="280"/>
        <w:jc w:val="both"/>
      </w:pPr>
      <w:r>
        <w:rPr>
          <w:rFonts w:ascii="Arial" w:cs="Arial" w:eastAsia="Arial" w:hAnsi="Arial"/>
          <w:sz w:val="22"/>
          <w:szCs w:val="22"/>
        </w:rPr>
        <w:t xml:space="preserve">Every deliverable obligation under the finance documents. One row per obligation. Drives the Deliverables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obligation_code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Maps to obligation_taxonomy.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obligation_type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compliance_certificate / audited_financials / management_pack / notice / certificate /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phase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construction / operational / reporting / amendment.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frequency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quarterly / annual / one_off / on_event / monthly / semi_annual.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due_after_event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period_end / fiscal_year_end / COD / event.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days_after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 business or calendar days.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day_convention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business / calendar.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grace_window_days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upcoming / due_soon / overdue / fulfilled / superseded.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next_due_date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last_fulfilled_date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fulfilment_document_id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clause_reference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deal_amendments</w:t>
      </w:r>
    </w:p>
    <w:p>
      <w:pPr>
        <w:spacing w:after="140" w:line="280"/>
        <w:jc w:val="both"/>
      </w:pPr>
      <w:r>
        <w:rPr>
          <w:rFonts w:ascii="Arial" w:cs="Arial" w:eastAsia="Arial" w:hAnsi="Arial"/>
          <w:sz w:val="22"/>
          <w:szCs w:val="22"/>
        </w:rPr>
        <w:t xml:space="preserve">Amendment history. Title, status (active / declined / lapsed), effective dates, summary, rule_versions[].</w:t>
      </w:r>
    </w:p>
    <w:p>
      <w:pPr>
        <w:pStyle w:val="Heading2"/>
        <w:spacing w:after="120" w:before="240"/>
      </w:pPr>
      <w:r>
        <w:rPr>
          <w:rFonts w:ascii="Arial" w:cs="Arial" w:eastAsia="Arial" w:hAnsi="Arial"/>
          <w:b/>
          <w:bCs/>
          <w:color w:val="263849"/>
          <w:sz w:val="30"/>
          <w:szCs w:val="30"/>
        </w:rPr>
        <w:t xml:space="preserve">amendment_rule_versions</w:t>
      </w:r>
    </w:p>
    <w:p>
      <w:pPr>
        <w:spacing w:after="140" w:line="280"/>
        <w:jc w:val="both"/>
      </w:pPr>
      <w:r>
        <w:rPr>
          <w:rFonts w:ascii="Arial" w:cs="Arial" w:eastAsia="Arial" w:hAnsi="Arial"/>
          <w:sz w:val="22"/>
          <w:szCs w:val="22"/>
        </w:rPr>
        <w:t xml:space="preserve">Per-amendment versioned rules. Ties new terms to the amendment row.</w:t>
      </w:r>
    </w:p>
    <w:p>
      <w:pPr>
        <w:pStyle w:val="Heading2"/>
        <w:spacing w:after="120" w:before="240"/>
      </w:pPr>
      <w:r>
        <w:rPr>
          <w:rFonts w:ascii="Arial" w:cs="Arial" w:eastAsia="Arial" w:hAnsi="Arial"/>
          <w:b/>
          <w:bCs/>
          <w:color w:val="263849"/>
          <w:sz w:val="30"/>
          <w:szCs w:val="30"/>
        </w:rPr>
        <w:t xml:space="preserve">amendment_change_impacts</w:t>
      </w:r>
    </w:p>
    <w:p>
      <w:pPr>
        <w:spacing w:after="140" w:line="280"/>
        <w:jc w:val="both"/>
      </w:pPr>
      <w:r>
        <w:rPr>
          <w:rFonts w:ascii="Arial" w:cs="Arial" w:eastAsia="Arial" w:hAnsi="Arial"/>
          <w:sz w:val="22"/>
          <w:szCs w:val="22"/>
        </w:rPr>
        <w:t xml:space="preserve">Impact of each amendment on forecasts, covenants, etc. Before / after JSONB.</w:t>
      </w:r>
    </w:p>
    <w:p>
      <w:pPr>
        <w:pStyle w:val="Heading2"/>
        <w:spacing w:after="120" w:before="240"/>
      </w:pPr>
      <w:r>
        <w:rPr>
          <w:rFonts w:ascii="Arial" w:cs="Arial" w:eastAsia="Arial" w:hAnsi="Arial"/>
          <w:b/>
          <w:bCs/>
          <w:color w:val="263849"/>
          <w:sz w:val="30"/>
          <w:szCs w:val="30"/>
        </w:rPr>
        <w:t xml:space="preserve">deal_consent_mechanics</w:t>
      </w:r>
    </w:p>
    <w:p>
      <w:pPr>
        <w:spacing w:after="140" w:line="280"/>
        <w:jc w:val="both"/>
      </w:pPr>
      <w:r>
        <w:rPr>
          <w:rFonts w:ascii="Arial" w:cs="Arial" w:eastAsia="Arial" w:hAnsi="Arial"/>
          <w:sz w:val="22"/>
          <w:szCs w:val="22"/>
        </w:rPr>
        <w:t xml:space="preserve">Consent framework: majority thresholds, voting basis, all-lender matters, snooze-you-lose, disenfranchisement triggers. One row per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majority_threshold_pct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e.g. 66.67.</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supermajority_threshold_pct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e.g. 75 or 90.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voting_basis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by_commitment / by_lender / by_block.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all_lender_matters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List of matters requiring unanimity.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snooze_you_lose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deemed_consent_on_silence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yank_clause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non_consenting_replacement_basis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par / make_whole / market_value.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standard_consent_period_days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disenfranchisement_triggers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deal_development_phases</w:t>
      </w:r>
    </w:p>
    <w:p>
      <w:pPr>
        <w:spacing w:after="140" w:line="280"/>
        <w:jc w:val="both"/>
      </w:pPr>
      <w:r>
        <w:rPr>
          <w:rFonts w:ascii="Arial" w:cs="Arial" w:eastAsia="Arial" w:hAnsi="Arial"/>
          <w:sz w:val="22"/>
          <w:szCs w:val="22"/>
        </w:rPr>
        <w:t xml:space="preserve">Construction → ramp → stabilisation → operating. One row per phase with milestone dates.</w:t>
      </w:r>
    </w:p>
    <w:p>
      <w:pPr>
        <w:pStyle w:val="Heading1"/>
        <w:pageBreakBefore/>
        <w:spacing w:after="180" w:before="240"/>
      </w:pPr>
      <w:r>
        <w:rPr>
          <w:rFonts w:ascii="Arial" w:cs="Arial" w:eastAsia="Arial" w:hAnsi="Arial"/>
          <w:b/>
          <w:bCs/>
          <w:color w:val="1F6FA5"/>
          <w:sz w:val="40"/>
          <w:szCs w:val="40"/>
        </w:rPr>
        <w:t xml:space="preserve">10. Snapshots and onboarding</w:t>
      </w:r>
    </w:p>
    <w:p>
      <w:pPr>
        <w:pStyle w:val="Heading2"/>
        <w:spacing w:after="120" w:before="240"/>
      </w:pPr>
      <w:r>
        <w:rPr>
          <w:rFonts w:ascii="Arial" w:cs="Arial" w:eastAsia="Arial" w:hAnsi="Arial"/>
          <w:b/>
          <w:bCs/>
          <w:color w:val="263849"/>
          <w:sz w:val="30"/>
          <w:szCs w:val="30"/>
        </w:rPr>
        <w:t xml:space="preserve">deal_onboarding_snapshots</w:t>
      </w:r>
    </w:p>
    <w:p>
      <w:pPr>
        <w:spacing w:after="140" w:line="280"/>
        <w:jc w:val="both"/>
      </w:pPr>
      <w:r>
        <w:rPr>
          <w:rFonts w:ascii="Arial" w:cs="Arial" w:eastAsia="Arial" w:hAnsi="Arial"/>
          <w:sz w:val="22"/>
          <w:szCs w:val="22"/>
        </w:rPr>
        <w:t xml:space="preserve">Write-once capture at IC approval. Immutable via trigger. Re-underwriting creates a new snapshot; previous marked superseded.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UUID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snapshot_number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 = origination. 2+ = re-underwriting.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is_current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captured_at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captured_by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superseded_by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self.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structural_position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Tail, renewal, revenue risk, concession years.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financial_metrics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Entry leverage, DSCR Y1, min life, LLCR, WAL.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stress_parameters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DSCR min, leverage peak, stress break-even, stress cases.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governance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IC memo date, approval, conditions, vote margin.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origination_economics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Margin, fees, YTM, hold period.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market_context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Risk-free rate, credit spread, relative value.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initial_risk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score, grade, critical risks.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 block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 cols)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deal_topsheet_snapshots</w:t>
      </w:r>
    </w:p>
    <w:p>
      <w:pPr>
        <w:spacing w:after="140" w:line="280"/>
        <w:jc w:val="both"/>
      </w:pPr>
      <w:r>
        <w:rPr>
          <w:rFonts w:ascii="Arial" w:cs="Arial" w:eastAsia="Arial" w:hAnsi="Arial"/>
          <w:sz w:val="22"/>
          <w:szCs w:val="22"/>
        </w:rPr>
        <w:t xml:space="preserve">Periodic TopSheet captures — IC pack, covenant-test pack, waiver record. Each snapshot is reproducible later even if underlying documents are superseded, because the citations are copied at capture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snapshot_label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snapshot_type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manual / ic_pack / covenant_test_pack / waiver.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captured_at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captured_by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summary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payload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Full rendered field set at capture time.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payload_hash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 integrity.</w:t>
            </w:r>
          </w:p>
        </w:tc>
      </w:tr>
    </w:tbl>
    <w:p>
      <w:pPr>
        <w:pStyle w:val="Heading2"/>
        <w:spacing w:after="120" w:before="240"/>
      </w:pPr>
      <w:r>
        <w:rPr>
          <w:rFonts w:ascii="Arial" w:cs="Arial" w:eastAsia="Arial" w:hAnsi="Arial"/>
          <w:b/>
          <w:bCs/>
          <w:color w:val="263849"/>
          <w:sz w:val="30"/>
          <w:szCs w:val="30"/>
        </w:rPr>
        <w:t xml:space="preserve">topsheet_snapshot_provenance</w:t>
      </w:r>
    </w:p>
    <w:p>
      <w:pPr>
        <w:spacing w:after="140" w:line="280"/>
        <w:jc w:val="both"/>
      </w:pPr>
      <w:r>
        <w:rPr>
          <w:rFonts w:ascii="Arial" w:cs="Arial" w:eastAsia="Arial" w:hAnsi="Arial"/>
          <w:sz w:val="22"/>
          <w:szCs w:val="22"/>
        </w:rPr>
        <w:t xml:space="preserve">Event-level provenance for a snapshot ('why was this captured'). Distinct from field-level.</w:t>
      </w:r>
    </w:p>
    <w:p>
      <w:pPr>
        <w:pStyle w:val="Heading2"/>
        <w:spacing w:after="120" w:before="240"/>
      </w:pPr>
      <w:r>
        <w:rPr>
          <w:rFonts w:ascii="Arial" w:cs="Arial" w:eastAsia="Arial" w:hAnsi="Arial"/>
          <w:b/>
          <w:bCs/>
          <w:color w:val="263849"/>
          <w:sz w:val="30"/>
          <w:szCs w:val="30"/>
        </w:rPr>
        <w:t xml:space="preserve">topsheet_snapshot_field_citations</w:t>
      </w:r>
    </w:p>
    <w:p>
      <w:pPr>
        <w:spacing w:after="140" w:line="280"/>
        <w:jc w:val="both"/>
      </w:pPr>
      <w:r>
        <w:rPr>
          <w:rFonts w:ascii="Arial" w:cs="Arial" w:eastAsia="Arial" w:hAnsi="Arial"/>
          <w:sz w:val="22"/>
          <w:szCs w:val="22"/>
        </w:rPr>
        <w:t xml:space="preserve">Field-level pinned citations. One row per rendered field per snapshot.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snapshot_id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NOT NULL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ON DELETE CASCADE.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field_key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NOT NULL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'deals.enterprise_value:26' convention.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source_document_id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ON DELETE SET NULL. Copies the value at capture time — documents can be deleted without losing the snapshot.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source_page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source_cell_ref</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 spreadsheet evidence.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source_snippet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Copied at capture time.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source_extracted_by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source_confidence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NUMERIC(5,2)</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pinned_at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 NOT NULL DEFAULT NOW()</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ListParagraph"/>
        <w:numPr>
          <w:ilvl w:val="0"/>
          <w:numId w:val="2"/>
        </w:numPr>
        <w:spacing w:after="60"/>
      </w:pPr>
      <w:r>
        <w:rPr>
          <w:rFonts w:ascii="Arial" w:cs="Arial" w:eastAsia="Arial" w:hAnsi="Arial"/>
          <w:sz w:val="22"/>
          <w:szCs w:val="22"/>
        </w:rPr>
        <w:t xml:space="preserve">UNIQUE (snapshot_id, field_key). idx_tsfc_snapshot / idx_tsfc_document.</w:t>
      </w:r>
    </w:p>
    <w:p>
      <w:pPr>
        <w:pStyle w:val="Heading2"/>
        <w:spacing w:after="120" w:before="240"/>
      </w:pPr>
      <w:r>
        <w:rPr>
          <w:rFonts w:ascii="Arial" w:cs="Arial" w:eastAsia="Arial" w:hAnsi="Arial"/>
          <w:b/>
          <w:bCs/>
          <w:color w:val="263849"/>
          <w:sz w:val="30"/>
          <w:szCs w:val="30"/>
        </w:rPr>
        <w:t xml:space="preserve">v_topsheet_field_audit_status (view)</w:t>
      </w:r>
    </w:p>
    <w:p>
      <w:pPr>
        <w:spacing w:after="140" w:line="280"/>
        <w:jc w:val="both"/>
      </w:pPr>
      <w:r>
        <w:rPr>
          <w:rFonts w:ascii="Arial" w:cs="Arial" w:eastAsia="Arial" w:hAnsi="Arial"/>
          <w:sz w:val="22"/>
          <w:szCs w:val="22"/>
        </w:rPr>
        <w:t xml:space="preserve">Coverage view. One row per (deal, table) with total_rows and missing_count. Used by dashboards and CI gates to measure audit-trail coverage. Production target: missing_count = 0 for every row.</w:t>
      </w:r>
    </w:p>
    <w:p>
      <w:pPr>
        <w:pStyle w:val="Heading1"/>
        <w:pageBreakBefore/>
        <w:spacing w:after="180" w:before="240"/>
      </w:pPr>
      <w:r>
        <w:rPr>
          <w:rFonts w:ascii="Arial" w:cs="Arial" w:eastAsia="Arial" w:hAnsi="Arial"/>
          <w:b/>
          <w:bCs/>
          <w:color w:val="1F6FA5"/>
          <w:sz w:val="40"/>
          <w:szCs w:val="40"/>
        </w:rPr>
        <w:t xml:space="preserve">11. Document management and evidence</w:t>
      </w:r>
    </w:p>
    <w:p>
      <w:pPr>
        <w:pStyle w:val="Heading2"/>
        <w:spacing w:after="120" w:before="240"/>
      </w:pPr>
      <w:r>
        <w:rPr>
          <w:rFonts w:ascii="Arial" w:cs="Arial" w:eastAsia="Arial" w:hAnsi="Arial"/>
          <w:b/>
          <w:bCs/>
          <w:color w:val="263849"/>
          <w:sz w:val="30"/>
          <w:szCs w:val="30"/>
        </w:rPr>
        <w:t xml:space="preserve">incoming_documents</w:t>
      </w:r>
    </w:p>
    <w:p>
      <w:pPr>
        <w:spacing w:after="140" w:line="280"/>
        <w:jc w:val="both"/>
      </w:pPr>
      <w:r>
        <w:rPr>
          <w:rFonts w:ascii="Arial" w:cs="Arial" w:eastAsia="Arial" w:hAnsi="Arial"/>
          <w:sz w:val="22"/>
          <w:szCs w:val="22"/>
        </w:rPr>
        <w:t xml:space="preserve">Bronze layer. Raw intake record for every file ever seen. Retained indefinitely,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file_path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file_name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file_size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BIGINT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sha256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mime_type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source_channel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email_ingestion / sftp / manual_upload / api_submission.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sender, subject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received_at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canonical_document_id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documents. Populated when promoted.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processing_status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current_stage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receipt / classification / extraction / validation / review / commit.</w:t>
            </w:r>
          </w:p>
        </w:tc>
      </w:tr>
    </w:tbl>
    <w:p>
      <w:pPr>
        <w:pStyle w:val="Heading2"/>
        <w:spacing w:after="120" w:before="240"/>
      </w:pPr>
      <w:r>
        <w:rPr>
          <w:rFonts w:ascii="Arial" w:cs="Arial" w:eastAsia="Arial" w:hAnsi="Arial"/>
          <w:b/>
          <w:bCs/>
          <w:color w:val="263849"/>
          <w:sz w:val="30"/>
          <w:szCs w:val="30"/>
        </w:rPr>
        <w:t xml:space="preserve">documents</w:t>
      </w:r>
    </w:p>
    <w:p>
      <w:pPr>
        <w:spacing w:after="140" w:line="280"/>
        <w:jc w:val="both"/>
      </w:pPr>
      <w:r>
        <w:rPr>
          <w:rFonts w:ascii="Arial" w:cs="Arial" w:eastAsia="Arial" w:hAnsi="Arial"/>
          <w:sz w:val="22"/>
          <w:szCs w:val="22"/>
        </w:rPr>
        <w:t xml:space="preserve">Silver layer. Canonical processed document record. Linked to a specific deal + period +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document_type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compliance_certificate / audited_financials / rating_report / management_pack / amendment /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document_name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period_label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evidence_page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snippet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received_at, approved_at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incoming_document_proposals</w:t>
      </w:r>
    </w:p>
    <w:p>
      <w:pPr>
        <w:spacing w:after="140" w:line="280"/>
        <w:jc w:val="both"/>
      </w:pPr>
      <w:r>
        <w:rPr>
          <w:rFonts w:ascii="Arial" w:cs="Arial" w:eastAsia="Arial" w:hAnsi="Arial"/>
          <w:sz w:val="22"/>
          <w:szCs w:val="22"/>
        </w:rPr>
        <w:t xml:space="preserve">Pre-approval field-level proposals from AI extraction (the Bronze → Silver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incoming_document_id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field_key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'deals.enterprise_value:26' or similar.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proposal_text, proposed_value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source_evidence_page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source_evidence_snippet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confidence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pending / accepted / rejected / edited.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decided_by, decided_at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 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263849"/>
          <w:sz w:val="30"/>
          <w:szCs w:val="30"/>
        </w:rPr>
        <w:t xml:space="preserve">document_processing_runs</w:t>
      </w:r>
    </w:p>
    <w:p>
      <w:pPr>
        <w:spacing w:after="140" w:line="280"/>
        <w:jc w:val="both"/>
      </w:pPr>
      <w:r>
        <w:rPr>
          <w:rFonts w:ascii="Arial" w:cs="Arial" w:eastAsia="Arial" w:hAnsi="Arial"/>
          <w:sz w:val="22"/>
          <w:szCs w:val="22"/>
        </w:rPr>
        <w:t xml:space="preserve">Stage-level extraction audit. One row per stage run.</w:t>
      </w:r>
    </w:p>
    <w:p>
      <w:pPr>
        <w:pStyle w:val="Heading2"/>
        <w:spacing w:after="120" w:before="240"/>
      </w:pPr>
      <w:r>
        <w:rPr>
          <w:rFonts w:ascii="Arial" w:cs="Arial" w:eastAsia="Arial" w:hAnsi="Arial"/>
          <w:b/>
          <w:bCs/>
          <w:color w:val="263849"/>
          <w:sz w:val="30"/>
          <w:szCs w:val="30"/>
        </w:rPr>
        <w:t xml:space="preserve">document_supersessions</w:t>
      </w:r>
    </w:p>
    <w:p>
      <w:pPr>
        <w:spacing w:after="140" w:line="280"/>
        <w:jc w:val="both"/>
      </w:pPr>
      <w:r>
        <w:rPr>
          <w:rFonts w:ascii="Arial" w:cs="Arial" w:eastAsia="Arial" w:hAnsi="Arial"/>
          <w:sz w:val="22"/>
          <w:szCs w:val="22"/>
        </w:rPr>
        <w:t xml:space="preserve">Tracks when a new document replaces an old one (audited replaces unaudited). Preserves prior versions for audit.</w:t>
      </w:r>
    </w:p>
    <w:p>
      <w:pPr>
        <w:pStyle w:val="Heading2"/>
        <w:spacing w:after="120" w:before="240"/>
      </w:pPr>
      <w:r>
        <w:rPr>
          <w:rFonts w:ascii="Arial" w:cs="Arial" w:eastAsia="Arial" w:hAnsi="Arial"/>
          <w:b/>
          <w:bCs/>
          <w:color w:val="263849"/>
          <w:sz w:val="30"/>
          <w:szCs w:val="30"/>
        </w:rPr>
        <w:t xml:space="preserve">evidence_citations</w:t>
      </w:r>
    </w:p>
    <w:p>
      <w:pPr>
        <w:spacing w:after="140" w:line="280"/>
        <w:jc w:val="both"/>
      </w:pPr>
      <w:r>
        <w:rPr>
          <w:rFonts w:ascii="Arial" w:cs="Arial" w:eastAsia="Arial" w:hAnsi="Arial"/>
          <w:sz w:val="22"/>
          <w:szCs w:val="22"/>
        </w:rPr>
        <w:t xml:space="preserve">Universal column-level citation store. field_key convention.</w:t>
      </w:r>
    </w:p>
    <w:p>
      <w:pPr>
        <w:pStyle w:val="Heading2"/>
        <w:spacing w:after="120" w:before="240"/>
      </w:pPr>
      <w:r>
        <w:rPr>
          <w:rFonts w:ascii="Arial" w:cs="Arial" w:eastAsia="Arial" w:hAnsi="Arial"/>
          <w:b/>
          <w:bCs/>
          <w:color w:val="263849"/>
          <w:sz w:val="30"/>
          <w:szCs w:val="30"/>
        </w:rPr>
        <w:t xml:space="preserve">ai_audit_logs</w:t>
      </w:r>
    </w:p>
    <w:p>
      <w:pPr>
        <w:spacing w:after="140" w:line="280"/>
        <w:jc w:val="both"/>
      </w:pPr>
      <w:r>
        <w:rPr>
          <w:rFonts w:ascii="Arial" w:cs="Arial" w:eastAsia="Arial" w:hAnsi="Arial"/>
          <w:sz w:val="22"/>
          <w:szCs w:val="22"/>
        </w:rPr>
        <w:t xml:space="preserve">Full AI extraction provenance: prompt, tool calls, model id, tokens in/out, response.</w:t>
      </w:r>
    </w:p>
    <w:p>
      <w:pPr>
        <w:pStyle w:val="Heading1"/>
        <w:pageBreakBefore/>
        <w:spacing w:after="180" w:before="240"/>
      </w:pPr>
      <w:r>
        <w:rPr>
          <w:rFonts w:ascii="Arial" w:cs="Arial" w:eastAsia="Arial" w:hAnsi="Arial"/>
          <w:b/>
          <w:bCs/>
          <w:color w:val="1F6FA5"/>
          <w:sz w:val="40"/>
          <w:szCs w:val="40"/>
        </w:rPr>
        <w:t xml:space="preserve">12. Portfolio, holdings, accounts</w:t>
      </w:r>
    </w:p>
    <w:p>
      <w:pPr>
        <w:pStyle w:val="Heading2"/>
        <w:spacing w:after="120" w:before="240"/>
      </w:pPr>
      <w:r>
        <w:rPr>
          <w:rFonts w:ascii="Arial" w:cs="Arial" w:eastAsia="Arial" w:hAnsi="Arial"/>
          <w:b/>
          <w:bCs/>
          <w:color w:val="263849"/>
          <w:sz w:val="30"/>
          <w:szCs w:val="30"/>
        </w:rPr>
        <w:t xml:space="preserve">platform_clients</w:t>
      </w:r>
    </w:p>
    <w:p>
      <w:pPr>
        <w:spacing w:after="140" w:line="280"/>
        <w:jc w:val="both"/>
      </w:pPr>
      <w:r>
        <w:rPr>
          <w:rFonts w:ascii="Arial" w:cs="Arial" w:eastAsia="Arial" w:hAnsi="Arial"/>
          <w:sz w:val="22"/>
          <w:szCs w:val="22"/>
        </w:rPr>
        <w:t xml:space="preserve">Top of the hierarchy: the lending institution.</w:t>
      </w:r>
    </w:p>
    <w:p>
      <w:pPr>
        <w:pStyle w:val="Heading2"/>
        <w:spacing w:after="120" w:before="240"/>
      </w:pPr>
      <w:r>
        <w:rPr>
          <w:rFonts w:ascii="Arial" w:cs="Arial" w:eastAsia="Arial" w:hAnsi="Arial"/>
          <w:b/>
          <w:bCs/>
          <w:color w:val="263849"/>
          <w:sz w:val="30"/>
          <w:szCs w:val="30"/>
        </w:rPr>
        <w:t xml:space="preserve">organisations</w:t>
      </w:r>
    </w:p>
    <w:p>
      <w:pPr>
        <w:spacing w:after="140" w:line="280"/>
        <w:jc w:val="both"/>
      </w:pPr>
      <w:r>
        <w:rPr>
          <w:rFonts w:ascii="Arial" w:cs="Arial" w:eastAsia="Arial" w:hAnsi="Arial"/>
          <w:sz w:val="22"/>
          <w:szCs w:val="22"/>
        </w:rPr>
        <w:t xml:space="preserve">Child of platform_client: logical groupings (fund families, pension schemes).</w:t>
      </w:r>
    </w:p>
    <w:p>
      <w:pPr>
        <w:pStyle w:val="Heading2"/>
        <w:spacing w:after="120" w:before="240"/>
      </w:pPr>
      <w:r>
        <w:rPr>
          <w:rFonts w:ascii="Arial" w:cs="Arial" w:eastAsia="Arial" w:hAnsi="Arial"/>
          <w:b/>
          <w:bCs/>
          <w:color w:val="263849"/>
          <w:sz w:val="30"/>
          <w:szCs w:val="30"/>
        </w:rPr>
        <w:t xml:space="preserve">portfolio_owners</w:t>
      </w:r>
    </w:p>
    <w:p>
      <w:pPr>
        <w:spacing w:after="140" w:line="280"/>
        <w:jc w:val="both"/>
      </w:pPr>
      <w:r>
        <w:rPr>
          <w:rFonts w:ascii="Arial" w:cs="Arial" w:eastAsia="Arial" w:hAnsi="Arial"/>
          <w:sz w:val="22"/>
          <w:szCs w:val="22"/>
        </w:rPr>
        <w:t xml:space="preserve">Child of organisation: portfolio managers who own specific groups of deals.</w:t>
      </w:r>
    </w:p>
    <w:p>
      <w:pPr>
        <w:pStyle w:val="Heading2"/>
        <w:spacing w:after="120" w:before="240"/>
      </w:pPr>
      <w:r>
        <w:rPr>
          <w:rFonts w:ascii="Arial" w:cs="Arial" w:eastAsia="Arial" w:hAnsi="Arial"/>
          <w:b/>
          <w:bCs/>
          <w:color w:val="263849"/>
          <w:sz w:val="30"/>
          <w:szCs w:val="30"/>
        </w:rPr>
        <w:t xml:space="preserve">accounts</w:t>
      </w:r>
    </w:p>
    <w:p>
      <w:pPr>
        <w:spacing w:after="140" w:line="280"/>
        <w:jc w:val="both"/>
      </w:pPr>
      <w:r>
        <w:rPr>
          <w:rFonts w:ascii="Arial" w:cs="Arial" w:eastAsia="Arial" w:hAnsi="Arial"/>
          <w:sz w:val="22"/>
          <w:szCs w:val="22"/>
        </w:rPr>
        <w:t xml:space="preserve">Child of owner: the actual investment vehicles holding instruments. type = sleeve / segregated / commingled / managed_account.</w:t>
      </w:r>
    </w:p>
    <w:p>
      <w:pPr>
        <w:pStyle w:val="Heading2"/>
        <w:spacing w:after="120" w:before="240"/>
      </w:pPr>
      <w:r>
        <w:rPr>
          <w:rFonts w:ascii="Arial" w:cs="Arial" w:eastAsia="Arial" w:hAnsi="Arial"/>
          <w:b/>
          <w:bCs/>
          <w:color w:val="263849"/>
          <w:sz w:val="30"/>
          <w:szCs w:val="30"/>
        </w:rPr>
        <w:t xml:space="preserve">holdings</w:t>
      </w:r>
    </w:p>
    <w:p>
      <w:pPr>
        <w:spacing w:after="140" w:line="280"/>
        <w:jc w:val="both"/>
      </w:pPr>
      <w:r>
        <w:rPr>
          <w:rFonts w:ascii="Arial" w:cs="Arial" w:eastAsia="Arial" w:hAnsi="Arial"/>
          <w:sz w:val="22"/>
          <w:szCs w:val="22"/>
        </w:rPr>
        <w:t xml:space="preserve">One row per (account × deal). Current holding amount + acquisition info.</w:t>
      </w:r>
    </w:p>
    <w:p>
      <w:pPr>
        <w:pStyle w:val="Heading2"/>
        <w:spacing w:after="120" w:before="240"/>
      </w:pPr>
      <w:r>
        <w:rPr>
          <w:rFonts w:ascii="Arial" w:cs="Arial" w:eastAsia="Arial" w:hAnsi="Arial"/>
          <w:b/>
          <w:bCs/>
          <w:color w:val="263849"/>
          <w:sz w:val="30"/>
          <w:szCs w:val="30"/>
        </w:rPr>
        <w:t xml:space="preserve">account_instrument_allocations</w:t>
      </w:r>
    </w:p>
    <w:p>
      <w:pPr>
        <w:spacing w:after="140" w:line="280"/>
        <w:jc w:val="both"/>
      </w:pPr>
      <w:r>
        <w:rPr>
          <w:rFonts w:ascii="Arial" w:cs="Arial" w:eastAsia="Arial" w:hAnsi="Arial"/>
          <w:sz w:val="22"/>
          <w:szCs w:val="22"/>
        </w:rPr>
        <w:t xml:space="preserve">One row per (account × capital_structure_instrument). Which specific tranche each account holds.</w:t>
      </w:r>
    </w:p>
    <w:p>
      <w:pPr>
        <w:pStyle w:val="Heading2"/>
        <w:spacing w:after="120" w:before="240"/>
      </w:pPr>
      <w:r>
        <w:rPr>
          <w:rFonts w:ascii="Arial" w:cs="Arial" w:eastAsia="Arial" w:hAnsi="Arial"/>
          <w:b/>
          <w:bCs/>
          <w:color w:val="263849"/>
          <w:sz w:val="30"/>
          <w:szCs w:val="30"/>
        </w:rPr>
        <w:t xml:space="preserve">investor_allocations</w:t>
      </w:r>
    </w:p>
    <w:p>
      <w:pPr>
        <w:spacing w:after="140" w:line="280"/>
        <w:jc w:val="both"/>
      </w:pPr>
      <w:r>
        <w:rPr>
          <w:rFonts w:ascii="Arial" w:cs="Arial" w:eastAsia="Arial" w:hAnsi="Arial"/>
          <w:sz w:val="22"/>
          <w:szCs w:val="22"/>
        </w:rPr>
        <w:t xml:space="preserve">External investors and their mandates within a deal.</w:t>
      </w:r>
    </w:p>
    <w:p>
      <w:pPr>
        <w:pStyle w:val="Heading1"/>
        <w:pageBreakBefore/>
        <w:spacing w:after="180" w:before="240"/>
      </w:pPr>
      <w:r>
        <w:rPr>
          <w:rFonts w:ascii="Arial" w:cs="Arial" w:eastAsia="Arial" w:hAnsi="Arial"/>
          <w:b/>
          <w:bCs/>
          <w:color w:val="1F6FA5"/>
          <w:sz w:val="40"/>
          <w:szCs w:val="40"/>
        </w:rPr>
        <w:t xml:space="preserve">13. FX and feeds</w:t>
      </w:r>
    </w:p>
    <w:p>
      <w:pPr>
        <w:pStyle w:val="Heading2"/>
        <w:spacing w:after="120" w:before="240"/>
      </w:pPr>
      <w:r>
        <w:rPr>
          <w:rFonts w:ascii="Arial" w:cs="Arial" w:eastAsia="Arial" w:hAnsi="Arial"/>
          <w:b/>
          <w:bCs/>
          <w:color w:val="263849"/>
          <w:sz w:val="30"/>
          <w:szCs w:val="30"/>
        </w:rPr>
        <w:t xml:space="preserve">fx_rates</w:t>
      </w:r>
    </w:p>
    <w:p>
      <w:pPr>
        <w:spacing w:after="140" w:line="280"/>
        <w:jc w:val="both"/>
      </w:pPr>
      <w:r>
        <w:rPr>
          <w:rFonts w:ascii="Arial" w:cs="Arial" w:eastAsia="Arial" w:hAnsi="Arial"/>
          <w:sz w:val="22"/>
          <w:szCs w:val="22"/>
        </w:rPr>
        <w:t xml:space="preserve">ECB-style EUR-base reference rates. Time-series of 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Column</w:t>
            </w:r>
          </w:p>
        </w:tc>
        <w:tc>
          <w:tcPr>
            <w:tcW w:type="dxa" w:w="180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Type</w:t>
            </w:r>
          </w:p>
        </w:tc>
        <w:tc>
          <w:tcPr>
            <w:tcW w:type="dxa" w:w="4560"/>
            <w:tcBorders>
              <w:top w:val="single" w:color="CCCCCC" w:sz="4"/>
              <w:left w:val="single" w:color="CCCCCC" w:sz="4"/>
              <w:bottom w:val="single" w:color="CCCCCC" w:sz="4"/>
              <w:right w:val="single" w:color="CCCCCC" w:sz="4"/>
            </w:tcBorders>
            <w:shd w:fill="E7F0F7" w:val="clear"/>
            <w:tcMar>
              <w:top w:type="dxa" w:w="80"/>
              <w:left w:type="dxa" w:w="120"/>
              <w:bottom w:type="dxa" w:w="80"/>
              <w:right w:type="dxa" w:w="120"/>
            </w:tcMar>
          </w:tcPr>
          <w:p>
            <w:pPr>
              <w:spacing w:after="0"/>
            </w:pPr>
            <w:r>
              <w:rPr>
                <w:rFonts w:ascii="Arial" w:cs="Arial" w:eastAsia="Arial" w:hAnsi="Arial"/>
                <w:b/>
                <w:bCs/>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SERIAL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as_of_date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UNIQUE with currency_code.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currency_code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VARCHAR(3)</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rate_vs_eur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NUMERIC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EUR per 1 CCY.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source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ECB-seed / frankfurter /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captured_at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w:r>
          </w:p>
        </w:tc>
      </w:tr>
    </w:tbl>
    <w:p>
      <w:pPr>
        <w:pStyle w:val="Heading1"/>
        <w:pageBreakBefore/>
        <w:spacing w:after="180" w:before="240"/>
      </w:pPr>
      <w:r>
        <w:rPr>
          <w:rFonts w:ascii="Arial" w:cs="Arial" w:eastAsia="Arial" w:hAnsi="Arial"/>
          <w:b/>
          <w:bCs/>
          <w:color w:val="1F6FA5"/>
          <w:sz w:val="40"/>
          <w:szCs w:val="40"/>
        </w:rPr>
        <w:t xml:space="preserve">14. Analytics outputs</w:t>
      </w:r>
    </w:p>
    <w:p>
      <w:pPr>
        <w:pStyle w:val="Heading2"/>
        <w:spacing w:after="120" w:before="240"/>
      </w:pPr>
      <w:r>
        <w:rPr>
          <w:rFonts w:ascii="Arial" w:cs="Arial" w:eastAsia="Arial" w:hAnsi="Arial"/>
          <w:b/>
          <w:bCs/>
          <w:color w:val="263849"/>
          <w:sz w:val="30"/>
          <w:szCs w:val="30"/>
        </w:rPr>
        <w:t xml:space="preserve">deal_assessments</w:t>
      </w:r>
    </w:p>
    <w:p>
      <w:pPr>
        <w:spacing w:after="140" w:line="280"/>
        <w:jc w:val="both"/>
      </w:pPr>
      <w:r>
        <w:rPr>
          <w:rFonts w:ascii="Arial" w:cs="Arial" w:eastAsia="Arial" w:hAnsi="Arial"/>
          <w:sz w:val="22"/>
          <w:szCs w:val="22"/>
        </w:rPr>
        <w:t xml:space="preserve">Performance grade history per deal. Grade + components (covenant / variance / trend / compliance), overall score, watchlist status, escalation level, summary narrative.</w:t>
      </w:r>
    </w:p>
    <w:p>
      <w:pPr>
        <w:pStyle w:val="Heading2"/>
        <w:spacing w:after="120" w:before="240"/>
      </w:pPr>
      <w:r>
        <w:rPr>
          <w:rFonts w:ascii="Arial" w:cs="Arial" w:eastAsia="Arial" w:hAnsi="Arial"/>
          <w:b/>
          <w:bCs/>
          <w:color w:val="263849"/>
          <w:sz w:val="30"/>
          <w:szCs w:val="30"/>
        </w:rPr>
        <w:t xml:space="preserve">performance_assessments</w:t>
      </w:r>
    </w:p>
    <w:p>
      <w:pPr>
        <w:spacing w:after="140" w:line="280"/>
        <w:jc w:val="both"/>
      </w:pPr>
      <w:r>
        <w:rPr>
          <w:rFonts w:ascii="Arial" w:cs="Arial" w:eastAsia="Arial" w:hAnsi="Arial"/>
          <w:sz w:val="22"/>
          <w:szCs w:val="22"/>
        </w:rPr>
        <w:t xml:space="preserve">Legacy table, similar shape. Retained.</w:t>
      </w:r>
    </w:p>
    <w:p>
      <w:pPr>
        <w:pStyle w:val="Heading2"/>
        <w:spacing w:after="120" w:before="240"/>
      </w:pPr>
      <w:r>
        <w:rPr>
          <w:rFonts w:ascii="Arial" w:cs="Arial" w:eastAsia="Arial" w:hAnsi="Arial"/>
          <w:b/>
          <w:bCs/>
          <w:color w:val="263849"/>
          <w:sz w:val="30"/>
          <w:szCs w:val="30"/>
        </w:rPr>
        <w:t xml:space="preserve">trend_records</w:t>
      </w:r>
    </w:p>
    <w:p>
      <w:pPr>
        <w:spacing w:after="140" w:line="280"/>
        <w:jc w:val="both"/>
      </w:pPr>
      <w:r>
        <w:rPr>
          <w:rFonts w:ascii="Arial" w:cs="Arial" w:eastAsia="Arial" w:hAnsi="Arial"/>
          <w:sz w:val="22"/>
          <w:szCs w:val="22"/>
        </w:rPr>
        <w:t xml:space="preserve">Output of the Plan Variance Trend Engine. One row per (deal, metric) trend assessment.</w:t>
      </w:r>
    </w:p>
    <w:p>
      <w:pPr>
        <w:pStyle w:val="Heading2"/>
        <w:spacing w:after="120" w:before="240"/>
      </w:pPr>
      <w:r>
        <w:rPr>
          <w:rFonts w:ascii="Arial" w:cs="Arial" w:eastAsia="Arial" w:hAnsi="Arial"/>
          <w:b/>
          <w:bCs/>
          <w:color w:val="263849"/>
          <w:sz w:val="30"/>
          <w:szCs w:val="30"/>
        </w:rPr>
        <w:t xml:space="preserve">ratio_reconciliations</w:t>
      </w:r>
    </w:p>
    <w:p>
      <w:pPr>
        <w:spacing w:after="140" w:line="280"/>
        <w:jc w:val="both"/>
      </w:pPr>
      <w:r>
        <w:rPr>
          <w:rFonts w:ascii="Arial" w:cs="Arial" w:eastAsia="Arial" w:hAnsi="Arial"/>
          <w:sz w:val="22"/>
          <w:szCs w:val="22"/>
        </w:rPr>
        <w:t xml:space="preserve">Output of the Ratio Reconciliation Engine. Borrower-reported ratio vs platform-computed ratio, with difference and materiality.</w:t>
      </w:r>
    </w:p>
    <w:p>
      <w:pPr>
        <w:pStyle w:val="Heading2"/>
        <w:spacing w:after="120" w:before="240"/>
      </w:pPr>
      <w:r>
        <w:rPr>
          <w:rFonts w:ascii="Arial" w:cs="Arial" w:eastAsia="Arial" w:hAnsi="Arial"/>
          <w:b/>
          <w:bCs/>
          <w:color w:val="263849"/>
          <w:sz w:val="30"/>
          <w:szCs w:val="30"/>
        </w:rPr>
        <w:t xml:space="preserve">grade_overrides</w:t>
      </w:r>
    </w:p>
    <w:p>
      <w:pPr>
        <w:spacing w:after="140" w:line="280"/>
        <w:jc w:val="both"/>
      </w:pPr>
      <w:r>
        <w:rPr>
          <w:rFonts w:ascii="Arial" w:cs="Arial" w:eastAsia="Arial" w:hAnsi="Arial"/>
          <w:sz w:val="22"/>
          <w:szCs w:val="22"/>
        </w:rPr>
        <w:t xml:space="preserve">Manual overrides of computed grade. Approval workflow, rationale, expiry.</w:t>
      </w:r>
    </w:p>
    <w:p>
      <w:pPr>
        <w:pStyle w:val="Heading2"/>
        <w:spacing w:after="120" w:before="240"/>
      </w:pPr>
      <w:r>
        <w:rPr>
          <w:rFonts w:ascii="Arial" w:cs="Arial" w:eastAsia="Arial" w:hAnsi="Arial"/>
          <w:b/>
          <w:bCs/>
          <w:color w:val="263849"/>
          <w:sz w:val="30"/>
          <w:szCs w:val="30"/>
        </w:rPr>
        <w:t xml:space="preserve">watchlist_events</w:t>
      </w:r>
    </w:p>
    <w:p>
      <w:pPr>
        <w:spacing w:after="140" w:line="280"/>
        <w:jc w:val="both"/>
      </w:pPr>
      <w:r>
        <w:rPr>
          <w:rFonts w:ascii="Arial" w:cs="Arial" w:eastAsia="Arial" w:hAnsi="Arial"/>
          <w:sz w:val="22"/>
          <w:szCs w:val="22"/>
        </w:rPr>
        <w:t xml:space="preserve">Audit of additions to / removals from watchlist.</w:t>
      </w:r>
    </w:p>
    <w:p>
      <w:pPr>
        <w:pStyle w:val="Heading1"/>
        <w:pageBreakBefore/>
        <w:spacing w:after="180" w:before="240"/>
      </w:pPr>
      <w:r>
        <w:rPr>
          <w:rFonts w:ascii="Arial" w:cs="Arial" w:eastAsia="Arial" w:hAnsi="Arial"/>
          <w:b/>
          <w:bCs/>
          <w:color w:val="1F6FA5"/>
          <w:sz w:val="40"/>
          <w:szCs w:val="40"/>
        </w:rPr>
        <w:t xml:space="preserve">15. Workflows, notifications, activity</w:t>
      </w:r>
    </w:p>
    <w:p>
      <w:pPr>
        <w:pStyle w:val="Heading2"/>
        <w:spacing w:after="120" w:before="240"/>
      </w:pPr>
      <w:r>
        <w:rPr>
          <w:rFonts w:ascii="Arial" w:cs="Arial" w:eastAsia="Arial" w:hAnsi="Arial"/>
          <w:b/>
          <w:bCs/>
          <w:color w:val="263849"/>
          <w:sz w:val="30"/>
          <w:szCs w:val="30"/>
        </w:rPr>
        <w:t xml:space="preserve">monitoring_cycles / monitoring_cycle_events</w:t>
      </w:r>
    </w:p>
    <w:p>
      <w:pPr>
        <w:spacing w:after="140" w:line="280"/>
        <w:jc w:val="both"/>
      </w:pPr>
      <w:r>
        <w:rPr>
          <w:rFonts w:ascii="Arial" w:cs="Arial" w:eastAsia="Arial" w:hAnsi="Arial"/>
          <w:sz w:val="22"/>
          <w:szCs w:val="22"/>
        </w:rPr>
        <w:t xml:space="preserve">Period-by-period monitoring cycle per deal. Events: notify / receive_pack / validate / review / commit / covenant_test / report_generate / distribute.</w:t>
      </w:r>
    </w:p>
    <w:p>
      <w:pPr>
        <w:pStyle w:val="Heading2"/>
        <w:spacing w:after="120" w:before="240"/>
      </w:pPr>
      <w:r>
        <w:rPr>
          <w:rFonts w:ascii="Arial" w:cs="Arial" w:eastAsia="Arial" w:hAnsi="Arial"/>
          <w:b/>
          <w:bCs/>
          <w:color w:val="263849"/>
          <w:sz w:val="30"/>
          <w:szCs w:val="30"/>
        </w:rPr>
        <w:t xml:space="preserve">borrower_requests / borrower_request_votes / borrower_request_decisions</w:t>
      </w:r>
    </w:p>
    <w:p>
      <w:pPr>
        <w:spacing w:after="140" w:line="280"/>
        <w:jc w:val="both"/>
      </w:pPr>
      <w:r>
        <w:rPr>
          <w:rFonts w:ascii="Arial" w:cs="Arial" w:eastAsia="Arial" w:hAnsi="Arial"/>
          <w:sz w:val="22"/>
          <w:szCs w:val="22"/>
        </w:rPr>
        <w:t xml:space="preserve">Consent requests from borrowers. Votes by lenders, final decisions.</w:t>
      </w:r>
    </w:p>
    <w:p>
      <w:pPr>
        <w:pStyle w:val="Heading2"/>
        <w:spacing w:after="120" w:before="240"/>
      </w:pPr>
      <w:r>
        <w:rPr>
          <w:rFonts w:ascii="Arial" w:cs="Arial" w:eastAsia="Arial" w:hAnsi="Arial"/>
          <w:b/>
          <w:bCs/>
          <w:color w:val="263849"/>
          <w:sz w:val="30"/>
          <w:szCs w:val="30"/>
        </w:rPr>
        <w:t xml:space="preserve">workflow_tasks</w:t>
      </w:r>
    </w:p>
    <w:p>
      <w:pPr>
        <w:spacing w:after="140" w:line="280"/>
        <w:jc w:val="both"/>
      </w:pPr>
      <w:r>
        <w:rPr>
          <w:rFonts w:ascii="Arial" w:cs="Arial" w:eastAsia="Arial" w:hAnsi="Arial"/>
          <w:sz w:val="22"/>
          <w:szCs w:val="22"/>
        </w:rPr>
        <w:t xml:space="preserve">Cross-cutting task queue.</w:t>
      </w:r>
    </w:p>
    <w:p>
      <w:pPr>
        <w:pStyle w:val="Heading2"/>
        <w:spacing w:after="120" w:before="240"/>
      </w:pPr>
      <w:r>
        <w:rPr>
          <w:rFonts w:ascii="Arial" w:cs="Arial" w:eastAsia="Arial" w:hAnsi="Arial"/>
          <w:b/>
          <w:bCs/>
          <w:color w:val="263849"/>
          <w:sz w:val="30"/>
          <w:szCs w:val="30"/>
        </w:rPr>
        <w:t xml:space="preserve">compliance_cases / compliance_alerts / obligation_fulfilments / review_items</w:t>
      </w:r>
    </w:p>
    <w:p>
      <w:pPr>
        <w:spacing w:after="140" w:line="280"/>
        <w:jc w:val="both"/>
      </w:pPr>
      <w:r>
        <w:rPr>
          <w:rFonts w:ascii="Arial" w:cs="Arial" w:eastAsia="Arial" w:hAnsi="Arial"/>
          <w:sz w:val="22"/>
          <w:szCs w:val="22"/>
        </w:rPr>
        <w:t xml:space="preserve">The compliance workspace tables. Cases group related obligations; alerts flag exceptions; fulfilments tick off obligations; review items gate document proposals.</w:t>
      </w:r>
    </w:p>
    <w:p>
      <w:pPr>
        <w:pStyle w:val="Heading2"/>
        <w:spacing w:after="120" w:before="240"/>
      </w:pPr>
      <w:r>
        <w:rPr>
          <w:rFonts w:ascii="Arial" w:cs="Arial" w:eastAsia="Arial" w:hAnsi="Arial"/>
          <w:b/>
          <w:bCs/>
          <w:color w:val="263849"/>
          <w:sz w:val="30"/>
          <w:szCs w:val="30"/>
        </w:rPr>
        <w:t xml:space="preserve">notification_* tables</w:t>
      </w:r>
    </w:p>
    <w:p>
      <w:pPr>
        <w:spacing w:after="140" w:line="280"/>
        <w:jc w:val="both"/>
      </w:pPr>
      <w:r>
        <w:rPr>
          <w:rFonts w:ascii="Arial" w:cs="Arial" w:eastAsia="Arial" w:hAnsi="Arial"/>
          <w:sz w:val="22"/>
          <w:szCs w:val="22"/>
        </w:rPr>
        <w:t xml:space="preserve">Notifications (delivery records), notification_preferences (per-subscriber prefs), notification_subscriptions (category subscriptions), notification_digests.</w:t>
      </w:r>
    </w:p>
    <w:p>
      <w:pPr>
        <w:pStyle w:val="Heading2"/>
        <w:spacing w:after="120" w:before="240"/>
      </w:pPr>
      <w:r>
        <w:rPr>
          <w:rFonts w:ascii="Arial" w:cs="Arial" w:eastAsia="Arial" w:hAnsi="Arial"/>
          <w:b/>
          <w:bCs/>
          <w:color w:val="263849"/>
          <w:sz w:val="30"/>
          <w:szCs w:val="30"/>
        </w:rPr>
        <w:t xml:space="preserve">activity_events</w:t>
      </w:r>
    </w:p>
    <w:p>
      <w:pPr>
        <w:spacing w:after="140" w:line="280"/>
        <w:jc w:val="both"/>
      </w:pPr>
      <w:r>
        <w:rPr>
          <w:rFonts w:ascii="Arial" w:cs="Arial" w:eastAsia="Arial" w:hAnsi="Arial"/>
          <w:sz w:val="22"/>
          <w:szCs w:val="22"/>
        </w:rPr>
        <w:t xml:space="preserve">Cross-domain activity feed. Every significant action writes an event.</w:t>
      </w:r>
    </w:p>
    <w:p>
      <w:pPr>
        <w:pStyle w:val="Heading2"/>
        <w:spacing w:after="120" w:before="240"/>
      </w:pPr>
      <w:r>
        <w:rPr>
          <w:rFonts w:ascii="Arial" w:cs="Arial" w:eastAsia="Arial" w:hAnsi="Arial"/>
          <w:b/>
          <w:bCs/>
          <w:color w:val="263849"/>
          <w:sz w:val="30"/>
          <w:szCs w:val="30"/>
        </w:rPr>
        <w:t xml:space="preserve">platform_todos</w:t>
      </w:r>
    </w:p>
    <w:p>
      <w:pPr>
        <w:spacing w:after="140" w:line="280"/>
        <w:jc w:val="both"/>
      </w:pPr>
      <w:r>
        <w:rPr>
          <w:rFonts w:ascii="Arial" w:cs="Arial" w:eastAsia="Arial" w:hAnsi="Arial"/>
          <w:sz w:val="22"/>
          <w:szCs w:val="22"/>
        </w:rPr>
        <w:t xml:space="preserve">User todo board.</w:t>
      </w:r>
    </w:p>
    <w:p>
      <w:pPr>
        <w:pStyle w:val="Heading2"/>
        <w:spacing w:after="120" w:before="240"/>
      </w:pPr>
      <w:r>
        <w:rPr>
          <w:rFonts w:ascii="Arial" w:cs="Arial" w:eastAsia="Arial" w:hAnsi="Arial"/>
          <w:b/>
          <w:bCs/>
          <w:color w:val="263849"/>
          <w:sz w:val="30"/>
          <w:szCs w:val="30"/>
        </w:rPr>
        <w:t xml:space="preserve">demo_clock</w:t>
      </w:r>
    </w:p>
    <w:p>
      <w:pPr>
        <w:spacing w:after="140" w:line="280"/>
        <w:jc w:val="both"/>
      </w:pPr>
      <w:r>
        <w:rPr>
          <w:rFonts w:ascii="Arial" w:cs="Arial" w:eastAsia="Arial" w:hAnsi="Arial"/>
          <w:sz w:val="22"/>
          <w:szCs w:val="22"/>
        </w:rPr>
        <w:t xml:space="preserve">Single-row 'clock' for the demo environment so the UI can simulate a reporting date without changing the actual system clock.</w:t>
      </w:r>
    </w:p>
    <w:p>
      <w:pPr>
        <w:pStyle w:val="Heading1"/>
        <w:pageBreakBefore/>
        <w:spacing w:after="180" w:before="240"/>
      </w:pPr>
      <w:r>
        <w:rPr>
          <w:rFonts w:ascii="Arial" w:cs="Arial" w:eastAsia="Arial" w:hAnsi="Arial"/>
          <w:b/>
          <w:bCs/>
          <w:color w:val="1F6FA5"/>
          <w:sz w:val="40"/>
          <w:szCs w:val="40"/>
        </w:rPr>
        <w:t xml:space="preserve">16. Reports and memo packs</w:t>
      </w:r>
    </w:p>
    <w:p>
      <w:pPr>
        <w:pStyle w:val="Heading2"/>
        <w:spacing w:after="120" w:before="240"/>
      </w:pPr>
      <w:r>
        <w:rPr>
          <w:rFonts w:ascii="Arial" w:cs="Arial" w:eastAsia="Arial" w:hAnsi="Arial"/>
          <w:b/>
          <w:bCs/>
          <w:color w:val="263849"/>
          <w:sz w:val="30"/>
          <w:szCs w:val="30"/>
        </w:rPr>
        <w:t xml:space="preserve">report_schedules / report_schedule_recipients</w:t>
      </w:r>
    </w:p>
    <w:p>
      <w:pPr>
        <w:spacing w:after="140" w:line="280"/>
        <w:jc w:val="both"/>
      </w:pPr>
      <w:r>
        <w:rPr>
          <w:rFonts w:ascii="Arial" w:cs="Arial" w:eastAsia="Arial" w:hAnsi="Arial"/>
          <w:sz w:val="22"/>
          <w:szCs w:val="22"/>
        </w:rPr>
        <w:t xml:space="preserve">Recurring report definitions + who gets them.</w:t>
      </w:r>
    </w:p>
    <w:p>
      <w:pPr>
        <w:pStyle w:val="Heading2"/>
        <w:spacing w:after="120" w:before="240"/>
      </w:pPr>
      <w:r>
        <w:rPr>
          <w:rFonts w:ascii="Arial" w:cs="Arial" w:eastAsia="Arial" w:hAnsi="Arial"/>
          <w:b/>
          <w:bCs/>
          <w:color w:val="263849"/>
          <w:sz w:val="30"/>
          <w:szCs w:val="30"/>
        </w:rPr>
        <w:t xml:space="preserve">report_exports / report_export_sections</w:t>
      </w:r>
    </w:p>
    <w:p>
      <w:pPr>
        <w:spacing w:after="140" w:line="280"/>
        <w:jc w:val="both"/>
      </w:pPr>
      <w:r>
        <w:rPr>
          <w:rFonts w:ascii="Arial" w:cs="Arial" w:eastAsia="Arial" w:hAnsi="Arial"/>
          <w:sz w:val="22"/>
          <w:szCs w:val="22"/>
        </w:rPr>
        <w:t xml:space="preserve">Individual report generation records — pending / running / completed / failed — plus their section-level content.</w:t>
      </w:r>
    </w:p>
    <w:p>
      <w:pPr>
        <w:pStyle w:val="Heading2"/>
        <w:spacing w:after="120" w:before="240"/>
      </w:pPr>
      <w:r>
        <w:rPr>
          <w:rFonts w:ascii="Arial" w:cs="Arial" w:eastAsia="Arial" w:hAnsi="Arial"/>
          <w:b/>
          <w:bCs/>
          <w:color w:val="263849"/>
          <w:sz w:val="30"/>
          <w:szCs w:val="30"/>
        </w:rPr>
        <w:t xml:space="preserve">report_generation_runs / report_delivery_logs / report_delivery_exceptions</w:t>
      </w:r>
    </w:p>
    <w:p>
      <w:pPr>
        <w:spacing w:after="140" w:line="280"/>
        <w:jc w:val="both"/>
      </w:pPr>
      <w:r>
        <w:rPr>
          <w:rFonts w:ascii="Arial" w:cs="Arial" w:eastAsia="Arial" w:hAnsi="Arial"/>
          <w:sz w:val="22"/>
          <w:szCs w:val="22"/>
        </w:rPr>
        <w:t xml:space="preserve">Operational audit trail for report production + delivery.</w:t>
      </w:r>
    </w:p>
    <w:p>
      <w:pPr>
        <w:pStyle w:val="Heading2"/>
        <w:spacing w:after="120" w:before="240"/>
      </w:pPr>
      <w:r>
        <w:rPr>
          <w:rFonts w:ascii="Arial" w:cs="Arial" w:eastAsia="Arial" w:hAnsi="Arial"/>
          <w:b/>
          <w:bCs/>
          <w:color w:val="263849"/>
          <w:sz w:val="30"/>
          <w:szCs w:val="30"/>
        </w:rPr>
        <w:t xml:space="preserve">memo_packs / memo_pack_sections</w:t>
      </w:r>
    </w:p>
    <w:p>
      <w:pPr>
        <w:spacing w:after="140" w:line="280"/>
        <w:jc w:val="both"/>
      </w:pPr>
      <w:r>
        <w:rPr>
          <w:rFonts w:ascii="Arial" w:cs="Arial" w:eastAsia="Arial" w:hAnsi="Arial"/>
          <w:sz w:val="22"/>
          <w:szCs w:val="22"/>
        </w:rPr>
        <w:t xml:space="preserve">IC memo packs and their sections.</w:t>
      </w:r>
    </w:p>
    <w:p>
      <w:pPr>
        <w:pStyle w:val="Heading1"/>
        <w:pageBreakBefore/>
        <w:spacing w:after="180" w:before="240"/>
      </w:pPr>
      <w:r>
        <w:rPr>
          <w:rFonts w:ascii="Arial" w:cs="Arial" w:eastAsia="Arial" w:hAnsi="Arial"/>
          <w:b/>
          <w:bCs/>
          <w:color w:val="1F6FA5"/>
          <w:sz w:val="40"/>
          <w:szCs w:val="40"/>
        </w:rPr>
        <w:t xml:space="preserve">17. Users and permissions</w:t>
      </w:r>
    </w:p>
    <w:p>
      <w:pPr>
        <w:pStyle w:val="Heading2"/>
        <w:spacing w:after="120" w:before="240"/>
      </w:pPr>
      <w:r>
        <w:rPr>
          <w:rFonts w:ascii="Arial" w:cs="Arial" w:eastAsia="Arial" w:hAnsi="Arial"/>
          <w:b/>
          <w:bCs/>
          <w:color w:val="263849"/>
          <w:sz w:val="30"/>
          <w:szCs w:val="30"/>
        </w:rPr>
        <w:t xml:space="preserve">app_users</w:t>
      </w:r>
    </w:p>
    <w:p>
      <w:pPr>
        <w:spacing w:after="140" w:line="280"/>
        <w:jc w:val="both"/>
      </w:pPr>
      <w:r>
        <w:rPr>
          <w:rFonts w:ascii="Arial" w:cs="Arial" w:eastAsia="Arial" w:hAnsi="Arial"/>
          <w:sz w:val="22"/>
          <w:szCs w:val="22"/>
        </w:rPr>
        <w:t xml:space="preserve">Users of the platform. Login identity, display name, team, roles.</w:t>
      </w:r>
    </w:p>
    <w:p>
      <w:pPr>
        <w:pStyle w:val="Heading2"/>
        <w:spacing w:after="120" w:before="240"/>
      </w:pPr>
      <w:r>
        <w:rPr>
          <w:rFonts w:ascii="Arial" w:cs="Arial" w:eastAsia="Arial" w:hAnsi="Arial"/>
          <w:b/>
          <w:bCs/>
          <w:color w:val="263849"/>
          <w:sz w:val="30"/>
          <w:szCs w:val="30"/>
        </w:rPr>
        <w:t xml:space="preserve">app_roles / role_permissions / app_user_roles</w:t>
      </w:r>
    </w:p>
    <w:p>
      <w:pPr>
        <w:spacing w:after="140" w:line="280"/>
        <w:jc w:val="both"/>
      </w:pPr>
      <w:r>
        <w:rPr>
          <w:rFonts w:ascii="Arial" w:cs="Arial" w:eastAsia="Arial" w:hAnsi="Arial"/>
          <w:sz w:val="22"/>
          <w:szCs w:val="22"/>
        </w:rPr>
        <w:t xml:space="preserve">Three-table RBAC. Roles hold permissions; users hold roles.</w:t>
      </w:r>
    </w:p>
    <w:p>
      <w:pPr>
        <w:pStyle w:val="Heading2"/>
        <w:spacing w:after="120" w:before="240"/>
      </w:pPr>
      <w:r>
        <w:rPr>
          <w:rFonts w:ascii="Arial" w:cs="Arial" w:eastAsia="Arial" w:hAnsi="Arial"/>
          <w:b/>
          <w:bCs/>
          <w:color w:val="263849"/>
          <w:sz w:val="30"/>
          <w:szCs w:val="30"/>
        </w:rPr>
        <w:t xml:space="preserve">app_entitlements</w:t>
      </w:r>
    </w:p>
    <w:p>
      <w:pPr>
        <w:spacing w:after="140" w:line="280"/>
        <w:jc w:val="both"/>
      </w:pPr>
      <w:r>
        <w:rPr>
          <w:rFonts w:ascii="Arial" w:cs="Arial" w:eastAsia="Arial" w:hAnsi="Arial"/>
          <w:sz w:val="22"/>
          <w:szCs w:val="22"/>
        </w:rPr>
        <w:t xml:space="preserve">Fine-grained scoped entitlements per user, constrained to a platform_client / organisation / owner / account / deal (any or all of which can be NULL to mean 'all').</w:t>
      </w:r>
    </w:p>
    <w:p>
      <w:pPr>
        <w:pStyle w:val="Heading1"/>
        <w:pageBreakBefore/>
        <w:spacing w:after="180" w:before="240"/>
      </w:pPr>
      <w:r>
        <w:rPr>
          <w:rFonts w:ascii="Arial" w:cs="Arial" w:eastAsia="Arial" w:hAnsi="Arial"/>
          <w:b/>
          <w:bCs/>
          <w:color w:val="1F6FA5"/>
          <w:sz w:val="40"/>
          <w:szCs w:val="40"/>
        </w:rPr>
        <w:t xml:space="preserve">18. Patterns and conventions</w:t>
      </w:r>
    </w:p>
    <w:p>
      <w:pPr>
        <w:pStyle w:val="Heading2"/>
        <w:spacing w:after="120" w:before="240"/>
      </w:pPr>
      <w:r>
        <w:rPr>
          <w:rFonts w:ascii="Arial" w:cs="Arial" w:eastAsia="Arial" w:hAnsi="Arial"/>
          <w:b/>
          <w:bCs/>
          <w:color w:val="263849"/>
          <w:sz w:val="30"/>
          <w:szCs w:val="30"/>
        </w:rPr>
        <w:t xml:space="preserve">Naming</w:t>
      </w:r>
    </w:p>
    <w:p>
      <w:pPr>
        <w:pStyle w:val="ListParagraph"/>
        <w:numPr>
          <w:ilvl w:val="0"/>
          <w:numId w:val="2"/>
        </w:numPr>
        <w:spacing w:after="60"/>
      </w:pPr>
      <w:r>
        <w:rPr>
          <w:rFonts w:ascii="Arial" w:cs="Arial" w:eastAsia="Arial" w:hAnsi="Arial"/>
          <w:sz w:val="22"/>
          <w:szCs w:val="22"/>
        </w:rPr>
        <w:t xml:space="preserve">Table names are snake_case and plural (deals, covenants, notifications).</w:t>
      </w:r>
    </w:p>
    <w:p>
      <w:pPr>
        <w:pStyle w:val="ListParagraph"/>
        <w:numPr>
          <w:ilvl w:val="0"/>
          <w:numId w:val="2"/>
        </w:numPr>
        <w:spacing w:after="60"/>
      </w:pPr>
      <w:r>
        <w:rPr>
          <w:rFonts w:ascii="Arial" w:cs="Arial" w:eastAsia="Arial" w:hAnsi="Arial"/>
          <w:sz w:val="22"/>
          <w:szCs w:val="22"/>
        </w:rPr>
        <w:t xml:space="preserve">Child-table names start with deal_ for clarity (deal_risk_register, deal_amendments).</w:t>
      </w:r>
    </w:p>
    <w:p>
      <w:pPr>
        <w:pStyle w:val="ListParagraph"/>
        <w:numPr>
          <w:ilvl w:val="0"/>
          <w:numId w:val="2"/>
        </w:numPr>
        <w:spacing w:after="60"/>
      </w:pPr>
      <w:r>
        <w:rPr>
          <w:rFonts w:ascii="Arial" w:cs="Arial" w:eastAsia="Arial" w:hAnsi="Arial"/>
          <w:sz w:val="22"/>
          <w:szCs w:val="22"/>
        </w:rPr>
        <w:t xml:space="preserve">Version tables use _history or _versions suffix (deal_risk_register_history, forecast_case_versions).</w:t>
      </w:r>
    </w:p>
    <w:p>
      <w:pPr>
        <w:pStyle w:val="ListParagraph"/>
        <w:numPr>
          <w:ilvl w:val="0"/>
          <w:numId w:val="2"/>
        </w:numPr>
        <w:spacing w:after="60"/>
      </w:pPr>
      <w:r>
        <w:rPr>
          <w:rFonts w:ascii="Arial" w:cs="Arial" w:eastAsia="Arial" w:hAnsi="Arial"/>
          <w:sz w:val="22"/>
          <w:szCs w:val="22"/>
        </w:rPr>
        <w:t xml:space="preserve">Configuration / reference tables are singular where unambiguous (demo_clock).</w:t>
      </w:r>
    </w:p>
    <w:p>
      <w:pPr>
        <w:pStyle w:val="Heading2"/>
        <w:spacing w:after="120" w:before="240"/>
      </w:pPr>
      <w:r>
        <w:rPr>
          <w:rFonts w:ascii="Arial" w:cs="Arial" w:eastAsia="Arial" w:hAnsi="Arial"/>
          <w:b/>
          <w:bCs/>
          <w:color w:val="263849"/>
          <w:sz w:val="30"/>
          <w:szCs w:val="30"/>
        </w:rPr>
        <w:t xml:space="preserve">Keys</w:t>
      </w:r>
    </w:p>
    <w:p>
      <w:pPr>
        <w:pStyle w:val="ListParagraph"/>
        <w:numPr>
          <w:ilvl w:val="0"/>
          <w:numId w:val="2"/>
        </w:numPr>
        <w:spacing w:after="60"/>
      </w:pPr>
      <w:r>
        <w:rPr>
          <w:rFonts w:ascii="Arial" w:cs="Arial" w:eastAsia="Arial" w:hAnsi="Arial"/>
          <w:sz w:val="22"/>
          <w:szCs w:val="22"/>
        </w:rPr>
        <w:t xml:space="preserve">INTEGER + SERIAL for most PKs.</w:t>
      </w:r>
    </w:p>
    <w:p>
      <w:pPr>
        <w:pStyle w:val="ListParagraph"/>
        <w:numPr>
          <w:ilvl w:val="0"/>
          <w:numId w:val="2"/>
        </w:numPr>
        <w:spacing w:after="60"/>
      </w:pPr>
      <w:r>
        <w:rPr>
          <w:rFonts w:ascii="Arial" w:cs="Arial" w:eastAsia="Arial" w:hAnsi="Arial"/>
          <w:sz w:val="22"/>
          <w:szCs w:val="22"/>
        </w:rPr>
        <w:t xml:space="preserve">UUID + gen_random_uuid() where the row is referenced from many places and id collisions across environments would be problematic (capital_structure_instruments, corporate_entities, deal_risk_register, documents in some cases).</w:t>
      </w:r>
    </w:p>
    <w:p>
      <w:pPr>
        <w:pStyle w:val="ListParagraph"/>
        <w:numPr>
          <w:ilvl w:val="0"/>
          <w:numId w:val="2"/>
        </w:numPr>
        <w:spacing w:after="60"/>
      </w:pPr>
      <w:r>
        <w:rPr>
          <w:rFonts w:ascii="Arial" w:cs="Arial" w:eastAsia="Arial" w:hAnsi="Arial"/>
          <w:sz w:val="22"/>
          <w:szCs w:val="22"/>
        </w:rPr>
        <w:t xml:space="preserve">BIGSERIAL for very-high-cardinality grids (period_financial_items, forecast_period_items) so the PK doesn't overflow int4 across a large portfolio.</w:t>
      </w:r>
    </w:p>
    <w:p>
      <w:pPr>
        <w:pStyle w:val="Heading2"/>
        <w:spacing w:after="120" w:before="240"/>
      </w:pPr>
      <w:r>
        <w:rPr>
          <w:rFonts w:ascii="Arial" w:cs="Arial" w:eastAsia="Arial" w:hAnsi="Arial"/>
          <w:b/>
          <w:bCs/>
          <w:color w:val="263849"/>
          <w:sz w:val="30"/>
          <w:szCs w:val="30"/>
        </w:rPr>
        <w:t xml:space="preserve">Soft constraints via JSONB</w:t>
      </w:r>
    </w:p>
    <w:p>
      <w:pPr>
        <w:pStyle w:val="ListParagraph"/>
        <w:numPr>
          <w:ilvl w:val="0"/>
          <w:numId w:val="2"/>
        </w:numPr>
        <w:spacing w:after="60"/>
      </w:pPr>
      <w:r>
        <w:rPr>
          <w:rFonts w:ascii="Arial" w:cs="Arial" w:eastAsia="Arial" w:hAnsi="Arial"/>
          <w:sz w:val="22"/>
          <w:szCs w:val="22"/>
        </w:rPr>
        <w:t xml:space="preserve">JSONB is used for structured-but-variable payloads: scenario_metrics, actual_metrics, stress_parameters, utilisation_fee_tiers, prepayment_schedule. Schema-in-code validates shape when needed.</w:t>
      </w:r>
    </w:p>
    <w:p>
      <w:pPr>
        <w:pStyle w:val="ListParagraph"/>
        <w:numPr>
          <w:ilvl w:val="0"/>
          <w:numId w:val="2"/>
        </w:numPr>
        <w:spacing w:after="60"/>
      </w:pPr>
      <w:r>
        <w:rPr>
          <w:rFonts w:ascii="Arial" w:cs="Arial" w:eastAsia="Arial" w:hAnsi="Arial"/>
          <w:sz w:val="22"/>
          <w:szCs w:val="22"/>
        </w:rPr>
        <w:t xml:space="preserve">Use when the shape varies by deal or by line item and a strict relational model would be over-engineering.</w:t>
      </w:r>
    </w:p>
    <w:p>
      <w:pPr>
        <w:pStyle w:val="Heading2"/>
        <w:spacing w:after="120" w:before="240"/>
      </w:pPr>
      <w:r>
        <w:rPr>
          <w:rFonts w:ascii="Arial" w:cs="Arial" w:eastAsia="Arial" w:hAnsi="Arial"/>
          <w:b/>
          <w:bCs/>
          <w:color w:val="263849"/>
          <w:sz w:val="30"/>
          <w:szCs w:val="30"/>
        </w:rPr>
        <w:t xml:space="preserve">Idempotency</w:t>
      </w:r>
    </w:p>
    <w:p>
      <w:pPr>
        <w:pStyle w:val="ListParagraph"/>
        <w:numPr>
          <w:ilvl w:val="0"/>
          <w:numId w:val="2"/>
        </w:numPr>
        <w:spacing w:after="60"/>
      </w:pPr>
      <w:r>
        <w:rPr>
          <w:rFonts w:ascii="Arial" w:cs="Arial" w:eastAsia="Arial" w:hAnsi="Arial"/>
          <w:sz w:val="22"/>
          <w:szCs w:val="22"/>
        </w:rPr>
        <w:t xml:space="preserve">migrations.sql uses CREATE TABLE IF NOT EXISTS, ADD COLUMN IF NOT EXISTS, ON CONFLICT DO NOTHING.</w:t>
      </w:r>
    </w:p>
    <w:p>
      <w:pPr>
        <w:pStyle w:val="ListParagraph"/>
        <w:numPr>
          <w:ilvl w:val="0"/>
          <w:numId w:val="2"/>
        </w:numPr>
        <w:spacing w:after="60"/>
      </w:pPr>
      <w:r>
        <w:rPr>
          <w:rFonts w:ascii="Arial" w:cs="Arial" w:eastAsia="Arial" w:hAnsi="Arial"/>
          <w:sz w:val="22"/>
          <w:szCs w:val="22"/>
        </w:rPr>
        <w:t xml:space="preserve">Data migrations (data-moving DO blocks) guard with 'if no rows exist' checks.</w:t>
      </w:r>
    </w:p>
    <w:p>
      <w:pPr>
        <w:pStyle w:val="ListParagraph"/>
        <w:numPr>
          <w:ilvl w:val="0"/>
          <w:numId w:val="2"/>
        </w:numPr>
        <w:spacing w:after="60"/>
      </w:pPr>
      <w:r>
        <w:rPr>
          <w:rFonts w:ascii="Arial" w:cs="Arial" w:eastAsia="Arial" w:hAnsi="Arial"/>
          <w:sz w:val="22"/>
          <w:szCs w:val="22"/>
        </w:rPr>
        <w:t xml:space="preserve">Every migration can be re-run on any database state — this is the primary invariant.</w:t>
      </w:r>
    </w:p>
    <w:p>
      <w:pPr>
        <w:pStyle w:val="Heading2"/>
        <w:spacing w:after="120" w:before="240"/>
      </w:pPr>
      <w:r>
        <w:rPr>
          <w:rFonts w:ascii="Arial" w:cs="Arial" w:eastAsia="Arial" w:hAnsi="Arial"/>
          <w:b/>
          <w:bCs/>
          <w:color w:val="263849"/>
          <w:sz w:val="30"/>
          <w:szCs w:val="30"/>
        </w:rPr>
        <w:t xml:space="preserve">Generated columns</w:t>
      </w:r>
    </w:p>
    <w:p>
      <w:pPr>
        <w:pStyle w:val="ListParagraph"/>
        <w:numPr>
          <w:ilvl w:val="0"/>
          <w:numId w:val="2"/>
        </w:numPr>
        <w:spacing w:after="60"/>
      </w:pPr>
      <w:r>
        <w:rPr>
          <w:rFonts w:ascii="Arial" w:cs="Arial" w:eastAsia="Arial" w:hAnsi="Arial"/>
          <w:sz w:val="22"/>
          <w:szCs w:val="22"/>
        </w:rPr>
        <w:t xml:space="preserve">private_debt_premium_bps on capital_structure_instruments = spread_bps − benchmark_spread_bps. STORED.</w:t>
      </w:r>
    </w:p>
    <w:p>
      <w:pPr>
        <w:pStyle w:val="ListParagraph"/>
        <w:numPr>
          <w:ilvl w:val="0"/>
          <w:numId w:val="2"/>
        </w:numPr>
        <w:spacing w:after="60"/>
      </w:pPr>
      <w:r>
        <w:rPr>
          <w:rFonts w:ascii="Arial" w:cs="Arial" w:eastAsia="Arial" w:hAnsi="Arial"/>
          <w:sz w:val="22"/>
          <w:szCs w:val="22"/>
        </w:rPr>
        <w:t xml:space="preserve">risk_score on deal_risk_register = likelihood * severity. STORED.</w:t>
      </w:r>
    </w:p>
    <w:p>
      <w:pPr>
        <w:pStyle w:val="ListParagraph"/>
        <w:numPr>
          <w:ilvl w:val="0"/>
          <w:numId w:val="2"/>
        </w:numPr>
        <w:spacing w:after="60"/>
      </w:pPr>
      <w:r>
        <w:rPr>
          <w:rFonts w:ascii="Arial" w:cs="Arial" w:eastAsia="Arial" w:hAnsi="Arial"/>
          <w:sz w:val="22"/>
          <w:szCs w:val="22"/>
        </w:rPr>
        <w:t xml:space="preserve">risk_level on deal_risk_register = banded function of risk_score. STORED.</w:t>
      </w:r>
    </w:p>
    <w:p>
      <w:pPr>
        <w:pStyle w:val="Heading2"/>
        <w:spacing w:after="120" w:before="240"/>
      </w:pPr>
      <w:r>
        <w:rPr>
          <w:rFonts w:ascii="Arial" w:cs="Arial" w:eastAsia="Arial" w:hAnsi="Arial"/>
          <w:b/>
          <w:bCs/>
          <w:color w:val="263849"/>
          <w:sz w:val="30"/>
          <w:szCs w:val="30"/>
        </w:rPr>
        <w:t xml:space="preserve">ON DELETE semantics</w:t>
      </w:r>
    </w:p>
    <w:p>
      <w:pPr>
        <w:pStyle w:val="ListParagraph"/>
        <w:numPr>
          <w:ilvl w:val="0"/>
          <w:numId w:val="2"/>
        </w:numPr>
        <w:spacing w:after="60"/>
      </w:pPr>
      <w:r>
        <w:rPr>
          <w:rFonts w:ascii="Arial" w:cs="Arial" w:eastAsia="Arial" w:hAnsi="Arial"/>
          <w:sz w:val="22"/>
          <w:szCs w:val="22"/>
        </w:rPr>
        <w:t xml:space="preserve">CASCADE for child tables of deals (you delete a deal → everything goes with it).</w:t>
      </w:r>
    </w:p>
    <w:p>
      <w:pPr>
        <w:pStyle w:val="ListParagraph"/>
        <w:numPr>
          <w:ilvl w:val="0"/>
          <w:numId w:val="2"/>
        </w:numPr>
        <w:spacing w:after="60"/>
      </w:pPr>
      <w:r>
        <w:rPr>
          <w:rFonts w:ascii="Arial" w:cs="Arial" w:eastAsia="Arial" w:hAnsi="Arial"/>
          <w:sz w:val="22"/>
          <w:szCs w:val="22"/>
        </w:rPr>
        <w:t xml:space="preserve">SET NULL for optional source pointers (delete a document → history of what used it is preserved but the pointer is NULL).</w:t>
      </w:r>
    </w:p>
    <w:p>
      <w:pPr>
        <w:pStyle w:val="ListParagraph"/>
        <w:numPr>
          <w:ilvl w:val="0"/>
          <w:numId w:val="2"/>
        </w:numPr>
        <w:spacing w:after="60"/>
      </w:pPr>
      <w:r>
        <w:rPr>
          <w:rFonts w:ascii="Arial" w:cs="Arial" w:eastAsia="Arial" w:hAnsi="Arial"/>
          <w:sz w:val="22"/>
          <w:szCs w:val="22"/>
        </w:rPr>
        <w:t xml:space="preserve">RESTRICT for reference data (can't delete a line_item_definition if it's in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718A"/>
        <w:sz w:val="18"/>
        <w:szCs w:val="18"/>
      </w:rPr>
      <w:t xml:space="preserve">Page </w:t>
    </w:r>
    <w:r>
      <w:rPr>
        <w:rFonts w:ascii="Arial" w:cs="Arial" w:eastAsia="Arial" w:hAnsi="Arial"/>
        <w:color w:val="5671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6718A"/>
        <w:sz w:val="18"/>
        <w:szCs w:val="18"/>
      </w:rPr>
      <w:t xml:space="preserve">Database Schema Reference  ·  Sesame Street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6FA5"/>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263849"/>
      <w:sz w:val="30"/>
      <w:szCs w:val="30"/>
    </w:rPr>
  </w:style>
  <w:style w:type="paragraph" w:styleId="Heading3">
    <w:name w:val="Heading 3"/>
    <w:basedOn w:val="Normal"/>
    <w:next w:val="Normal"/>
    <w:qFormat/>
    <w:pPr>
      <w:spacing w:after="80" w:before="160"/>
      <w:outlineLvl w:val="2"/>
    </w:pPr>
    <w:rPr>
      <w:rFonts w:ascii="Arial" w:cs="Arial" w:eastAsia="Arial" w:hAnsi="Arial"/>
      <w:b/>
      <w:bCs/>
      <w:color w:val="263849"/>
      <w:sz w:val="26"/>
      <w:szCs w:val="26"/>
    </w:rPr>
  </w:style>
  <w:style w:type="paragraph" w:styleId="Heading4">
    <w:name w:val="Heading 4"/>
    <w:basedOn w:val="Normal"/>
    <w:next w:val="Normal"/>
    <w:qFormat/>
    <w:pPr>
      <w:spacing w:after="60" w:before="120"/>
      <w:outlineLvl w:val="3"/>
    </w:pPr>
    <w:rPr>
      <w:rFonts w:ascii="Arial" w:cs="Arial" w:eastAsia="Arial" w:hAnsi="Arial"/>
      <w:b/>
      <w:bCs/>
      <w:i/>
      <w:iCs/>
      <w:color w:val="5671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2026-04-17T19:18:07.718Z</dcterms:created>
  <dcterms:modified xsi:type="dcterms:W3CDTF">2026-04-17T19:18:07.725Z</dcterms:modified>
</cp:coreProperties>
</file>

<file path=docProps/custom.xml><?xml version="1.0" encoding="utf-8"?>
<Properties xmlns="http://schemas.openxmlformats.org/officeDocument/2006/custom-properties" xmlns:vt="http://schemas.openxmlformats.org/officeDocument/2006/docPropsVTypes"/>
</file>