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Engine Specifications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Deterministic analytical engines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3 of 8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What is an "engine"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An engine in Sesame Street is a named, deterministic function that reads a well-defined slice of the database, computes a result, and writes a structured output row (or rows) back. Engines are pure in the sense that re-running one on unchanged inputs produces bit-identical outputs; they are not AI, not judgmental, not stochastic.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engine is triggered two ways: implicitly when the document intake pipeline commits a new financial period, and explicitly via a POST endpoint exposed in the API (see Doc 2). Every engine writes an activity_events row recording who/what triggered it, and what changed.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49"/>
          <w:sz w:val="26"/>
          <w:szCs w:val="26"/>
        </w:rPr>
        <w:t xml:space="preserve">Why deterministic?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— an investor or regulator can re-run any engine at any time and reproduce the original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Diff-ability — the monthly snapshot flow depends on being able to say "value moved from X to Y because inputs changed from A to B".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Backtesting — rules can be applied to historical periods to see how classification would have moved.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Performance Grade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Source: server/grade_engine.py. Produces the headline 1–4 grade that drives the watchlist, the portfolio distribution chart, and the deal-overview "Performance grade" badge.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2.1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DSCR (cash-cover ratio): </w:t>
      </w:r>
      <w:r>
        <w:rPr>
          <w:rFonts w:ascii="Arial" w:cs="Arial" w:eastAsia="Arial" w:hAnsi="Arial"/>
          <w:sz w:val="22"/>
          <w:szCs w:val="22"/>
        </w:rPr>
        <w:t xml:space="preserve">the most recent covenant_tests row for the primary DSCR covenant on this 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Collateral ratio: </w:t>
      </w:r>
      <w:r>
        <w:rPr>
          <w:rFonts w:ascii="Arial" w:cs="Arial" w:eastAsia="Arial" w:hAnsi="Arial"/>
          <w:sz w:val="22"/>
          <w:szCs w:val="22"/>
        </w:rPr>
        <w:t xml:space="preserve">the most recent covenant_tests row for the primary collateral covenant (LTV, LLCR, or LTC as applicable for the sector).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Covenant thresholds: </w:t>
      </w:r>
      <w:r>
        <w:rPr>
          <w:rFonts w:ascii="Arial" w:cs="Arial" w:eastAsia="Arial" w:hAnsi="Arial"/>
          <w:sz w:val="22"/>
          <w:szCs w:val="22"/>
        </w:rPr>
        <w:t xml:space="preserve">covenant_thresholds.trigger_level and covenant_thresholds.lockup_level — the absolute floor and the distribution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Trend: </w:t>
      </w:r>
      <w:r>
        <w:rPr>
          <w:rFonts w:ascii="Arial" w:cs="Arial" w:eastAsia="Arial" w:hAnsi="Arial"/>
          <w:sz w:val="22"/>
          <w:szCs w:val="22"/>
        </w:rPr>
        <w:t xml:space="preserve">the latest trend_records band for this deal (from the Plan Variance Trend 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Overrides: </w:t>
      </w:r>
      <w:r>
        <w:rPr>
          <w:rFonts w:ascii="Arial" w:cs="Arial" w:eastAsia="Arial" w:hAnsi="Arial"/>
          <w:sz w:val="22"/>
          <w:szCs w:val="22"/>
        </w:rPr>
        <w:t xml:space="preserve">grade_overrides rows. Committee can manually pin a grade with expiry; while an override is active, the computed grade is surfaced but the override takes precedence.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2.2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 condition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≥ 1.5× lockup AND collateral headroom ≥ 20% AND trend band is stable/improving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metric has headroom &lt; 20% OR trend is mild deterioration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Watchlist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Headroom &lt; 10% on any metric OR trend is moderate deterioration OR lockup gate tripped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Impaired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Covenant breached (covenant_tests.result='trigger' or 'default') OR forbearance / amendment of economic terms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2.3 Side-effects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one row into deal_assessments (grade, sub-scores, rationale).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one row into performance_assessments keyed on (deal_id, as_of_date).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grade moved down, writes a watchlist_events row and a compliance_alerts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grade moved up, writes a watchlist_events row with direction='off'.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an activity_events entry.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Headroom is computed on both DSCR and the collateral covenant (user requirement — the engine must not grade on DSCR alone).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Variance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Compares borrower-reported actuals against the frozen management case forecast for the same period.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3.1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line_key in period_financial_items where approval_status='approved' AND period_id = latest closed period,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against forecast_period_items where forecast_case_version_id = the deal's active management_case version AND period_flag 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variance_abs = actual - forecast, variance_pct = variance_abs / abs(forecast).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Classify direction (favourable / unfavourable) using line_item_definitions.direction_of_good (revenue lines: higher is good; cost lines: lower is good).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Classify materiality (immaterial &lt; 5%, moderate 5–15%, material &gt; 15%) with per-line-item threshold overrides.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financial_variances rows — one per line key per period.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3.2 Why the management case, not lender_case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Management case is the sponsor's own view at IC approval. Variance vs management case is the most useful analyst signal — it measures whether the sponsor is hitting their own plan. Lender_case is the platform's internal conservative view; variance vs it is captured separately by the Three-Case engine.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Three-Case Comparison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Extends the Variance Engine by comparing actuals against all three forecast cases at once: management_case, lender_case, combined_downside.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Output shape is a single row per line-item-period with three variance columns. Used by the Deal Overview financial charts (shaded management-to-downside band).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Plan Variance Trend Engine v5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Source: server/main.py, detect_trends(). Classifies each deal into a 7-band trend by looking at headroom erosion vs management case across rolling periods on one cash-cover ratio and one collateral ratio.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5.1 The seven bands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rapid_improvement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3 consecutive periods of rising headroom on both metrics; delta ≥ 300 bps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Rising headroom on both metrics, delta 100–300 bps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mild_improvement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Positive drift on at least one metric, other stable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stable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Headroom unchanged within ±100 bps on both metrics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mild_deterioration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Negative drift on at least one metric within [-300, -100) bps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deterioration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Falling on both metrics, delta within [-500, -300) bps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rapid_deterioration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Falling on both metrics OR any single period drop ≥ 500 bps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5.2 Inputs and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covenant_tests over rolling 4-period window per metric, plus covenant_thresholds.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trend_records rows (deal_id, as_of_date, band, rationale, delta_dscr_bps, delta_collateral_bps).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Consumed by Performance Grade Engine to gate Grade 2 and Grade 3 assignments.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Covenant Testing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Runs every row in covenant_thresholds where active=true against the latest period_financial_items actuals.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6.1 Test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performing: </w:t>
      </w:r>
      <w:r>
        <w:rPr>
          <w:rFonts w:ascii="Arial" w:cs="Arial" w:eastAsia="Arial" w:hAnsi="Arial"/>
          <w:sz w:val="22"/>
          <w:szCs w:val="22"/>
        </w:rPr>
        <w:t xml:space="preserve">actual value clears lockup_level by margin; normal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lockup: </w:t>
      </w:r>
      <w:r>
        <w:rPr>
          <w:rFonts w:ascii="Arial" w:cs="Arial" w:eastAsia="Arial" w:hAnsi="Arial"/>
          <w:sz w:val="22"/>
          <w:szCs w:val="22"/>
        </w:rPr>
        <w:t xml:space="preserve">actual breaches lockup_level but clears trigger_level; distributions blocked, deal continues.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actual breaches trigger_level; lender has right to accelerate.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actual breaches trigger_level AND cure period expired / not applicable.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6.2 Side-effects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covenant_tests row per covenant per test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compliance_alerts on every new breach.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Feeds Distribution Assessment (lockup tier blocks gates) and Performance Grade (trigger/default forces Grade 4).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Distribution Assessment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Source: server/main.py, assess_distribution(). Evaluates every gate in deal_distribution_conditions to decide whether a distribution can be paid.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7.1 Gate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covenant test passing (chained from Covenant Testing 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Reserve account fully funded (joined to deal_reserve_history).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Obligation current (no overdue deliverables).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EoD register clear (no open deal_eod_register rows).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Amendment-specific post-conditions (e.g. consent fee paid).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7.2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distribution_assessments row per assessment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Top-line status: allowed / review_required / restricted /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blocker_count integer + structured blockers JSONB.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Engine is data-driven — to add a new gate, insert a deal_distribution_conditions row and define its evaluator in the condition_type registry. No code change needed.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Ratio Reconciliation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Compares borrower-reported ratios (DSCR, LLCR, gearing, etc.) against platform-computed values. Produces ratio_reconciliations rows with delta and status (match / minor / material). Material mismatches spawn compliance_alerts.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9. Risk Narrative Generator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Template-driven deterministic text generation from the structured fields in deal_risk_register. No AI — this is a pure string composer.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Reads: risk title, taxonomy path, likelihood (qualitative or numeric), severity, mitigants, direction_of_impact, affected_kpi_keys.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Coerces qualitative likelihood/severity words ("likely", "unlikely", "severe") into numeric scores via _LIKELIHOOD_WORD_MAP / _SEVERITY_WORD_MAP.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Writes: deal_risk_register.generated_narrative TEXT.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Bug fix 2026-04: generate_risk_narrative() now tolerates qualitative input. Prior version crashed on int('likely').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10. Deliverables Calendar &amp; Business Day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Calculates the correct obligation due date given a contractual date, a jurisdiction, and a day convention.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10.1 Day conventions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(contractual date with no adjustment)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following (push to next business day if weekend/holiday)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modified_following (push to next business day, but if that crosses a month boundary, pull back to the prior business day — industry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preceding (pull back to prior business day)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10.2 Holiday data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483 holidays seeded across 7 jurisdictions (UK, US, EU member states, CH, AU). Loaded at server start; refreshed annually via scripts/seed-holidays.py.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11. Reserve Account History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Turns a stream of reserve account movements (top-ups, draws) into the monthly time series displayed on the deal overview. Writes deal_reserve_history rows with required / actual / expected / shortfall / variance. Emits compliance_alerts on shortfall persistence beyond the cure window.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12. Capital Structure Engine v8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Source: server/capital_structure_engine.py. Responsible for priority ranking, consolidation maths, and validation of the capital stack.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12.1 assign_cashflow_priority_ranks(instruments)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Rank 1: closest-to-cashflows external debt.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+1 per structural level above (HoldCo above OpCo,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+1 for contractual subordination.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+1 extra for minority_holdco if OpCo debt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Shareholder and intercompany loans stay unranked.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overrides on instrument.cashflow_priority_rank are respected.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12.2 proportional_consolidation(entities)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Applies ownership_pct to BOTH cashflows AND debt (proportional consolidation, NOT accounting IFRS full consolidation). Returns consolidated EBITDA, CFADS, Debt, DS, DSCR, ND:EBITDA.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12.3 validate_capital_structure(instruments, entities)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 entity_level on instrument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Inconsistent pari-passu ranks within a pari-passu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HoldCo debt at cashflow rank 1 when OpCo debt also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Ratio-consolidation-level mismatch with covenant_thresholds.ratio_level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13. Capital Stack Engine v9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Extends v8 with valuation and change-of-control coverage. Entry point: build_capital_stack(deal, instruments, entities, ev, ebitda).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13.1 Helpers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compute_attributable_equity() — rank-ordered walk-up from asset to equity. Returns remaining equity at each rank.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gross_up_facility() — 1 / pledged_share_pct for NAV-style debt pledged against a minority stake.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build_metrics() — two lenses: CTA-consolidated headline + grossed-up consolidated-equivalent.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change_of_control_coverage() — LTV on pledged shares. Amber &gt; 30%, red &gt;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validate_capital_stack() — v8 checks + missing-EV + stale-valuation + unpledged-NAV.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13.2 Linear stack assumption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Stack is strictly linear: one path from asset to equity. Parallel claims via separate vehicles are modelled as separate deal records. This decision keeps the priority-rank walk-up tractable and enforces the CTA-consolidation assumption.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14. FX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EUR-base ECB-style cross-rates, seeded with 13 currencies. Deal-level endpoints keep native currency; only portfolio aggregates convert at spot.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convert_amount(amount, from_ccy, to_ccy, ...) — the cross-rate helper.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Maths: amount_in_target = amount * (rate(EUR, target) / rate(EUR, source)).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Snapshot table fx_rates captures the full curve at a point in time. Replace daily when live ECB feed (e.g. Frankfurter API) is wired up.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15. Forecast Refresh Impact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PM re-forecasts (creates a new forecast_case_version), this engine diffs the new version against the previous one period-by-period, line-by-line, and writes forecast_refresh_impacts rows. Feeds a "what changed" summary on the Deal Overview update card.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16. Margin Ratchet Engine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Evaluates every row in capital_structure_margin_ratchets against the latest covenant test or KPI observation and decides whether the ratchet step has fired. ESG SPT ratchets are supported as a special schedule type where the step is driven by a KPI observation rather than a financial ratio.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Reads: ratchet schedule rows, latest trigger-metric value, last active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Applies: step logic with cure-period smoothing.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Writes: capital_structure_margin_ratchet_history rows, new coupon_bps on the instrument (if the step moved).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Side-effect: WA Spread on the portfolio dashboard refreshes.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17. Audit-trail Evidence Linker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a commit, this engine walks the committed proposals and writes into topsheet_snapshot_field_citations — one row per changed field, pointing to the source document_id and the character offsets within the evidence passage. Powers the TopSheet audit ribbon.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18. Testing &amp; reproducibility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engine has a pytest module under tests/. Re-runs on a frozen fixture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Fixtures are gitignored but rebuildable via bin/db-rebuild.sh --reset.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outputs are diffed against committed expected-values JSON in tests/expected/.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Engine Specifications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2026-04-17T20:07:31.574Z</dcterms:created>
  <dcterms:modified xsi:type="dcterms:W3CDTF">2026-04-17T20:07:31.575Z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