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TopSheet Template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The 26-tab Excel ingestion template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4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Purpose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TopSheet Excel template is the canonical onboarding and update vehicle for every deal in Sesame Street. It is both a structured data-entry workbook and a contract: every field the platform stores at the deal level has a home in one of the 26 tabs, and the importer (server/topsheet_importer.py) rejects uploads that violate the contract.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filled TopSheet represents a single point-in-time picture. On upload it produces a proposal set that, when committed, writes into deal-scoped tables with full audit-trail provenance. Re-uploads supersede prior rows via document_supersessions.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Generator &amp; importer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Generator: </w:t>
      </w:r>
      <w:r>
        <w:rPr>
          <w:rFonts w:ascii="Arial" w:cs="Arial" w:eastAsia="Arial" w:hAnsi="Arial"/>
          <w:sz w:val="22"/>
          <w:szCs w:val="22"/>
        </w:rPr>
        <w:t xml:space="preserve">scripts/create-topsheet-template.py — produces the blank v9 .xlsx with validation, drop-downs, and inline help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URL: </w:t>
      </w:r>
      <w:r>
        <w:rPr>
          <w:rFonts w:ascii="Arial" w:cs="Arial" w:eastAsia="Arial" w:hAnsi="Arial"/>
          <w:sz w:val="22"/>
          <w:szCs w:val="22"/>
        </w:rPr>
        <w:t xml:space="preserve">served as /plumbing/topsheet-template.xlsx from the client, pointed at client/public/topsheet-template.xlsx (copied from the generator 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Importer: </w:t>
      </w:r>
      <w:r>
        <w:rPr>
          <w:rFonts w:ascii="Arial" w:cs="Arial" w:eastAsia="Arial" w:hAnsi="Arial"/>
          <w:sz w:val="22"/>
          <w:szCs w:val="22"/>
        </w:rPr>
        <w:t xml:space="preserve">server/topsheet_importer.py — reads every tab, validates, produces proposals.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 doc: </w:t>
      </w:r>
      <w:r>
        <w:rPr>
          <w:rFonts w:ascii="Arial" w:cs="Arial" w:eastAsia="Arial" w:hAnsi="Arial"/>
          <w:sz w:val="22"/>
          <w:szCs w:val="22"/>
        </w:rPr>
        <w:t xml:space="preserve">docs/topsheet-template-instructions.md — the user-facing how-to.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spec: </w:t>
      </w:r>
      <w:r>
        <w:rPr>
          <w:rFonts w:ascii="Arial" w:cs="Arial" w:eastAsia="Arial" w:hAnsi="Arial"/>
          <w:sz w:val="22"/>
          <w:szCs w:val="22"/>
        </w:rPr>
        <w:t xml:space="preserve">docs/topsheet-complete-specification.md — every column defined with type, validation, and target table/column.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Tab-by-tab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 — Deal Identity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anchor tab. The deals row is identified here. Any row that writes into another tab carries the (organisation_slug, deal_slug) pair as its key.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Identity: organisation_slug, deal_slug, deal_name, borrower_name, sponsor_name, originator, agent, facility_agent.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Categorisation: sector, sub_sector, asset_class, country, 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Dates: close_date, first_drawdown_date, scheduled_maturity, extension_options_json.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Size: commitment_native, drawn_native, undrawn_native, reporting_currency_hint.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Valuation &amp; Equity (v9): enterprise_value_native, valuation_date, valuation_method, valuation_entity, equity_invested_native.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Revenue-risk taxonomy: revenue_risk_category, offtaker_type, contract_coverage_pct.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 mechanics (v8): distribution_frequency, waterfall_description, excess_cash_sweep_pct.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Narrative: investment_thesis, key_strengths, key_concerns, deal_summary.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performance_grade (optional manual pin), watchlist, on_hold, last_review_date.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 — Capital Structure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instrument. 25 columns in v9. Keyed on (deal_slug, instrument_identifier).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 group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instrument_identifier, instrument_name, instrument_format (bond / note / loan / facility)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Amounts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commitment_native, drawn_native, undrawn_native, currency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Pricing (v9 decomposed)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coupon_bps, base_rate_at_issuance_bps, spread_bps, benchmark_spread_bps, private_debt_premium_bps (GENERATED), margin_bps (legacy preserved)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upfront_fee_bps, commitment_fee_bps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Prepayment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prepayment_type (par / make-whole / non-call), non_call_end_date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Yield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current_yield_to_maturity_pct, yield_floor_pct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Taxonomy (v8)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entity_level, ownership_pct, structural_seniority, ratio_consolidation_level, intercompany_lender, subordination_agreement, cashflow_priority_rank</w:t>
            </w:r>
          </w:p>
        </w:tc>
      </w:tr>
    </w:tbl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Pricing decomposition (v9) is the fix for the over-stated WA Spread issue — the portfolio dashboard now computes a true weighted-average spread over spread_bps, not over the all-in margin_bps.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3 — Margin Ratchets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Child rows of capital structure instruments. One row per ratchet step. Keyed on (deal_slug, instrument_identifier, ratchet_name, step_key).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Columns: ratchet_type (leverage / DSCR / ESG_SPT / custom), trigger_metric, operator, threshold_value, step_coupon_bps, cure_period_days, effective_date, expiry_date.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SPT ratchets (v9) carry a kpi_key column pointing to sector_kpi_*. The importer validates the KPI exists in Tab 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4 — Corporate Entities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legal entity in the deal structure (BorrowerCo, HoldCo, OpCo, Sponsor, Minority Holdco). 12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Identity: entity_slug, entity_name, entity_role, jurisdiction.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v8 additions: ownership_pct, ownership_type, control_type, consolidation_method, within_security_perimeter, ratio_level.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5 — Counterparties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counterparty (EPC contractor, O&amp;M, offtaker, insurance, tax advisor). Columns: counterparty_name, role, rating_agency, rating, rating_date, relationship_strength, termination_risk_band.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6 — Jurisdiction Splits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Proportional revenue and operations across multiple countries. Rows: (country, revenue_pct, opex_pct, assets_pct). Must sum to 100% per column.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7 — Corporate Entities Supplement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Extended fields not covered in Tab 4: registered_address, tax_residence, auditor, legal_advisor, board_composition_json.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8 — Covenant Thresholds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covenant. Columns: covenant_name, metric_key, ratio_level (v8), test_frequency, lockup_level, trigger_level, cure_period_days, cure_mechanism, active, direction_of_breach, measurement_window.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9 — Reserve Accounts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reserve_name, required_balance_native, minimum_balance_native, funding_mechanism, first_funding_date, top_up_frequency, owned_by_entity_slug.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10 — Hedges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hedge_type (interest / FX / commodity), notional_native, rate, start_date, end_date, counterparty_name, mark_to_market_native.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11 — Reporting Schedule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Per-deal reporting calendar. Columns: period_start, period_end, report_due_date, report_type (quarterly / semi-annual / annual), period_type (historical / current / forecast), currency. The importer materialises these into deal_reporting_periods.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12 — Line-item Labels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Per-deal display names for line_item_definitions. Columns: line_key, display_label, display_order, shown_in_overview.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13 — Financial Actuals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bulk tab. One row per (period_id, line_key) with numeric value in the deal's native currency. Importer writes period_financial_items with approval_status='proposed'; commit flips to 'approved'.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14 — Forecast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Same shape as Actuals but with forecast_case (management_case / lender_case / combined_downside) as an extra key column. Importer finds-or-creates forecast_cases + forecast_case_versions and writes forecast_period_items.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15 — Forecast Model Metadata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forecast_case, version_number, source_model_name, source_model_date, assumptions_summary, approved_by, approved_at.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16 — Risk Register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risk. Columns: risk_title, taxonomy_path, likelihood (qualitative or 1-5), severity (qualitative or 1-5), mitigants, direction_of_impact, affected_kpi_keys, generated_narrative (overwritten by engine).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17 — Development Phases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Project-finance only. Columns: phase_name, phase_start, phase_end, milestone_description, progress_pct, certifier.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18 — Counterparty Credit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Extended ratings and internal credit scores per counterparty. Not to be confused with the 1-4 Performance grade.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19 — Documents &amp; Legal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Document_type, date, parties_json, filing_reference.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20 — Onboarding Snapshot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Write-once, frozen at investment. The complete IC-memo-time state — DSCR at close, LTV at close, projected IRR, base-case NPV, etc. Never updated. Readers diff current state against this snapshot to surface drift since inception.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21 — Obligations &amp; Deliverables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obligation_name, obligation_type, base_date, day_convention, frequency, jurisdiction, cure_period_days, responsible_party, priority. Drives the Deliverables Calendar.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22 — Distribution Conditions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Full lock-up / trigger / EOD register. Columns: condition_name, condition_type, evaluator_hint, threshold_value, severity, active.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23 — Amendments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One row per amendment or waiver. Columns: amendment_date, amendment_type, rule_version_id, summary, consent_fee_bps, counterparty_list.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24 — Consent Mechanics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Per-class voting thresholds. Columns: matter_type, tranche_class, threshold_pct (majority / supermajority / unanimous), lookup_reference.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25 — EoD Register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Events of default (contractual definitions). Columns: eod_name, eod_type, cure_period_days, severity, active.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Tab 26 — KPI Scenario Series (v9)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new tab that accompanies the KPI-scenarios-as-time-series refactor. One row per (kpi_key, scenario_kind, period_flag) with stress_label and driving_risk_ref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scenario_kind values: management_case | single_variant_stress | combined_downside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management_case is the IC-memo baseline (collapsed with the management case financial forecast in machinery).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single_variant_stress requires driving_risk_ref — matches a risk_title in Tab 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combined_downside bundles multiple risks; driving_risk_ref is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Sparse population allowed — the importer tolerates missing periods.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Import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uploads v8/v9 file at /plumbing or /deals/new.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Importer parses all tabs in a single pass; each tab produces a list of proposals.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Proposals are collected into a single document_processing_run.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Analyst reviews proposals in /documents/{id}/proposals (field-level confidence + evidence).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Analyst commits → atomic write across every target table; prior rows superseded via document_supersessions; activity_events row written.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consistency: every *_native field uses the deal's currency (from Tab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Ownership rollup: Tab 4 ownership_pct values must roll up consistently — HoldCo ownership over OpCo,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consistency: ratio_level on a covenant must reference an entity that exists at the corresponding ratio_consolidation_level in Tab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scenario sanity: every single_variant_stress must cite a risk that exists in Tab 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monotonicity: close_date &lt; first_drawdown_date ≤ first reporting period_start.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Versioning &amp; backward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v7 → v8 migration added taxonomy columns on Tab 2, Tab 4, Tab 8, and added Tabs 20–22.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v8 → v9 migration added Valuation &amp; Equity block on Tab 1, pricing decomposition columns on Tab 2, pledged_share_* columns for NAV-style debt, and Tab 26 (KPI Scenario Series).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importer accepts both v8 and v9. v7 is rejected — convert via scripts/upgrade-topsheet-v7-to-v8.py.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TopSheet Template Specification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2026-04-17T20:07:31.786Z</dcterms:created>
  <dcterms:modified xsi:type="dcterms:W3CDTF">2026-04-17T20:07:31.786Z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