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3000"/>
        <w:jc w:val="center"/>
      </w:pPr>
      <w:r>
        <w:rPr>
          <w:rFonts w:ascii="Arial" w:cs="Arial" w:eastAsia="Arial" w:hAnsi="Arial"/>
          <w:b/>
          <w:bCs/>
          <w:color w:val="1F6FA5"/>
          <w:sz w:val="72"/>
          <w:szCs w:val="72"/>
        </w:rPr>
        <w:t xml:space="preserve">Sesame Street</w:t>
      </w:r>
    </w:p>
    <w:p>
      <w:pPr>
        <w:spacing w:after="200"/>
        <w:jc w:val="center"/>
      </w:pPr>
      <w:r>
        <w:rPr>
          <w:rFonts w:ascii="Arial" w:cs="Arial" w:eastAsia="Arial" w:hAnsi="Arial"/>
          <w:color w:val="263849"/>
          <w:sz w:val="32"/>
          <w:szCs w:val="32"/>
        </w:rPr>
        <w:t xml:space="preserve">Private Credit Monitoring Platform</w:t>
      </w:r>
    </w:p>
    <w:p>
      <w:pPr>
        <w:spacing w:after="1600"/>
        <w:jc w:val="center"/>
      </w:pPr>
      <w:r>
        <w:rPr>
          <w:rFonts w:ascii="Arial" w:cs="Arial" w:eastAsia="Arial" w:hAnsi="Arial"/>
          <w:i/>
          <w:iCs/>
          <w:color w:val="56718A"/>
          <w:sz w:val="36"/>
          <w:szCs w:val="36"/>
        </w:rPr>
        <w:t xml:space="preserve">Document Intake &amp; Ingestion Specification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56718A"/>
          <w:sz w:val="22"/>
          <w:szCs w:val="22"/>
        </w:rPr>
        <w:t xml:space="preserve">Upload, propose, commit, audit-trail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6718A"/>
          <w:sz w:val="20"/>
          <w:szCs w:val="20"/>
        </w:rPr>
        <w:t xml:space="preserve">Document 6 of 8 of 8  ·  Version 1.0  ·  April 2026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1. Purpose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Every data change into Sesame Street must originate from a source document. The intake pipeline turns an uploaded file into a set of proposed row-writes that an analyst reviews, edits, and commits. Commit is atomic; supersession is explicit; provenance is preserved.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design is deliberately human-in-the-loop: even when ML extractors reach high confidence, nothing writes to the canonical deal tables until an analyst commits. That rule is what lets investors and regulators trace any on-platform number back to a source document and a named approver.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2. Stages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2.1 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Endpoint: POST /api/documents/upload, multipart/form-data.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Writes incoming_documents with raw_bytes (or object-store pointer), filename, mime_type, uploaded_by, deal_slug (optional).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Enqueues a document_processing_runs row with status='queued'.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2.2 Classification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The processing run first classifies the document into one of the recognised types: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topsheet_excel (v8, v9) — goes down the TopSheet import path.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financial_model — Excel model, usually sponsor-provided, read via openpyxl.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quarterly_report — PDF, free-text + tables.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compliance_certificate — PDF or Word; structured covenant attestation.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amendment_letter — PDF or Word; feeds deal_amendments.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side_letter — PDF; usually carries consent conditions.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other — manual-only; proposals are generated empty for analyst hand-entry.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2.3 Extraction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Type-specific extractors produce structured proposals. Each proposal row carries: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target_table — the deal-scoped table to write 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target_pk — the natural key of the row (e.g. (deal_id, period_id, line_key)).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field_changes — a list of {field, old_value, new_value, confidence, evidence_citation}.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supersedes — optional document_id whose rows this proposal replaces.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ai_audit_log_id — link to ai_audit_logs for AI-assisted extractions.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2.4 Review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Analyst opens /documents/{id}/proposals. Each proposal is rendered as a diff card: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Left: the existing row in the target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Middle: the proposed new values with per-field confidence badge.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Right: the evidence passage from the source document, highlighted at the relevant offsets.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Analyst can override any field, reject individual proposals, or approve the set.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2.5 Commit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POST /api/documents/{id}/commit runs atomically inside a transaction: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Insert/update the target rows with the source_* five-column provenance block (source_document_id, source_page, source_citation_offsets, source_confidence, source_extractor).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Mark any superseded rows via document_supersessions.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topsheet_snapshot_provenance + topsheet_snapshot_field_citations for the TopSheet audit ribbon.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Fire downstream engines (Grade, Variance, Covenant, Distribution).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Emit activity_events row + compliance_alerts where engines produced new breaches.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Flip incoming_documents.status to 'committed' and documents.status to 'active'.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2.6 Reject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POST /api/documents/{id}/reject marks the run as rejected with an analyst-supplied reason. No database writes beyond the status flip; the original incoming_documents row remains retrievable.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3. Audit-trail scaffolding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Every deal-scoped table carries a five-column source_* block. The convention is not optional — 17 tables have been retrofitted with it; new tables must include it by default.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Column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source_document_id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 into documents table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source_page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1-indexed page or sheet within the document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source_citation_offsets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JSONB: start/end character offsets (for text) or cell refs (for spreadsheets)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source_confidence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0.0–1.0 confidence score if AI-assisted; NULL if human-entered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source_extractor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Name of the extractor module; 'human' for manual entry</w:t>
            </w:r>
          </w:p>
        </w:tc>
      </w:tr>
    </w:tbl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At snapshot time (monthly / quarterly memo pack generation), the topsheet_snapshot_field_citations table pins a frozen pointer to every field's source at that moment. This produces a time-stable audit trail even as underlying documents are superseded.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4. Extractors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4.1 TopSheet importer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server/topsheet_importer.py. Uses openpyxl. Validates every tab against the v8/v9 contract. Confidence = 1.0 (structured data). Extractor = 'topsheet_importer_v9'.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4.2 Financial model reader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Opens named ranges and standard sheet names (Cashflow, Summary, Covenants). Writes forecast_period_items proposals scoped to a forecast_case_version. Pairs with a forecast_model_metadata row.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4.3 Quarterly report parser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Future/partial: PDF tables extracted via Camelot; free-text covenant attestations via regex; commentary fed as metadata to ai_audit_logs for the analyst to read alongside proposals.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4.4 Compliance certificate parser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Targeted extractor: scans for covenant-metric keywords and their computed values. Writes covenant_tests proposals.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4.5 Amendment letter parser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Identifies parties, effective date, affected clauses. Produces a deal_amendments draft proposal plus amendment_change_impacts proposals for each clause touched.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5. Supersession semantics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When a new document replaces an older one (e.g. Q2 report supersedes Q1 proposals that hadn't yet been committed), document_supersessions records the chain. Readers always follow the chain forward. Reverting a commit therefore means inserting a new supersession pointing backwards — never a hard delete.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6. Error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Parse errors produce one proposal per tab/section with confidence=0 and a human-readable error string.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Schema violations (unknown line_key, currency mismatch, date format) block the commit endpoint until the analyst overrides or corrects.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Engine failures during commit roll back the whole transaction — no partial writes.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7. Event emission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Every stage writes activity_events so the deal timeline has full traceability: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document.uploaded, document.processing.started, document.processing.completed, document.processing.failed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document.proposals.ready, document.committed, document.rejected, document.superseded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engine.grade.run, engine.variance.run, engine.covenant.run, engine.distribution.run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alert.opened, alert.acknowledged, alert.resolved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8. Deferred items (not in demo)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OCR on scanned PDFs (Tesseract) — currently assumes digital-born PDFs.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Multi-document bundled commit (e.g. QR + model + cert in one transaction).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Reviewer sign-off workflow (currently one-step analyst commit; enterprise may require second approver).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Automated reconciliation between overlapping proposals from two documents on the same period.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6718A"/>
        <w:sz w:val="18"/>
        <w:szCs w:val="18"/>
      </w:rPr>
      <w:t xml:space="preserve">Page </w:t>
    </w:r>
    <w:r>
      <w:rPr>
        <w:rFonts w:ascii="Arial" w:cs="Arial" w:eastAsia="Arial" w:hAnsi="Arial"/>
        <w:color w:val="56718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6718A"/>
        <w:sz w:val="18"/>
        <w:szCs w:val="18"/>
      </w:rPr>
      <w:t xml:space="preserve">Document Intake &amp; Ingestion  ·  Sesame Street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F6FA5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6384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63849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Arial" w:cs="Arial" w:eastAsia="Arial" w:hAnsi="Arial"/>
      <w:b/>
      <w:bCs/>
      <w:i/>
      <w:iCs/>
      <w:color w:val="5671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2026-04-17T20:07:32.162Z</dcterms:created>
  <dcterms:modified xsi:type="dcterms:W3CDTF">2026-04-17T20:07:32.162Z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