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3000"/>
        <w:jc w:val="center"/>
      </w:pPr>
      <w:r>
        <w:rPr>
          <w:rFonts w:ascii="Arial" w:cs="Arial" w:eastAsia="Arial" w:hAnsi="Arial"/>
          <w:b/>
          <w:bCs/>
          <w:color w:val="1F6FA5"/>
          <w:sz w:val="72"/>
          <w:szCs w:val="72"/>
        </w:rPr>
        <w:t xml:space="preserve">Sesame Street</w:t>
      </w:r>
    </w:p>
    <w:p>
      <w:pPr>
        <w:spacing w:after="200"/>
        <w:jc w:val="center"/>
      </w:pPr>
      <w:r>
        <w:rPr>
          <w:rFonts w:ascii="Arial" w:cs="Arial" w:eastAsia="Arial" w:hAnsi="Arial"/>
          <w:color w:val="263849"/>
          <w:sz w:val="32"/>
          <w:szCs w:val="32"/>
        </w:rPr>
        <w:t xml:space="preserve">Private Credit Monitoring Platform</w:t>
      </w:r>
    </w:p>
    <w:p>
      <w:pPr>
        <w:spacing w:after="1600"/>
        <w:jc w:val="center"/>
      </w:pPr>
      <w:r>
        <w:rPr>
          <w:rFonts w:ascii="Arial" w:cs="Arial" w:eastAsia="Arial" w:hAnsi="Arial"/>
          <w:i/>
          <w:iCs/>
          <w:color w:val="56718A"/>
          <w:sz w:val="36"/>
          <w:szCs w:val="36"/>
        </w:rPr>
        <w:t xml:space="preserve">Risk Register Specification</w:t>
      </w:r>
    </w:p>
    <w:p>
      <w:pPr>
        <w:spacing w:after="200"/>
        <w:jc w:val="center"/>
      </w:pPr>
      <w:r>
        <w:rPr>
          <w:rFonts w:ascii="Arial" w:cs="Arial" w:eastAsia="Arial" w:hAnsi="Arial"/>
          <w:color w:val="56718A"/>
          <w:sz w:val="22"/>
          <w:szCs w:val="22"/>
        </w:rPr>
        <w:t xml:space="preserve">Taxonomy and worked examples by sector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6718A"/>
          <w:sz w:val="20"/>
          <w:szCs w:val="20"/>
        </w:rPr>
        <w:t xml:space="preserve">Document A1 of 8  ·  Version 1.0  ·  April 2026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1. Purpose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The risk register is the central record of identified risks for every deal in the portfolio. It exists to (a) make IC-memo risks visible after investment, (b) drive the single-variant-stress forecast machinery (each stress case links back to a risk_register row), (c) feed the deterministic Risk Narrative Generator, and (d) give portfolio managers a cross-deal view of which risks are prevalent.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document sets out the taxonomy and provides worked examples of the risks we would expect to see in each sector of the demo portfolio.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2. Taxonomy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Risks are organised hierarchically. The top-level families are shared across every sector; sub-categories narrow down to sector-specific patterns.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2.1 Top-level risk families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760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Family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Scope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Technology / Asset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Underlying physical or operational asset risk — component failure, performance degradation, obsolescence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Market / Revenue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Demand, pricing, offtaker concentration, merchant exposure, contract rollover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Counterparty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Credit quality of counterparties: offtaker, EPC, O&amp;M, insurer, sponsor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Regulatory / Political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Regulatory change, political interference, permit revocation, expropriation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ESG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Physical climate, transition risk, biodiversity, social licence, governance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Operational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O&amp;M execution, availability, safety, labour, supply chain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Macro / FX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Inflation, interest rates, FX exposure, macro cycle sensitivity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Liquidity / Refinancing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Refi risk at maturity, covenant lite vs tight structure, reserve adequacy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Legal / Structural</w:t>
            </w:r>
          </w:p>
        </w:tc>
        <w:tc>
          <w:tcPr>
            <w:tcW w:type="dxa" w:w="6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Jurisdictional enforceability, perfection of security, subordination, covenant quality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2.2 Structure in the database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risk_taxonomy — the hierarchical tree; ~80 seeded nodes.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deal_risk_register — one row per identified risk per deal. Columns: risk_title, taxonomy_path (FK), likelihood, severity, mitigants, direction_of_impact, affected_kpi_keys, generated_narrative, driving_risk_id (for scenario linkage).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deal_risk_register_history — immutable audit log of every change.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Likelihood + severity accept qualitative words ("likely", "severe") OR numeric 1–5; coerced via _LIKELIHOOD_WORD_MAP / _SEVERITY_WORD_MAP.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2.3 Risk → scenario linkage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A risk row becomes a stress scenario when the IC determines it materially affects one or more KPIs. The stress is stored as a forecast_cases row with scenario_kind='single_variant_stress' and driving_risk_id pointing back to the risk. The KPI chart overlay displays these as dashed lines inside the combined-downside band (see [docs/architecture/kpi-scenarios.md](docs/architecture/kpi-scenarios.md)).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3. Prevalent risks by sector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The examples below are the risks we would expect any analyst to raise at IC for a representative deal in each sector. Bold entries are candidates for explicit stress scenarios.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3.1 Data centre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Typical deals: Aurora Prime, Granite Switchyard, Meridian Edge, Ion Harbor, Summit Loop, Cobalt Grid, Apollo Edge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Risk title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Family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Sev/Lik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Hyperscaler tenant concentration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Market / Revenue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 / Med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Single anchor tenant drives &gt; 60% of revenue; loss at rollover would trigger lockup.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Power cost inflation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Macro / FX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 / High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PUE-adjusted power is the largest opex; pass-through clauses partial.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Grid connection queue delay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Regulatory / Political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 / Med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Pre-COD deals face multi-year queue risk for grid upgrades.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Cooling system failure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Technology / Asset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 / Low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Liquid-cooling adoption carries unproven-tech risk on newer halls.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Water availability (liquid cooling)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 / Med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Drought-risk regions face restrictions; can force PUE step-up.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Obsolescence from next-gen chip density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Technology / Asset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 / Med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Older halls under-equipped for GPU rack loads &gt; 50 kW.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Fibre cut / connectivity outage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 / Low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Single-path fibre deals vulnerable; carrier-neutral diversity preferred.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Cybersecurity incident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 / Med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Tenant data-loss event could trigger termination rights under MSA.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Sponsor equity support step-down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Counterparty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 / Low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Post-stabilisation sponsor often reduces equity cure commitment.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3.2 Offshore wind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Typical deal: North Sea OWF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Risk title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Family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Sev/Lik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Wind resource underperformance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Technology / Asset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 / Med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P50 vs actual divergence: one bad wind year tips DSCR toward lockup. Stress candidate.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Merchant price exposure post-CfD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Market / Revenue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 / Med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15-year CfD covers years 1–15; tail years expose to wholesale merchant prices.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Cable failure / submarine exposure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Technology / Asset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 / Low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Export cable claims are the largest historical source of OWF losses.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Blade defect from shared supplier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Technology / Asset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 / Med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Industry-wide blade recalls seen 2023–2025; insurance caps may apply.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O&amp;M vessel availability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 / Med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Access constraints in winter storms reduce availability hours.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CfD contract enforceability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Regulatory / Political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 / Low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Retrospective strike-price review risk in tightened fiscal environments.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Biodiversity / seabird protection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 / Med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Curtailment orders during migration season; precedent from Scotland.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Steel/copper price inflation pre-COD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Macro / FX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 / Med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Construction cost over-run risk with 40%+ BoM in commodity inputs.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Carbon intensity SPT miss (ESG ratchet)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Low / Med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Feeds into margin ratchet — step up of 5 bps on SPT miss.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3.3 Solar PV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Typical deal: Wigmore Solar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Risk title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Family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Sev/Lik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Irradiance underperformance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Technology / Asset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 / Med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P75 production vs P50; multiple consecutive low years. Stress candidate.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Panel degradation accelerated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Technology / Asset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 / Med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Supplier warranty limits cap recovery; cell-type-specific known issues.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Grid curtailment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Regulatory / Political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 / Med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Negative pricing hours in high-penetration markets (DE, UK, ES).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PPA counterparty credit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Counterparty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 / Low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Corporate PPA offtaker downgrade post-signing.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Inverter OEM solvency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Counterparty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 / Med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Concentrated OEM base; warranty service continuity risk.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 lease renewal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Legal / Structural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 / Low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20-year lease vs 25-year operating life; residual value exposure.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Hail / extreme weather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 / Low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Physical climate risk — increasing hail frequency in continental EU.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3.4 Airport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Typical deal: Gatwick Airport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Risk title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Family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Sev/Lik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Passenger Volume Risk (pandemic shock repeat)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Market / Revenue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Severe / Low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-65% passengers in stress year; 4-year recovery. Worked stress example.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Regulatory price control (CAA)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Regulatory / Political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 / Med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Q7 price-control review; downward re-set risk on aero yields.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Airline concentration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Counterparty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 / Med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Top-3 carriers &gt; 50% of traffic; consolidation or bankruptcy risk.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Carbon / short-haul substitution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 / High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Policy-driven short-haul demand compression over 10-year horizon.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Runway / airspace capacity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 / Low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Slot constraint caps upside; second-runway political risk.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Non-aero retail rent softness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Market / Revenue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 / Med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Retail income exposure to passenger mix + per-pax spend.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Industrial action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 / High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Strikes by ATC / ground handlers; contingency plan required.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Insurance market hardening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Counterparty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 / Med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Aviation liability premiums rising &gt; CPI; renewal risk.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3.5 Toll road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Typical deal: M6 Toll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Risk title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Family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Sev/Lik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Traffic volume underperformance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Market / Revenue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 / Med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Economic cycle sensitivity; specifically freight volumes.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Tariff indexation cap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Regulatory / Political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 / Med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CPI-capped vs RPI exposure; negative real pricing in high-inflation.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Parallel untolled route upgrade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Market / Revenue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 / Low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Government upgrades competing free route.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Electric-vehicle road-pricing overhaul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Regulatory / Political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 / Med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Fuel-duty replacement schemes reshape toll competitiveness.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Pavement major refurb cost overrun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 / Med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Lifecycle capex uncertainty; contingency reserves may be inadequate.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Concession termination / step-in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Legal / Structural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Severe / Low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Grantor termination for convenience; compensation regime detail.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3.6 Rail / Tunnel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Typical deal: Getlink Eurotunnel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Risk title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Family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Sev/Lik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Cross-channel passenger volume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Market / Revenue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 / Med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Competition from air + Brexit friction; currency-mix sensitivity.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Freight volume &amp; lorry substitution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Market / Revenue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 / Med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Rail freight share vs RoRo ferries; cost-per-tonne trend.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Fire or major incident in tunnel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Severe / Low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1996 and 2008 historical precedents; insurance + reserves critical.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Binational regulator disagreement (IGC)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Regulatory / Political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 / Low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UK-FR intergovernmental commission coordination risk.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FX mismatch (EUR rev / GBP cost)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Macro / FX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 / Med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Hedging horizon shorter than debt tenor.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Track-access charge renegotiation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Regulatory / Political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 / Med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Captive customer (Eurostar) tariff-setting dispute risk.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3.7 Port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Typical deal: Project Alpha Port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Risk title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Family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Sev/Lik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Shipping line concentration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Market / Revenue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 / Med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Alliance restructuring can redirect volumes overnight.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Global trade cycle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Market / Revenue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 / High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Container throughput correlates with GDP + trade tensions.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Hinterland rail connection delay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 / Med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Modal-shift targets depend on rail investment not in port's control.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Decarbonisation / cold-ironing capex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 / Med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Shore-power mandates; unbudgeted capex in mid-tenor.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Sea-level rise / storm surge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ESG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 / Low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Coastal asset; 30-year climate exposure.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Crane / equipment obsolescence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Technology / Asset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 / Med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Mega-vessel accommodation requires continuous upgrade.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63849"/>
          <w:sz w:val="30"/>
          <w:szCs w:val="30"/>
        </w:rPr>
        <w:t xml:space="preserve">3.8 PRS residential real estate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Typical deals: Beta PRS, Delta PRS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14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Risk title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Family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Sev/Lik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7F0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Rent control / indexation cap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Regulatory / Political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 / Med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EU member states increasingly cap rental growth below CPI.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Occupancy decline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Market / Revenue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 / Med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Demand cycle + build-to-rent supply wave.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Service charge inflation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Operational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 / High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Utilities + labour opex outpacing rental uplift.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Energy-efficiency regulatory retrofits (EPC)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Regulatory / Political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 / High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Minimum EPC ratings force capex before letting.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Tenant credit / arrears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Counterparty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 / Med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Residential tenant default during cost-of-living stress.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Property price downturn (LTV)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Market / Revenue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 / Med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Valuation reset could trip LTV covenant at refinancing.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Tax regime change (non-dom, SDLT)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Regulatory / Political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 / Low</w:t>
            </w:r>
          </w:p>
        </w:tc>
        <w:tc>
          <w:tcPr>
            <w:tcW w:type="dxa" w:w="4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Tax-status changes alter investor-class demand.</w:t>
            </w:r>
          </w:p>
        </w:tc>
      </w:tr>
    </w:tbl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4. Cross-sector risks</w:t>
      </w:r>
    </w:p>
    <w:p>
      <w:pPr>
        <w:spacing w:after="140" w:line="280"/>
        <w:jc w:val="both"/>
      </w:pPr>
      <w:r>
        <w:rPr>
          <w:rFonts w:ascii="Arial" w:cs="Arial" w:eastAsia="Arial" w:hAnsi="Arial"/>
          <w:sz w:val="22"/>
          <w:szCs w:val="22"/>
        </w:rPr>
        <w:t xml:space="preserve">These risks apply across almost all deals in the portfolio and are worth checking on every IC memo: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Refinancing risk at maturity — terms tighten, market window closes.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Interest-rate exposure on unhedged tail — swap expiry before debt maturity.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Sponsor substitution — change of control on the equity upstream.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Insurance renewal at higher deductibles — especially in catastrophe-exposed assets.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Counterparty downgrade cascade — rating action on anchor tenant or offtaker.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Cybersecurity (operational and reputational).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Physical climate acute-event risk (storms, floods, wildfires).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Legal/regulatory re-opening of concession economics.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5. How the register is used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Capture: loaded via TopSheet Tab 16 (Risk Register) at onboarding; updated via quarterly review or ad-hoc.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Narrative: Risk Narrative Generator composes the deterministic text shown on the Deal Overview risk panel.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Scenarios: risks marked material and KPI-linked become single_variant_stress forecast cases.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Portfolio view: cross-deal filter in /analytics lets the PM see "every deal with regulatory-political risk likelihood ≥ high".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Grade engine: does not consume the risk register directly (grades are numeric/covenant-driven) — but impaired-grade rationales typically cite specific risk rows.</w:t>
      </w:r>
    </w:p>
    <w:p>
      <w:pPr>
        <w:pStyle w:val="Heading1"/>
        <w:pageBreakBefore/>
        <w:spacing w:after="180" w:before="240"/>
      </w:pPr>
      <w:r>
        <w:rPr>
          <w:rFonts w:ascii="Arial" w:cs="Arial" w:eastAsia="Arial" w:hAnsi="Arial"/>
          <w:b/>
          <w:bCs/>
          <w:color w:val="1F6FA5"/>
          <w:sz w:val="40"/>
          <w:szCs w:val="40"/>
        </w:rPr>
        <w:t xml:space="preserve">6. Data entry conventions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Likelihood: "rare" / "unlikely" / "possible" / "likely" / "almost certain" (maps to 1–5).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Severity: "negligible" / "minor" / "moderate" / "major" / "severe" (maps to 1–5).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Mitigants: free text; parsed only for length in the generator.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direction_of_impact: revenue_down | cost_up | capex_up | valuation_down | covenant_breach | other.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affected_kpi_keys: array of sector_kpi_* keys; informs which KPI charts get a single-variant stress overlay.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6718A"/>
        <w:sz w:val="18"/>
        <w:szCs w:val="18"/>
      </w:rPr>
      <w:t xml:space="preserve">Page </w:t>
    </w:r>
    <w:r>
      <w:rPr>
        <w:rFonts w:ascii="Arial" w:cs="Arial" w:eastAsia="Arial" w:hAnsi="Arial"/>
        <w:color w:val="56718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6718A"/>
        <w:sz w:val="18"/>
        <w:szCs w:val="18"/>
      </w:rPr>
      <w:t xml:space="preserve">Risk Register  ·  Sesame Street  ·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color w:val="1F6FA5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63849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63849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Arial" w:cs="Arial" w:eastAsia="Arial" w:hAnsi="Arial"/>
      <w:b/>
      <w:bCs/>
      <w:i/>
      <w:iCs/>
      <w:color w:val="56718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2026-04-17T21:12:57.087Z</dcterms:created>
  <dcterms:modified xsi:type="dcterms:W3CDTF">2026-04-17T21:12:57.094Z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