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Arial" w:cs="Arial" w:eastAsia="Arial" w:hAnsi="Arial"/>
          <w:b/>
          <w:bCs/>
          <w:color w:val="1F6FA5"/>
          <w:sz w:val="72"/>
          <w:szCs w:val="72"/>
        </w:rPr>
        <w:t xml:space="preserve">Sesame Street</w:t>
      </w:r>
    </w:p>
    <w:p>
      <w:pPr>
        <w:spacing w:after="200"/>
        <w:jc w:val="center"/>
      </w:pPr>
      <w:r>
        <w:rPr>
          <w:rFonts w:ascii="Arial" w:cs="Arial" w:eastAsia="Arial" w:hAnsi="Arial"/>
          <w:color w:val="263849"/>
          <w:sz w:val="32"/>
          <w:szCs w:val="32"/>
        </w:rPr>
        <w:t xml:space="preserve">Private Credit Monitoring Platform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56718A"/>
          <w:sz w:val="36"/>
          <w:szCs w:val="36"/>
        </w:rPr>
        <w:t xml:space="preserve">Covenant Register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6718A"/>
          <w:sz w:val="22"/>
          <w:szCs w:val="22"/>
        </w:rPr>
        <w:t xml:space="preserve">Covenant types, sector conventions, worked examples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718A"/>
          <w:sz w:val="20"/>
          <w:szCs w:val="20"/>
        </w:rPr>
        <w:t xml:space="preserve">Document A2 of 8  ·  Version 1.0  ·  April 2026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1. Purpose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covenant register is the definitive list of every financial and non-financial covenant on every deal. It exists to: (a) drive the Covenant Testing Engine, which tests actuals against thresholds each reporting period; (b) feed the Distribution Assessment Engine via the lockup gates; (c) inform the Performance Grade Engine's headroom calculation on both the primary cash-cover and collateral ratios; (d) give portfolio managers a cross-deal view of covenant tightness.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document describes the types of covenants we support, the tiered test outcomes, the sector-specific covenant conventions, and worked examples.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2. Types of covenant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Examples / 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Cash-cover (DSCR family)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 DSCR, Forward-looking DSCR (FLDSCR), Project Life Cover Ratio (PLCR), Loan Life Cover Ratio (LLCR), Average Interest Cover Ratio (AICR), PMICR (post-maintenance interest cover). Measure whether cashflows service debt.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Collateral / leverage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LTV (Loan-to-Value), LTC (Loan-to-Cost), Gearing, Net Debt / EBITDA, Total Debt / RCF. Measure headroom in the underlying asset or earnings base.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Reserve-account covenants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 Service Reserve Account (DSRA) minimum balance, Maintenance Reserve Account (MRA), O&amp;M reserve funding level.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Distribution / lockup gates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DSCR ≥ lockup level AND reserves fully funded AND obligations current. Triggers halt distributions without breaching.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Information covenants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Quarterly / annual reporting, audited financials, compliance certificates, insurance renewals, KPI reporting.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Negative pledges / restrictions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Prohibitions on additional debt, disposals, mergers, change of control without lender consent.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Construction covenants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Completion date, progress certificates, lifecycle capex funding.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Forward-looking / projection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Minimum projected DSCR over rolling horizon; triggers if forecasts breach.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ESG-linked SPTs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Sustainability-performance targets that flex the coupon via margin ratchets (not strict covenants but tested like them).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3. Test-outcome tiers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covenant test produces one of four outcomes, written to covenant_tests.result. The tiers drive downstream engine behaviour.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Downstream impact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Clears lockup level by margin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 operation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lockup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Breaches lockup but clears trigger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Distributions blocked; deal continues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Breaches trigger level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Lender has right to accelerate; Grade 4 candidate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Triggered + cure period expired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 of default; Grade 4 certain</w:t>
            </w:r>
          </w:p>
        </w:tc>
      </w:tr>
    </w:tbl>
    <w:p>
      <w:pPr>
        <w:pBdr>
          <w:left w:val="single" w:color="1F6FA5" w:sz="16" w:space="10"/>
        </w:pBdr>
        <w:spacing w:after="160" w:before="80"/>
        <w:ind w:left="200"/>
      </w:pPr>
      <w:r>
        <w:rPr>
          <w:rFonts w:ascii="Arial" w:cs="Arial" w:eastAsia="Arial" w:hAnsi="Arial"/>
          <w:i/>
          <w:iCs/>
          <w:color w:val="56718A"/>
          <w:sz w:val="22"/>
          <w:szCs w:val="22"/>
        </w:rPr>
        <w:t xml:space="preserve">Lockup and trigger are separate levels. A well-structured deal has a ~25% gap between them — lockup acts as an early-warning brake before the trigger.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4. Database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covenant_thresholds — one row per covenant. Columns: covenant_name, metric_key, ratio_level, test_frequency, lockup_level, trigger_level, cure_period_days, cure_mechanism, direction_of_breach, measurement_window,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covenant_tests — one row per test per period. Columns: covenant_id, period_id, actual_value, lockup_level, trigger_level, headroom_pct, result, cure_status.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ratio_level (v8 addition) — the entity level at which the ratio is tested. Must be consistent with capital_structure_instruments.ratio_consolidation_level for applicable instruments.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direction_of_breach — "below" for DSCR-type (covenant trips when value falls), "above" for LTV-type (covenant trips when value rises).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5. Covenant conventions by sector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5.1 Data centre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Covenant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Lockup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 DSCR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Quarterly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Anchored on EBITDA net of power costs.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Forward DSCR (4Q rolling)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Quarterly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Tests contracted cashflow against debt service.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1.35×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Tail-sensitive; depends on tenant MSA expiries.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LTV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Valuation by independent appraiser.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DSRA minimum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months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months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Funded to 6 months forward debt service.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Utilisation reporting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Quarterly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Information covenant — capacity utilisation %.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5.2 Offshore wind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Covenant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Lockup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Backward DSCR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P50 energy yield underpin.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Forward DSCR (12M)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Looks into tail — merchant-exposure sensitive.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1.30×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 CfD revenue; tail merchant haircut applied.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1.40×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life &gt; loan life — covers tail.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Gearing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 debt / project NPV.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DSRA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months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months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MRA (major component)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Funded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75%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Blade / gearbox lifecycle reserve.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Carbon intensity (ESG SPT)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≤ 50 gCO2/kWh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Margin ratchet — not a strict covenant.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5.3 Solar PV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Covenant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Lockup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Backward DSCR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P75 irradiance assumption.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PPA-weighted revenue.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LTV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DSRA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months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months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Curtailment reporting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Information covenant.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5.4 Airport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Covenant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Lockup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Senior DSCR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1.40×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Single-A regulated-utility benchmark.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3.00×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Interest cover on EBITDA.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 Debt / EBITDA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Leverage cap.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RAR (Regulatory Asset Ratio)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Where applicable in regulated framework.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Information: passenger stats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 pax reporting.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5.5 Toll road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Covenant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Lockup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Backward DSCR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1.30×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1.40×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Concession-life cover.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MRA funded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Pavement lifecycle.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Traffic reporting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Information covenant.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5.6 Rail / Tunnel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Covenant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Lockup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Senior DSCR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1.35×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Binational governance framework.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DSCR (incl. junior)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1.35×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Insurance maintenance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Lapse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Continuous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Marine + third-party liability.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5.7 Port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Covenant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Lockup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Backward DSCR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 Debt / EBITDA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LTV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Concentration (top offtaker)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40%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50%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Anti-concentration on top shipping line.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5.8 PRS residential real estate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Covenant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Lockup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1.60×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Rental income / interest.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1.40×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LTV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Independent valuation.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Occupancy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85%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75%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Quarterly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Weighted by unit count.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EPC compliance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A-E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Non-compliant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Information covenant; reg-driven.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6. Headroom computation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Performance Grade Engine uses headroom on two covenants per deal — the primary cash-cover (typically DSCR) and the primary collateral (typically LTV or LLCR). Headroom is expressed as percentage distance from the trigger level.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headroom_pct = (actual_value - trigger_level) / trigger_level  (for DSCR-type)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headroom_pct = (trigger_level - actual_value) / trigger_level  (for LTV-type)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 (performing band): headroom ≥ 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Amber (monitoring band): headroom 10–20%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(watchlist band): headroom &lt;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Breach: headroom ≤ 0</w:t>
      </w:r>
    </w:p>
    <w:p>
      <w:pPr>
        <w:pBdr>
          <w:left w:val="single" w:color="1F6FA5" w:sz="16" w:space="10"/>
        </w:pBdr>
        <w:spacing w:after="160" w:before="80"/>
        <w:ind w:left="200"/>
      </w:pPr>
      <w:r>
        <w:rPr>
          <w:rFonts w:ascii="Arial" w:cs="Arial" w:eastAsia="Arial" w:hAnsi="Arial"/>
          <w:i/>
          <w:iCs/>
          <w:color w:val="56718A"/>
          <w:sz w:val="22"/>
          <w:szCs w:val="22"/>
        </w:rPr>
        <w:t xml:space="preserve">Per user requirement, headroom is checked on BOTH DSCR and the collateral covenant, not DSCR alone. The worst of the two drives the grade.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7. Cure mechanisms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When a covenant breaches trigger, most deals allow a cure window before default. Supported mechanisms: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Equity cure — sponsor injects equity; capped per year and per tenor. Converts to shareholder loan.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Cash cure — free cash held above a threshold is deemed to reduce debt for ratio calc.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Reserve cure — draw from DSRA/MRA to meet DS; must be topped up within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cure — headroom must be restored at the next test date (no action, just grace).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Step-in cure — facility agent/ lender takes operational control.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cure_period_days + cure_mechanism columns capture this. Covenant test result flips from "trigger" to "default" if the cure window elapses without resolution.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8. Testing engine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Triggered on commit of a new financial period (from document intake) or via POST /api/engines/covenant-tests/{slug}.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active covenant, the engine computes actual_value from period_financial_items using the metric's formula (e.g. DSCR = CFADS / Debt Service).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Compares against lockup_level and trigger_level, writes covenant_tests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 breach, opens a compliance_alerts row and emits an activity_events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Feeds Distribution Assessment (lockup blocks gates) and Performance Grade (trigger forces Grade 4 candidate).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9. Where covenants are maintained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Captured: TopSheet Tab 8 (Covenant Thresholds) at onboarding; amended via TopSheet re-upload or inline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Amendments: covenant changes that are the result of a waiver or amendment letter are linked via deal_amendments → amendment_change_impacts → covenant_thresholds (old row retired, new row inserted).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 tests: covenant_tests is immutable audit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Rendered: on the deal overview Compliance panel (latest test tier) and on the /deals/[slug]/covenants page (full history with headroom chart).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10. Register worked example — Gatwick Airport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Covenant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Lockup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Latest tier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Senior DSCR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1.40×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1.62×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ICR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3.00×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 Debt / EBITDA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7.0×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8.5×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5.8×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Minimum pax reporting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Performing (info)</w:t>
            </w:r>
          </w:p>
        </w:tc>
      </w:tr>
    </w:tbl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On the pandemic-stress scenario, DSCR drops to 0.4× in FY2026 under the single-variant stress — well inside trigger and well below lockup — which is why this risk becomes a stress-case forecast linked to the "Passenger Volume Risk (pandemic shock repeat)" register entry.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718A"/>
        <w:sz w:val="18"/>
        <w:szCs w:val="18"/>
      </w:rPr>
      <w:t xml:space="preserve">Page </w:t>
    </w:r>
    <w:r>
      <w:rPr>
        <w:rFonts w:ascii="Arial" w:cs="Arial" w:eastAsia="Arial" w:hAnsi="Arial"/>
        <w:color w:val="5671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6718A"/>
        <w:sz w:val="18"/>
        <w:szCs w:val="18"/>
      </w:rPr>
      <w:t xml:space="preserve">Covenant Register  ·  Sesame Street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6FA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384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63849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5671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2026-04-17T21:12:57.307Z</dcterms:created>
  <dcterms:modified xsi:type="dcterms:W3CDTF">2026-04-17T21:12:57.308Z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