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3000"/>
        <w:jc w:val="center"/>
      </w:pPr>
      <w:r>
        <w:rPr>
          <w:rFonts w:ascii="Arial" w:cs="Arial" w:eastAsia="Arial" w:hAnsi="Arial"/>
          <w:b/>
          <w:bCs/>
          <w:color w:val="1F6FA5"/>
          <w:sz w:val="72"/>
          <w:szCs w:val="72"/>
        </w:rPr>
        <w:t xml:space="preserve">Sesame Street</w:t>
      </w:r>
    </w:p>
    <w:p>
      <w:pPr>
        <w:spacing w:after="200"/>
        <w:jc w:val="center"/>
      </w:pPr>
      <w:r>
        <w:rPr>
          <w:rFonts w:ascii="Arial" w:cs="Arial" w:eastAsia="Arial" w:hAnsi="Arial"/>
          <w:color w:val="263849"/>
          <w:sz w:val="32"/>
          <w:szCs w:val="32"/>
        </w:rPr>
        <w:t xml:space="preserve">Private Credit Monitoring Platform</w:t>
      </w:r>
    </w:p>
    <w:p>
      <w:pPr>
        <w:spacing w:after="1600"/>
        <w:jc w:val="center"/>
      </w:pPr>
      <w:r>
        <w:rPr>
          <w:rFonts w:ascii="Arial" w:cs="Arial" w:eastAsia="Arial" w:hAnsi="Arial"/>
          <w:i/>
          <w:iCs/>
          <w:color w:val="56718A"/>
          <w:sz w:val="36"/>
          <w:szCs w:val="36"/>
        </w:rPr>
        <w:t xml:space="preserve">Financial Templates Specification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56718A"/>
          <w:sz w:val="22"/>
          <w:szCs w:val="22"/>
        </w:rPr>
        <w:t xml:space="preserve">Generic cashflow model + sector sub-templates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6718A"/>
          <w:sz w:val="20"/>
          <w:szCs w:val="20"/>
        </w:rPr>
        <w:t xml:space="preserve">Document A3 of 8  ·  Version 1.0  ·  April 2026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1. What "financial templates" means in this platform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Two distinct artefacts in the codebase are called "templates":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TopSheet Excel template (v8/v9): </w:t>
      </w:r>
      <w:r>
        <w:rPr>
          <w:rFonts w:ascii="Arial" w:cs="Arial" w:eastAsia="Arial" w:hAnsi="Arial"/>
          <w:sz w:val="22"/>
          <w:szCs w:val="22"/>
        </w:rPr>
        <w:t xml:space="preserve">the 26-tab ingestion workbook. This is covered in Doc 4 — TopSheet Template Specification. It is the deal-onboarding and update vehicle.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Financial Templates: </w:t>
      </w:r>
      <w:r>
        <w:rPr>
          <w:rFonts w:ascii="Arial" w:cs="Arial" w:eastAsia="Arial" w:hAnsi="Arial"/>
          <w:sz w:val="22"/>
          <w:szCs w:val="22"/>
        </w:rPr>
        <w:t xml:space="preserve">the 67-row generic cashflow model + 8 sector sub-templates + 21 covenant ratios that define HOW financial data is structured once inside the platform. This is what the /plumbing page renders, and this is what this document specifies.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These are complementary. The TopSheet carries data in; the financial templates define the shape of what the data fills.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2. The generic cashflow model (67 rows)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Every deal is backed by a generic 67-row cashflow template. This is the common financial skeleton — revenue sources, operating costs, EBITDA build, working-capital movements, debt service, and CFADS. Sector sub-templates layer sector-specific labels and extensions on top of this spine.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The 67 rows are organised into 6 sections. The rendered view is at /plumbing (component: client/app/plumbing/financial-template-preview.tsx).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2.1 Section 1 — Revenue (rows 1–10)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Primary revenue (contracted)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Primary revenue (uncontracted / merchant)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Availability-based 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Performance-based 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Regulatory-asset-base 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Inflation-linked component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Other Revenue (sector-specific)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Intersegment 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Revenue deductions / rebates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Revenue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2.2 Section 2 — Operating costs (rows 11–26)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O&amp;M fees (fixed)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O&amp;M fees (variable)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Power Cost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Feedstock / fuel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Insurance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Lease payments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Staff costs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Property taxes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Maintenance reserve contributions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Management fees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 &amp; telecoms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Professional fees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Regulatory fees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Other Opex (sector-specific)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Opex indexation adjustment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Operating Costs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2.3 Section 3 — EBITDA build (rows 27–31)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EBITDA (computed)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Depreciation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Amortisation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EBIT (computed)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EBITDA margin %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2.4 Section 4 — Working capital + tax (rows 32–40)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Working-capital movement (receivables)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Working-capital movement (payables)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Working-capital movement (inventory)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Tax paid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Tax losses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Interest received on reserve 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Other non-cash adjustments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CFADS pre-maintenance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Maintenance capex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2.5 Section 5 — CFADS &amp; debt service (rows 41–55)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CFADS (computed, post-maintenance)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Senior interest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Senior principal (scheduled)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Senior principal (prepayment)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Senior commitment fee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Mezzanine / junior interest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Mezzanine / junior principal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Shareholder loan interest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Shareholder loan principal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Debt Service (computed)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DSCR (computed)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Cash sweep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Distributions to equity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Distribution lockup flag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Excess cash retained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2.6 Section 6 — Reserves &amp; balance sheet movements (rows 56–67)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DSRA opening / contribution / withdrawal / closing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MRA opening / contribution / withdrawal / closing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Cash balance opening / movement / closing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Net debt opening / movement / closing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3. Sector sub-templates (8 sectors)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Each sector has a sub-template that (a) renames generic rows with sector-specific labels stored in deal_line_item_labels, (b) adds sector-specific KPI rows (sector_kpi_1 through sector_kpi_n), and (c) specifies the sector's default covenant set.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600"/>
        <w:gridCol w:w="42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Sector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KPI count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Primary covenant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Characteristic revenue / opex rows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data_centre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DSCR + LLCR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Contracted lease revenue; power cost; PUE adjustment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wind_farm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DSCR + LLCR + PLCR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CfD revenue; merchant revenue; O&amp;M per MW; carbon intensity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port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DSCR + LTV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Throughput revenue (TEU); handling cost per TEU; concession fee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airport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DSCR + ICR + ND/EBITDA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Aero revenue per pax; non-aero per pax; EBITDA per pax; cost per pax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toll_road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DSCR + PLCR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Toll revenue per vehicle; class mix; pavement lifecycle capex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social_infrastructure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DSCR + ACR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Availability payment; deduction regime; lifecycle capex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real_estate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ICR + DSCR + LTV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Rental income; service charge; EPC retrofit capex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clean_tech_hub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DSCR + LLCR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Offtake revenue; grid charges; feedstock; carbon credits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3.1 How a sub-template is applied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Deal onboarding picks a sector via deals.sector; this determines the sub-template.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Sector → default line_item_definitions applied to deal_reporting_schedule.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deal_line_item_labels overridden from sector sub-template JSONB (per-deal display names).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Default covenant_thresholds seeded from sector defaults (can be edited per deal).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KPI rows sector_kpi_1…n are created with sector-specific labels and direction_of_good.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4. The 21 covenant ratios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The full covenant-ratio palette available in the system. Not every deal uses every ratio — the sector sub-template selects the appropriate subset, and the TopSheet can override.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Ratio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Direction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Formula sketch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Historic DSCR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higher is better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CFADS / Total Debt Service (backward period)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Forward DSCR (FLDSCR)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higher is better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Projected CFADS / Projected DS (forward period)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Average DSCR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higher is better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Mean DSCR over remaining tenor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Minimum DSCR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higher is better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 DSCR over remaining tenor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LLCR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higher is better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NPV(project CFADS to debt maturity) / Outstanding debt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PLCR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higher is better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NPV(project CFADS to end of life) / Outstanding debt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Average LLCR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higher is better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Mean LLCR over tenor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Average PLCR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higher is better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Mean PLCR over tenor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AICR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higher is better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Net cashflow / Interest only (adjusted interest cover)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ICR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higher is better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EBITDA / Net Interest expense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PMICR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higher is better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(EBITDA - maintenance capex) / Interest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Cash Interest Cover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higher is better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Operating cashflow / Cash interest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LTV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lower is better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Outstanding debt / Asset value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Average LTV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lower is better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Mean LTV over tenor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LTC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lower is better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Outstanding debt / Project cost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Gearing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lower is better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Debt / (Debt + Equity)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Net Debt / EBITDA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lower is better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(Debt - Cash) / EBITDA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 Debt / RCF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lower is better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 debt / Retained cashflow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FFO / Net Debt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higher is better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Funds from operations / Net debt (Moody's)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RCF / Net Debt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higher is better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Retained cashflow / Net debt (Moody's)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ADSCR Break-Even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Revenue haircut at which forward DSCR = 1.0×</w:t>
            </w:r>
          </w:p>
        </w:tc>
      </w:tr>
    </w:tbl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5. Moody's financial ratio pack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A subset of 12 ratios are explicitly tagged as Moody's-methodology ratios, populated alongside the sector ratios on deals rated externally or internally on the Moody's scale. Full definitions at [docs/moodys-ratio-definitions.md](docs/moodys-ratio-definitions.md).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FFO / Net Debt, RCF / Net Debt (leverage)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AICR, Total DSCR, Cash Interest Cover (interest cover)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Avg DSCR, Min DSCR (cash-cover over tenor)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Avg LLCR, Avg PLCR (life-cover)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Avg LTV, Debt / RCF (leverage over tenor)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ADSCR Break-Even (stress headroom)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6. Standard adjustment inputs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For Moody's-method leverage and cover ratios, the platform stores standard adjustment inputs that bridge reported values to adjusted values. These sit in the same period_financial_items table alongside the raw 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Operating lease capitalisation (8× method)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Pension deficit adjustment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Hybrid debt equity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Securitisation reclassification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Minority distributions treatment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Non-recurring items add-back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7. Storage shape — line items and values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The chart of accounts is defined in line_item_definitions (181 rows total). Every value — whether actual or forecast — is stored as one row in one of two tables, keyed by (period × line_key).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Scope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Shape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period_financial_items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Actuals from borrower reporting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One row per (period_id, line_key)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forecast_period_items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Life-of-deal forecast, frozen per case version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One row per (forecast_case_version_id, period_flag, line_key)</w:t>
            </w:r>
          </w:p>
        </w:tc>
      </w:tr>
    </w:tbl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deal_line_item_labels overlays per-deal display names so the same line_key (e.g. "sector_kpi_1") can render as "Passengers (millions)" for Gatwick and "Throughput (TEU)" for Project Alpha.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8. Computed rows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Several rows are computed, not entered. The ingestion engine skips them on commit; they are re-derived at read time (or cached if heavy):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EBITDA = Total Revenue - Total Operating Costs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EBIT = EBITDA - Depreciation - Amortisation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CFADS pre-maintenance = EBITDA - Tax - Working-capital movements + Interest received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CFADS post-maintenance = CFADS pre-maintenance - Maintenance capex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Debt Service = Senior interest + Senior principal + Senior fee + Mezz interest + Mezz principal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DSCR = CFADS post-maintenance / Total Debt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EBITDA margin % = EBITDA / Total 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Reserve closings = opening ± contributions / withdrawals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9. Forecast cases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Every deal carries three forecast cases in the core shape, plus optional single-variant stresses (see Doc 3 and the KPI scenarios architecture doc):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scenario_kind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Management case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management_case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Sponsor's own plan at IC approval. Baseline.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Lender case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lender_case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Platform's internal conservative view.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Combined downside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combined_downside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Several stressed risks bundled; drives the shaded band on charts.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Single-variant stress (optional)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single_variant_stress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One risk stressed; linked via driving_risk_id to a risk_register row.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Credit case (optional)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credit_case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Sponsor-supplied lender-informed view.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Custom (optional)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custom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Any analyst-defined scenario.</w:t>
            </w:r>
          </w:p>
        </w:tc>
      </w:tr>
    </w:tbl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10. Variance and three-case comparison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The Variance Engine compares period_financial_items.approved_value against forecast_period_items (management case) for the matching period and line_key. The Three-Case Engine compares against management / lender / combined-downside simultaneously. Outputs are written to financial_variances and consumed by the Deal Overview financial charts — where the shaded band between management_case and combined_downside is rendered from these same rows.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11. Where the templates live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60"/>
      </w:tblGrid>
      <w:tr>
        <w:trPr>
          <w:tblHeader/>
        </w:trP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Asset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Path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Generic cashflow model preview (UI)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client/app/plumbing/financial-template-preview.tsx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Sector sub-template definitions (server)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server/main.py — search for SECTOR_TEMPLATES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Line item definitions (database)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line_item_definitions table, seeded in postgres/init.sql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Sector KPI definitions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Seeded in init.sql as sector_kpi_* rows with direction_of_good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Covenant ratio formulae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server/main.py — evaluate_covenant_metric()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Moody's ratio formulae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docs/moodys-ratio-definitions.md + server/main.py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TopSheet Tab 13 / 14 — actuals &amp; forecast entry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docs/topsheet-complete-specification.md, scripts/create-topsheet-template.py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Per-deal label overrides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deal_line_item_labels table (populated from TopSheet Tab 12)</w:t>
            </w:r>
          </w:p>
        </w:tc>
      </w:tr>
    </w:tbl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12. Rebuild flow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To apply a financial template change (e.g. add a new line, or add a new sector) to every deal: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Edit line_item_definitions seed rows in postgres/init.sql (or add a migration into migrations.sql).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the sector sub-template mapping in server/main.py.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corresponding KPI rows if sector-specific.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scripts/create-topsheet-template.py so the Excel template exposes the new line in Tabs 12/13/14.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bin/db-rebuild.sh (safe) to apply migrations.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Regenerate the Excel template: python scripts/create-topsheet-template.py → docs/topsheet-data-template-v9.xlsx.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Copy to client/public/ for the download button on /plumbing.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13. Relationship to other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 1 (Schema) — defines line_item_definitions, period_financial_items, forecast_period_items, forecast_cases, deal_reporting_periods.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 3 (Engines) — Variance, Three-Case, Trend, Covenant engines all operate on this template.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 4 (TopSheet) — Tabs 11–15 and 26 ingest the data that fills this template.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 5 (UI) — Deal Overview financial charts render directly from the template's computed 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 A2 (Covenant Register) — enumerates the ratios and thresholds using this line item chart.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6718A"/>
        <w:sz w:val="18"/>
        <w:szCs w:val="18"/>
      </w:rPr>
      <w:t xml:space="preserve">Page </w:t>
    </w:r>
    <w:r>
      <w:rPr>
        <w:rFonts w:ascii="Arial" w:cs="Arial" w:eastAsia="Arial" w:hAnsi="Arial"/>
        <w:color w:val="56718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6718A"/>
        <w:sz w:val="18"/>
        <w:szCs w:val="18"/>
      </w:rPr>
      <w:t xml:space="preserve">Financial Templates  ·  Sesame Street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F6FA5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6384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63849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Arial" w:cs="Arial" w:eastAsia="Arial" w:hAnsi="Arial"/>
      <w:b/>
      <w:bCs/>
      <w:i/>
      <w:iCs/>
      <w:color w:val="5671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2026-04-17T21:12:57.547Z</dcterms:created>
  <dcterms:modified xsi:type="dcterms:W3CDTF">2026-04-17T21:12:57.547Z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