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SESAME STREET  —  SCENARIO ANALYSIS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6FA5"/>
          <w:sz w:val="40"/>
          <w:szCs w:val="40"/>
        </w:rPr>
        <w:t xml:space="preserve">Capital Stack — GIP-Secured MidCo Variant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Gatwick Airport  ·  Hypothetical scenario  ·  For review</w:t>
      </w:r>
    </w:p>
    <w:p>
      <w:pPr>
        <w:pBdr>
          <w:top w:val="single" w:color="C97F1F" w:sz="6" w:space="4"/>
          <w:bottom w:val="single" w:color="C97F1F" w:sz="6" w:space="4"/>
        </w:pBdr>
        <w:shd w:fill="FFF7E0" w:val="clear"/>
        <w:spacing w:after="120" w:before="0"/>
      </w:pPr>
      <w:r>
        <w:rPr>
          <w:rFonts w:ascii="Arial" w:cs="Arial" w:eastAsia="Arial" w:hAnsi="Arial"/>
          <w:b/>
          <w:bCs/>
          <w:color w:val="C97F1F"/>
          <w:sz w:val="20"/>
          <w:szCs w:val="20"/>
        </w:rPr>
        <w:t xml:space="preserve">Scenario: </w:t>
      </w:r>
      <w:r>
        <w:rPr>
          <w:rFonts w:ascii="Arial" w:cs="Arial" w:eastAsia="Arial" w:hAnsi="Arial"/>
          <w:sz w:val="20"/>
          <w:szCs w:val="20"/>
        </w:rPr>
        <w:t xml:space="preserve">This document is a hypothetical variant of the Rev.2 Gatwick worked example. The actual Gatwick structure has a MidCo (GAF plc) with a £475m 6% 2030 bond that ranks above the shareholders and is effectively backed by both shareholders’ stakes pro-rata. In this variant we assume the £475m debt sits instead at a GIP-specific holding vehicle and is secured only on GIP’s 49.99% shareholding. VINCI’s 50.01% stake is unencumbered. This is a common pattern for shareholder-level NAV financings.</w:t>
      </w:r>
    </w:p>
    <w:p>
      <w:pPr>
        <w:pBdr>
          <w:top w:val="single" w:color="D65454" w:sz="6" w:space="4"/>
          <w:bottom w:val="single" w:color="D65454" w:sz="6" w:space="4"/>
        </w:pBdr>
        <w:shd w:fill="FDEDEE" w:val="clear"/>
        <w:spacing w:after="120" w:before="80"/>
      </w:pPr>
      <w:r>
        <w:rPr>
          <w:rFonts w:ascii="Arial" w:cs="Arial" w:eastAsia="Arial" w:hAnsi="Arial"/>
          <w:b/>
          <w:bCs/>
          <w:color w:val="D65454"/>
          <w:sz w:val="20"/>
          <w:szCs w:val="20"/>
        </w:rPr>
        <w:t xml:space="preserve">Rev.2 of this scenario: </w:t>
      </w:r>
      <w:r>
        <w:rPr>
          <w:rFonts w:ascii="Arial" w:cs="Arial" w:eastAsia="Arial" w:hAnsi="Arial"/>
          <w:sz w:val="20"/>
          <w:szCs w:val="20"/>
        </w:rPr>
        <w:t xml:space="preserve">v1 stated that consolidated leverage was unchanged from the senior-only case. That is only true of the legal / CTA-consolidated view. Economically the facility has to be serviced from GIP’s 49.99% of distributions, so Gatwick has to distribute £2 to put £1 in GIP’s hands. Grossed up, this £475m behaves like a £950m consolidated group facility, lifting the consolidated-equivalent leverage from 5.89× to 7.56×. See Section 7 for the full gearing analysis.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purpose of this variant is to demonstrate how the Capital Stack engine must handle debt that sits outside the consolidated deal group. The same OpCo senior debt (£3,364.6m Class A bonds) and the same OpCo Enterprise Value (£6,500m) apply. What changes is: (a) the £475m of MidCo-level debt moves out of the consolidated chain into a GIP-specific SPV, (b) the security package is limited to GIP’s 49.99% stake, and (c) the shareholder positions become asymmetric.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1. Corporate structure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GAF MidCo shell is retained as a common holding layer, but now carries no external debt. A new entity — GIP Gatwick Holdings Ltd — sits in parallel and holds GIP’s 49.99% stake. The £475m NAV facility is at this GIP-only vehicle.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1500"/>
        <w:gridCol w:w="2660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Entity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Jurisdiction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Parent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Gatwick Airport Limited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OpCo (asset)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GB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Ivy Holdco Limited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Gatwick Funding Limited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Issuer SPV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GB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Ivy Holdco Limited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Ivy Holdco Limited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BidCo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GB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GAF plc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Gatwick Airport Finance plc (GAF)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MidCo (common)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GB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Airports 50.01 / GIP Gatwick Holdings 49.99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Airports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HoldCo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SA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GIP Gatwick Holdings Ltd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MidCo (GIP-only) — £475m debt here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GB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GIP / Blackrock funds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Infrastructure Partners (Blackrock)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Ultimate parent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SA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Ultimate parent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2. Debt inventory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OpCo / Issuer debt (unchanged)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1300"/>
        <w:gridCol w:w="2060"/>
      </w:tblGrid>
      <w:tr>
        <w:trPr>
          <w:tblHeader/>
        </w:trP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Layer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Total (£m)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Our holding (£m)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% of OpCo EV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Class A bonds — 11 tranches, pari-passu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3,364.6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125.0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51.8%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Rank 1 (our position)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GIP-level debt (new in this scenario)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Secured only on GIP Gatwick Holdings Ltd’s 49.99% stake in GAF. Not within the CTA ring-fence. Not an obligation of VINCI, GAF, Ivy Holdco, or the OpCo/Issuer.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1300"/>
        <w:gridCol w:w="2060"/>
      </w:tblGrid>
      <w:tr>
        <w:trPr>
          <w:tblHeader/>
        </w:trP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Layer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Total (£m)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Our holding (£m)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% of GIP stake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GIP Gatwick Holdings — £475m NAV facility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475.0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30.3%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Rank 1 at GIP only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3. Valuation (unchanged from Rev.2)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OpCo Enterprise Value assumed £6,500m (FY2024 EBITDA £571m × ∼11.4×). The GIP NAV facility is advanced against 30.3% of the estimated value of GIP’s gross stake (£475m / £1,567m gross equity).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4. The walked capital stack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Walked bottom-up from the operating asset. Note that below the Class A line, the stack is no longer purely sequential — the GIP NAV debt sits in a parallel claim pool, not stacked above or below the other layers in the same sense.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OpCo / Issuer (CTA ring-fenced group)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Class A bonds (total): £3,364.6m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OpCo residual equity flowing up: £6,500m − £3,364.6m = £3,135.4m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GAF MidCo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external debt in this scenario. GAF is a pass-through for both shareholders.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Shareholder level (asymmetric)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GAF residual equity £3,135.4m splits pro-rata along the 50.01 / 49.99 JV, but the £475m NAV facility lands exclusively on GIP’s stake: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00"/>
        <w:gridCol w:w="1400"/>
        <w:gridCol w:w="1500"/>
        <w:gridCol w:w="1560"/>
      </w:tblGrid>
      <w:tr>
        <w:trPr>
          <w:tblHeader/>
        </w:trP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Shareholder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Ownership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Gross equity (£m)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Debt on stake (£m)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Net equity (£m)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Airports (VINCI SA)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50.01%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1,568.4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2F8B72"/>
                <w:sz w:val="20"/>
                <w:szCs w:val="20"/>
              </w:rPr>
              <w:t xml:space="preserve">1,568.4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Infrastructure Partners (Blackrock)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49.99%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1,567.0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(475.0)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C97F1F"/>
                <w:sz w:val="20"/>
                <w:szCs w:val="20"/>
              </w:rPr>
              <w:t xml:space="preserve">1,092.0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100.00%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3,135.4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(475.0)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2,660.4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2"/>
          <w:szCs w:val="22"/>
        </w:rPr>
        <w:t xml:space="preserve">VINCI carries no debt on its stake: full £1,568m. GIP’s £1,567m gross stake is reduced by the £475m NAV facility to £1,092m net. Total residual equity is unchanged from Rev.2 (£2,660m) but the allocation has shifted £237m from GIP to VINCI.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5. Full stack — two columns (total and our holding)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1300"/>
        <w:gridCol w:w="2060"/>
      </w:tblGrid>
      <w:tr>
        <w:trPr>
          <w:tblHeader/>
        </w:trP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Layer (bottom = first claim)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Total (£m)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Our holding (£m)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% of EV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VINCI residual equity (unencumbered)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1,568.4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0.0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24.1%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Rank ∞ (clean)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GIP residual equity (net of NAV facility)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1,092.0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0.0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16.8%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2F8B72"/>
                <w:sz w:val="20"/>
                <w:szCs w:val="20"/>
              </w:rPr>
              <w:t xml:space="preserve">Rank ∞ (on GIP stake)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GIP Gatwick Holdings £475m facility  —  parallel claim on GIP’s 49.99% only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475.0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0.0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7.3%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97F1F"/>
                <w:sz w:val="20"/>
                <w:szCs w:val="20"/>
              </w:rPr>
              <w:t xml:space="preserve">Rank 1 at GIP HoldCo (not in CTA group)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Class A senior secured (11 bonds, pari-passu)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3,364.6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125.0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51.8%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6FA5"/>
                <w:sz w:val="20"/>
                <w:szCs w:val="20"/>
              </w:rPr>
              <w:t xml:space="preserve">Rank 1 (our position)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Enterprise Value (assumed, OpCo-level)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6,500.0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125.0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100.0%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2"/>
          <w:szCs w:val="22"/>
        </w:rPr>
        <w:t xml:space="preserve">Note the visual structure: the GIP NAV debt is coloured differently and flagged as a parallel claim — it is not part of the priority waterfall on OpCo cashflows. In a rendered UI it would be offset or tagged to make this distinction obvious.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6. Derived metrics — deal view vs our 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00"/>
        <w:gridCol w:w="2660"/>
      </w:tblGrid>
      <w:tr>
        <w:trPr>
          <w:tblHeader/>
        </w:trP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Metric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Deal (CTA-consolidated)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Our exposure view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Senior LTV (Class A / EV)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51.8%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51.8% (we’re senior)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Consolidated LTV (CTA group debt)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51.8%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 — we hold only senior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Consolidated leverage (Class A / EBITDA)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5.89×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5.89×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GIP HoldCo debt in CTA leverage?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— outside ring-fence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Debt senior to us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£0 (we’re at rank 1)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£0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Subordinated cushion (within CTA group)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£0 — no MidCo debt in CTA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Shareholder-level debt on GIP stake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£475m (parallel claim)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grossed-up view below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True equity cushion below us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£3,135m (same as Rev.2)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attributable equity (unencumbered)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£1,568m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GIP attributable equity (after NAV facility)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£1,092m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7. Grossed-up leverage — the gearing effect of shareholder-only debt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legal / CTA-consolidated view under-represents the economic leverage impact of shareholder-level debt because it ignores the fact that debt at a shareholder-specific vehicle must be serviced out of that shareholder’s slice of distributions only.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Mechanism: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GIP HoldCo NAV facility pays interest out of dividends that GIP receives from its 49.99% stake.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 GIP to receive £1 in dividends, Gatwick must distribute £2 in total. Half goes to GIP (for debt service); half goes to VINCI (unrelated to this facility).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 every £1 of GIP NAV debt service “uses up” £2 of OpCo distribution capacity.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Equivalently: £475m of debt at the 49.99% entity requires the same OpCo distribution support as £475m ÷ 49.99% = £950m at the consolidated level.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matters for the dividend lock-up test, the LLCR, and any scenario where the operating group has to maintain distributions to avoid tripping a covenant elsewhere in the structure.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Four lenses on leverage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800"/>
        <w:gridCol w:w="1800"/>
        <w:gridCol w:w="1960"/>
      </w:tblGrid>
      <w:tr>
        <w:trPr>
          <w:tblHeader/>
        </w:trP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Leverage lens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Debt numerator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EBITDA basis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Leverage ratio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(a) CTA consolidated group — headline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£3,364.6m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£571m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5.89×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(b) VINCI proportional (50.01%)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£1,682.5m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£285.6m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5.89×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97F1F"/>
                <w:sz w:val="20"/>
                <w:szCs w:val="20"/>
              </w:rPr>
              <w:t xml:space="preserve">(c) GIP proportional (49.99%) + NAV facility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C97F1F"/>
                <w:sz w:val="20"/>
                <w:szCs w:val="20"/>
              </w:rPr>
              <w:t xml:space="preserve">£2,157.1m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C97F1F"/>
                <w:sz w:val="20"/>
                <w:szCs w:val="20"/>
              </w:rPr>
              <w:t xml:space="preserve">£285.4m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C97F1F"/>
                <w:sz w:val="20"/>
                <w:szCs w:val="20"/>
              </w:rPr>
              <w:t xml:space="preserve">7.56×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65454"/>
                <w:sz w:val="20"/>
                <w:szCs w:val="20"/>
              </w:rPr>
              <w:t xml:space="preserve">(d) Grossed-up consolidated-equivalent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D65454"/>
                <w:sz w:val="20"/>
                <w:szCs w:val="20"/>
              </w:rPr>
              <w:t xml:space="preserve">£4,315m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D65454"/>
                <w:sz w:val="20"/>
                <w:szCs w:val="20"/>
              </w:rPr>
              <w:t xml:space="preserve">£571m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D65454"/>
                <w:sz w:val="20"/>
                <w:szCs w:val="20"/>
              </w:rPr>
              <w:t xml:space="preserve">7.56×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2"/>
          <w:szCs w:val="22"/>
        </w:rPr>
        <w:t xml:space="preserve">Interpretation: (a) and (b) are what Fitch and the market see — 5.89× on the CTA group. (c) and (d) are what credit analysts should see when the capital structure includes shareholder-level debt at a non-100%-owned entity: the grossed-up consolidated-equivalent leverage is 7.56×. That is above the 6.72× of the actual Rev.2 GAF MidCo structure, despite the same £475m debt face value.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Counter-intuitive: GIP-only NAV has a LARGER leverage impact than the actual GAF MidCo bond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Comparing the same £475m of debt placed at two different levels of the Gatwick structure: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Rev.2 — Common GAF MidCo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This scenario — GIP-only NAV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Debt face value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£475m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£475m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Who services the debt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Both shareholders pro-rata (via GAF)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GIP only (from its 49.99%)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Distributions required per £1 of debt service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£1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£2  (grossed up 1 / 49.99%)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Grossed-up consolidated equivalent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£475m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£950m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Consolidated-equivalent leverage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6.72×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7.56×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Rating impact on consolidated group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Fitch: −0.7× leverage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None directly (outside CTA)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Distribution lock-up pressure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Pro-rata</w:t>
            </w:r>
          </w:p>
        </w:tc>
        <w:tc>
          <w:tcPr>
            <w:tcW w:type="dxa" w:w="3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Asymmetric (GIP side under pressure first)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The common MidCo structure (Rev.2) shares the debt service burden pro-rata across shareholders, so there is no gross-up. The GIP-only structure (this scenario) concentrates the burden on a half-owner, so it does get grossed up. A lender who “feels better” seeing debt outside the CTA ring-fence may actually be looking at a structure with MORE distribution-coverage pressure, not less.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8. Visual stack summary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┏━━━━━━━━━━━━━━━━━━━━━━━━━━━━━━━━━━━━━━━━━┓        ┏━━━━━━━━━━━━━━━━━━┓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VINCI (50.01%)                        ┃        ┃ GIP (49.99%)     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  Unencumbered equity          £1,568m ┃        ┃   Net equity      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                                      ┃        ┃            £1,092m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                                      ┃        ┣━━━━━━━━━━━━━━━━━━┫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                                      ┃        ┃ GIP NAV £475m bond ┃  ← parallel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                                      ┃        ┃ (secured on GIP   ┃      claim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┃                                       ┃        ┃  shares only)     ┃      (not in CTA)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┗━━━━━━━━━━━━━━━━━━━━━━━━━━━━━━━━━━━━━━━━━┛        ┗━━━━━━━━━━━━━━━━━━┛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└───────────┬─────────────────────────────┘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▼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┏━━━━━━━━━━━━━━━━━━━━━━━━━━━━━━━━━━┓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┃ GAF MidCo (pass-through, no external debt)  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┣━━━━━━━━━━━━━━━━━━━━━━━━━━━━━━━━━━┫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┃ Ivy Holdco  (BidCo, pass-through)            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┣━━━━━━━━━━━━━━━━━━━━━━━━━━━━━━━━━━┫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┃ OPCO / ISSUER  (CTA ring-fence)              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┃   Class A bonds  £3,365m  Rank 1 (our £125m) ┃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┗━━━━━━━━━━━━━━━━━━━━━━━━━━━━━━━━━━┛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Enterprise Value = £6,500m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9. Our position (unchanged in rank; altered in context)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Priority rank: 1 — first claim on OpCo cashflows, pari-passu with every other Class A bondholder.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Senior LTV: 51.8% (unchanged from Rev.2).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Headline consolidated leverage: 5.89× (unchanged; the GIP NAV facility is outside the CTA group and does not enter the published ratio).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Grossed-up consolidated-equivalent leverage: 7.56×. This is what credit analysts should treat as the “economic” leverage because it reflects the distribution support Gatwick has to provide to keep the GIP NAV facility solvent.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True equity cushion below us: £3,135m in aggregate. The distribution between VINCI (£1,568m unencumbered) and GIP (£1,092m after NAV facility) differs materially from Rev.2.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Change-of-control exposure: elevated. An enforcement event against GIP’s shares could transfer 49.99% of the equity to a different party without touching the CTA — which may nonetheless trigger change-of-control tests in the OpCo finance documents.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Distribution lock-up risk: worse than Rev.2 because the 2× gross-up means Gatwick has to maintain higher distributions to keep the GIP NAV facility serviced, increasing the chance of a covenant trip in stress.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10. Observations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Theme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The £475m is legally outside the CTA group …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At a GIP-specific SPV holding the 49.99% stake. Not an obligation of GAF, Ivy Holdco, the OpCo, or the Issuer. Headline consolidated group leverage stays at 5.89× senior only, which is the number a rating agency like Fitch would publish.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… but economically it has a larger leverage impact than a common MidCo debt of the same size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£475m of debt at GIP HoldCo must be serviced out of distributions from GIP’s 49.99% stake only. To get £1 to GIP, Gatwick has to pay out £2 total (the other half going to VINCI). The grossed-up consolidated-equivalent is £950m — meaning the facility has the same impact on required OpCo distributions as a £950m group-level facility would. Consolidated-equivalent leverage lifts to 7.56×, above even the 6.72× of the actual Rev.2 GAF bond.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Asymmetric shareholder positions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VINCI holds its 50.01% clean; GIP holds its 49.99% encumbered. Net equity: VINCI £1,568m vs GIP £1,092m. Change of control is concentrated on the GIP side — an enforcement event against GIP’s shares could transfer the 49.99% to the NAV lender.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Our £125m senior is structurally unchanged …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Rank 1 position preserved. The £475m is not a priority-waterfall cushion in this structure; it is a separate debt secured on a claim pool we do not touch. Our LTV is still 51.8% and our consolidated leverage is still 5.89×.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… but distribution-coverage risk is meaningfully worse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grossed-up distribution demand means Gatwick has to distribute £2 for every £1 of GIP NAV debt service. This increases the likelihood of an OpCo distribution lock-up being triggered under stress, because distributions have to be higher than they would be under Rev.2. That can affect our coupon timing even though our rank is unchanged.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Risk profile shifts in two directions at once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(a) Priority-stack cushion is unchanged — we still have £3,135m below us. (b) Distribution-coverage cushion is worse because of the 2× gross-up. (c) Change-of-control exposure is higher on GIP’s side because an enforcement is isolated from the CTA. All three need to be visible in the dashboard.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Rating treatment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Fitch rates the OpCo/GF group and (in Rev.2) the GAF MidCo. In this scenario GAF has no debt so the MidCo rating disappears. A separate lender would rate the GIP HoldCo NAV facility on the value and volatility of the GIP stake rather than on CTA group performance.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How the spec must handle it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Capital Stack engine must (i) represent debt at an entity that is outside the consolidated chain — flagged via Tab 7 within_security_perimeter=No — as a parallel claim, AND (ii) compute the grossed-up consolidated-equivalent leverage using the debtor entity’s ownership share. The two leverage lenses (headline CTA-consolidated and grossed-up equivalent) must both be published.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F6FA5"/>
          <w:sz w:val="26"/>
          <w:szCs w:val="26"/>
        </w:rPr>
        <w:t xml:space="preserve">11. Implications for the Capital Stack specification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variant surfaces five requirements that were not visible in Rev.2: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Entities outside the consolidated chain must render in the stack but should not feed the CTA-consolidated leverage metrics. Use Tab 7 within_security_perimeter=No as the flag. The engine should tag any debt on a non-perimeter entity as a “parallel claim” rather than stacking it in the main priority waterfall.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engine must compute a grossed-up consolidated-equivalent leverage whenever shareholder-level debt exists at a &lt;100%-owned entity. Formula: gross_up_factor = 1 / ownership_pct at the debtor entity. Equivalent group debt = face_value × gross_up_factor. Publish BOTH the headline CTA leverage and the grossed-up equivalent — they are both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Shareholder asymmetry must be captured. The VINCI / GIP split is 50.01 / 49.99 in ownership, but their net equity positions differ materially after shareholder-level debt. The Tab 7 entity for GIP Gatwick Holdings should carry its own 49.99% ownership_pct linked to Ivy Holdco, and Tab 2 should reference that entity as the entity_level for the NAV facility.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Change-of-control risk becomes a first-class output. When shareholder-level debt exists on part of the ownership, the engine should compute and surface the change-of-control coverage — i.e. the LTV on the pledged shareholding (30.3% here). A spike in that coverage is a lead indicator of partial change-of-control before any operating distress.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stack UI needs a “parallel claim” visual treatment. In Rev.2 the stack is linear. In this scenario it branches on the shareholder row — VINCI’s stake runs clean while GIP’s stake carries its own debt, with a visible 2× gearing factor label.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2"/>
          <w:szCs w:val="22"/>
        </w:rPr>
        <w:t xml:space="preserve">Once the spec handles this scenario cleanly — including the grossed-up leverage lens — the Capital Stack feature is complete for the realistic range of infrastructure structures: single-level, multi-level consolidated (Rev.2), and shareholder-level parallel with gross-up (this variant).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6FA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6FA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Gatwick Capital Stack — GIP-Secured MidCo Scenario</dc:title>
  <dc:creator>Sesame Street</dc:creator>
  <dc:description>Worked example: MidCo debt secured on GIP's 49.99% shareholding only.</dc:description>
  <cp:lastModifiedBy>Un-named</cp:lastModifiedBy>
  <cp:revision>1</cp:revision>
  <dcterms:created xsi:type="dcterms:W3CDTF">2026-04-14T19:39:38.891Z</dcterms:created>
  <dcterms:modified xsi:type="dcterms:W3CDTF">2026-04-14T19:39:38.891Z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