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rFonts w:ascii="Arial" w:cs="Arial" w:eastAsia="Arial" w:hAnsi="Arial"/>
          <w:b/>
          <w:bCs/>
          <w:color w:val="1F6FA5"/>
          <w:sz w:val="72"/>
          <w:szCs w:val="72"/>
        </w:rPr>
        <w:t xml:space="preserve">Sesame Street</w:t>
      </w:r>
    </w:p>
    <w:p>
      <w:pPr>
        <w:spacing w:after="200"/>
        <w:jc w:val="center"/>
      </w:pPr>
      <w:r>
        <w:rPr>
          <w:rFonts w:ascii="Arial" w:cs="Arial" w:eastAsia="Arial" w:hAnsi="Arial"/>
          <w:color w:val="263849"/>
          <w:sz w:val="32"/>
          <w:szCs w:val="32"/>
        </w:rPr>
        <w:t xml:space="preserve">Private Credit Monitoring Platform</w:t>
      </w:r>
    </w:p>
    <w:p>
      <w:pPr>
        <w:spacing w:after="1600"/>
        <w:jc w:val="center"/>
      </w:pPr>
      <w:r>
        <w:rPr>
          <w:rFonts w:ascii="Arial" w:cs="Arial" w:eastAsia="Arial" w:hAnsi="Arial"/>
          <w:i/>
          <w:iCs/>
          <w:color w:val="56718A"/>
          <w:sz w:val="36"/>
          <w:szCs w:val="36"/>
        </w:rPr>
        <w:t xml:space="preserve">Integrated System Specification</w:t>
      </w:r>
    </w:p>
    <w:p>
      <w:pPr>
        <w:spacing w:after="200"/>
        <w:jc w:val="center"/>
      </w:pPr>
      <w:r>
        <w:rPr>
          <w:rFonts w:ascii="Arial" w:cs="Arial" w:eastAsia="Arial" w:hAnsi="Arial"/>
          <w:color w:val="56718A"/>
          <w:sz w:val="22"/>
          <w:szCs w:val="22"/>
        </w:rPr>
        <w:t xml:space="preserve">Single consolidated reference — covers every aspect of the platform</w:t>
      </w:r>
    </w:p>
    <w:p>
      <w:pPr>
        <w:spacing w:after="80"/>
        <w:jc w:val="center"/>
      </w:pPr>
      <w:r>
        <w:rPr>
          <w:rFonts w:ascii="Arial" w:cs="Arial" w:eastAsia="Arial" w:hAnsi="Arial"/>
          <w:i/>
          <w:iCs/>
          <w:color w:val="56718A"/>
          <w:sz w:val="20"/>
          <w:szCs w:val="20"/>
        </w:rPr>
        <w:t xml:space="preserve">Document Integrated of 8  ·  Version 1.0  ·  April 2026</w:t>
      </w:r>
    </w:p>
    <w:p>
      <w:pPr>
        <w:pStyle w:val="Heading1"/>
        <w:pageBreakBefore/>
        <w:spacing w:after="180" w:before="240"/>
      </w:pPr>
      <w:r>
        <w:rPr>
          <w:rFonts w:ascii="Arial" w:cs="Arial" w:eastAsia="Arial" w:hAnsi="Arial"/>
          <w:b/>
          <w:bCs/>
          <w:color w:val="1F6FA5"/>
          <w:sz w:val="40"/>
          <w:szCs w:val="40"/>
        </w:rPr>
        <w:t xml:space="preserve">Preface</w:t>
      </w:r>
    </w:p>
    <w:p>
      <w:pPr>
        <w:spacing w:after="140" w:line="280"/>
        <w:jc w:val="both"/>
      </w:pPr>
      <w:r>
        <w:rPr>
          <w:rFonts w:ascii="Arial" w:cs="Arial" w:eastAsia="Arial" w:hAnsi="Arial"/>
          <w:sz w:val="22"/>
          <w:szCs w:val="22"/>
        </w:rPr>
        <w:t xml:space="preserve">This document is the single consolidated specification for the Sesame Street private credit monitoring platform. It consolidates — and supersedes for rebuild purposes — the 11 prior specification documents (the requirements overview, the 8-document rebuild pack, and the three register / template annexes).</w:t>
      </w:r>
    </w:p>
    <w:p>
      <w:pPr>
        <w:spacing w:after="140" w:line="280"/>
        <w:jc w:val="both"/>
      </w:pPr>
      <w:r>
        <w:rPr>
          <w:rFonts w:ascii="Arial" w:cs="Arial" w:eastAsia="Arial" w:hAnsi="Arial"/>
          <w:sz w:val="22"/>
          <w:szCs w:val="22"/>
        </w:rPr>
        <w:t xml:space="preserve">The intent is that a technical team with no subject-matter input from the platform's originators should be able to reconstruct the system from this document plus the committed code in the repository. It is written to be read linearly by a new engineer and also used as a reference by an analyst or investor reviewing what the platform does.</w:t>
      </w:r>
    </w:p>
    <w:p>
      <w:pPr>
        <w:pStyle w:val="Heading2"/>
        <w:spacing w:after="120" w:before="240"/>
      </w:pPr>
      <w:r>
        <w:rPr>
          <w:rFonts w:ascii="Arial" w:cs="Arial" w:eastAsia="Arial" w:hAnsi="Arial"/>
          <w:b/>
          <w:bCs/>
          <w:color w:val="263849"/>
          <w:sz w:val="30"/>
          <w:szCs w:val="30"/>
        </w:rPr>
        <w:t xml:space="preserve">How to read this document</w:t>
      </w:r>
    </w:p>
    <w:p>
      <w:pPr>
        <w:pStyle w:val="ListParagraph"/>
        <w:numPr>
          <w:ilvl w:val="0"/>
          <w:numId w:val="2"/>
        </w:numPr>
        <w:spacing w:after="60"/>
      </w:pPr>
      <w:r>
        <w:rPr>
          <w:rFonts w:ascii="Arial" w:cs="Arial" w:eastAsia="Arial" w:hAnsi="Arial"/>
          <w:b/>
          <w:bCs/>
          <w:sz w:val="22"/>
          <w:szCs w:val="22"/>
        </w:rPr>
        <w:t xml:space="preserve">Blue callouts: </w:t>
      </w:r>
      <w:r>
        <w:rPr>
          <w:rFonts w:ascii="Arial" w:cs="Arial" w:eastAsia="Arial" w:hAnsi="Arial"/>
          <w:sz w:val="22"/>
          <w:szCs w:val="22"/>
        </w:rPr>
        <w:t xml:space="preserve">non-obvious behaviour, tips, or design rationale.</w:t>
      </w:r>
    </w:p>
    <w:p>
      <w:pPr>
        <w:pStyle w:val="ListParagraph"/>
        <w:numPr>
          <w:ilvl w:val="0"/>
          <w:numId w:val="2"/>
        </w:numPr>
        <w:spacing w:after="60"/>
      </w:pPr>
      <w:r>
        <w:rPr>
          <w:rFonts w:ascii="Arial" w:cs="Arial" w:eastAsia="Arial" w:hAnsi="Arial"/>
          <w:b/>
          <w:bCs/>
          <w:sz w:val="22"/>
          <w:szCs w:val="22"/>
        </w:rPr>
        <w:t xml:space="preserve">Red TBD boxes: </w:t>
      </w:r>
      <w:r>
        <w:rPr>
          <w:rFonts w:ascii="Arial" w:cs="Arial" w:eastAsia="Arial" w:hAnsi="Arial"/>
          <w:sz w:val="22"/>
          <w:szCs w:val="22"/>
        </w:rPr>
        <w:t xml:space="preserve">items that are OUTSTANDING — behaviour that has been agreed but not yet implemented, or formulas that are not yet pinned down. A rebuild should carry these forward as open items.</w:t>
      </w:r>
    </w:p>
    <w:p>
      <w:pPr>
        <w:pStyle w:val="ListParagraph"/>
        <w:numPr>
          <w:ilvl w:val="0"/>
          <w:numId w:val="2"/>
        </w:numPr>
        <w:spacing w:after="60"/>
      </w:pPr>
      <w:r>
        <w:rPr>
          <w:rFonts w:ascii="Arial" w:cs="Arial" w:eastAsia="Arial" w:hAnsi="Arial"/>
          <w:b/>
          <w:bCs/>
          <w:sz w:val="22"/>
          <w:szCs w:val="22"/>
        </w:rPr>
        <w:t xml:space="preserve">Amber ASSUMPTION boxes: </w:t>
      </w:r>
      <w:r>
        <w:rPr>
          <w:rFonts w:ascii="Arial" w:cs="Arial" w:eastAsia="Arial" w:hAnsi="Arial"/>
          <w:sz w:val="22"/>
          <w:szCs w:val="22"/>
        </w:rPr>
        <w:t xml:space="preserve">points where Claude (the drafting agent) has made a judgement call in the absence of code-pinned behaviour. Review each and accept or amend.</w:t>
      </w:r>
    </w:p>
    <w:p>
      <w:pPr>
        <w:pStyle w:val="ListParagraph"/>
        <w:numPr>
          <w:ilvl w:val="0"/>
          <w:numId w:val="2"/>
        </w:numPr>
        <w:spacing w:after="60"/>
      </w:pPr>
      <w:r>
        <w:rPr>
          <w:rFonts w:ascii="Arial" w:cs="Arial" w:eastAsia="Arial" w:hAnsi="Arial"/>
          <w:b/>
          <w:bCs/>
          <w:sz w:val="22"/>
          <w:szCs w:val="22"/>
        </w:rPr>
        <w:t xml:space="preserve">Code blocks: </w:t>
      </w:r>
      <w:r>
        <w:rPr>
          <w:rFonts w:ascii="Arial" w:cs="Arial" w:eastAsia="Arial" w:hAnsi="Arial"/>
          <w:sz w:val="22"/>
          <w:szCs w:val="22"/>
        </w:rPr>
        <w:t xml:space="preserve">either SQL, JavaScript, Python, or shell commands, reproduced verbatim from the codebase.</w:t>
      </w:r>
    </w:p>
    <w:p>
      <w:pPr>
        <w:pStyle w:val="ListParagraph"/>
        <w:numPr>
          <w:ilvl w:val="0"/>
          <w:numId w:val="2"/>
        </w:numPr>
        <w:spacing w:after="60"/>
      </w:pPr>
      <w:r>
        <w:rPr>
          <w:rFonts w:ascii="Arial" w:cs="Arial" w:eastAsia="Arial" w:hAnsi="Arial"/>
          <w:b/>
          <w:bCs/>
          <w:sz w:val="22"/>
          <w:szCs w:val="22"/>
        </w:rPr>
        <w:t xml:space="preserve">Tables: </w:t>
      </w:r>
      <w:r>
        <w:rPr>
          <w:rFonts w:ascii="Arial" w:cs="Arial" w:eastAsia="Arial" w:hAnsi="Arial"/>
          <w:sz w:val="22"/>
          <w:szCs w:val="22"/>
        </w:rPr>
        <w:t xml:space="preserve">reference material — column lists, thresholds, endpoints, ratios.</w:t>
      </w:r>
    </w:p>
    <w:p>
      <w:pPr>
        <w:pStyle w:val="Heading2"/>
        <w:spacing w:after="120" w:before="240"/>
      </w:pPr>
      <w:r>
        <w:rPr>
          <w:rFonts w:ascii="Arial" w:cs="Arial" w:eastAsia="Arial" w:hAnsi="Arial"/>
          <w:b/>
          <w:bCs/>
          <w:color w:val="263849"/>
          <w:sz w:val="30"/>
          <w:szCs w:val="30"/>
        </w:rPr>
        <w:t xml:space="preserve">Document structure</w:t>
      </w:r>
    </w:p>
    <w:p>
      <w:pPr>
        <w:spacing w:after="140" w:line="280"/>
        <w:jc w:val="both"/>
      </w:pPr>
      <w:r>
        <w:rPr>
          <w:rFonts w:ascii="Arial" w:cs="Arial" w:eastAsia="Arial" w:hAnsi="Arial"/>
          <w:sz w:val="22"/>
          <w:szCs w:val="22"/>
        </w:rPr>
        <w:t xml:space="preserve">The document is organised in 14 parts plus a glossary and three appendices:</w:t>
      </w:r>
    </w:p>
    <w:p>
      <w:pPr>
        <w:pStyle w:val="ListParagraph"/>
        <w:numPr>
          <w:ilvl w:val="0"/>
          <w:numId w:val="2"/>
        </w:numPr>
        <w:spacing w:after="60"/>
      </w:pPr>
      <w:r>
        <w:rPr>
          <w:rFonts w:ascii="Arial" w:cs="Arial" w:eastAsia="Arial" w:hAnsi="Arial"/>
          <w:sz w:val="22"/>
          <w:szCs w:val="22"/>
        </w:rPr>
        <w:t xml:space="preserve">Glossary — credit and finance terminology used throughout.</w:t>
      </w:r>
    </w:p>
    <w:p>
      <w:pPr>
        <w:pStyle w:val="ListParagraph"/>
        <w:numPr>
          <w:ilvl w:val="0"/>
          <w:numId w:val="2"/>
        </w:numPr>
        <w:spacing w:after="60"/>
      </w:pPr>
      <w:r>
        <w:rPr>
          <w:rFonts w:ascii="Arial" w:cs="Arial" w:eastAsia="Arial" w:hAnsi="Arial"/>
          <w:sz w:val="22"/>
          <w:szCs w:val="22"/>
        </w:rPr>
        <w:t xml:space="preserve">Part I — System at a glance.</w:t>
      </w:r>
    </w:p>
    <w:p>
      <w:pPr>
        <w:pStyle w:val="ListParagraph"/>
        <w:numPr>
          <w:ilvl w:val="0"/>
          <w:numId w:val="2"/>
        </w:numPr>
        <w:spacing w:after="60"/>
      </w:pPr>
      <w:r>
        <w:rPr>
          <w:rFonts w:ascii="Arial" w:cs="Arial" w:eastAsia="Arial" w:hAnsi="Arial"/>
          <w:sz w:val="22"/>
          <w:szCs w:val="22"/>
        </w:rPr>
        <w:t xml:space="preserve">Part II — Data model (tables, columns, relationships).</w:t>
      </w:r>
    </w:p>
    <w:p>
      <w:pPr>
        <w:pStyle w:val="ListParagraph"/>
        <w:numPr>
          <w:ilvl w:val="0"/>
          <w:numId w:val="2"/>
        </w:numPr>
        <w:spacing w:after="60"/>
      </w:pPr>
      <w:r>
        <w:rPr>
          <w:rFonts w:ascii="Arial" w:cs="Arial" w:eastAsia="Arial" w:hAnsi="Arial"/>
          <w:sz w:val="22"/>
          <w:szCs w:val="22"/>
        </w:rPr>
        <w:t xml:space="preserve">Part III — Financial template (generic cashflow model plus sector sub-templates).</w:t>
      </w:r>
    </w:p>
    <w:p>
      <w:pPr>
        <w:pStyle w:val="ListParagraph"/>
        <w:numPr>
          <w:ilvl w:val="0"/>
          <w:numId w:val="2"/>
        </w:numPr>
        <w:spacing w:after="60"/>
      </w:pPr>
      <w:r>
        <w:rPr>
          <w:rFonts w:ascii="Arial" w:cs="Arial" w:eastAsia="Arial" w:hAnsi="Arial"/>
          <w:sz w:val="22"/>
          <w:szCs w:val="22"/>
        </w:rPr>
        <w:t xml:space="preserve">Part IV — Covenant framework.</w:t>
      </w:r>
    </w:p>
    <w:p>
      <w:pPr>
        <w:pStyle w:val="ListParagraph"/>
        <w:numPr>
          <w:ilvl w:val="0"/>
          <w:numId w:val="2"/>
        </w:numPr>
        <w:spacing w:after="60"/>
      </w:pPr>
      <w:r>
        <w:rPr>
          <w:rFonts w:ascii="Arial" w:cs="Arial" w:eastAsia="Arial" w:hAnsi="Arial"/>
          <w:sz w:val="22"/>
          <w:szCs w:val="22"/>
        </w:rPr>
        <w:t xml:space="preserve">Part V — Risk framework.</w:t>
      </w:r>
    </w:p>
    <w:p>
      <w:pPr>
        <w:pStyle w:val="ListParagraph"/>
        <w:numPr>
          <w:ilvl w:val="0"/>
          <w:numId w:val="2"/>
        </w:numPr>
        <w:spacing w:after="60"/>
      </w:pPr>
      <w:r>
        <w:rPr>
          <w:rFonts w:ascii="Arial" w:cs="Arial" w:eastAsia="Arial" w:hAnsi="Arial"/>
          <w:sz w:val="22"/>
          <w:szCs w:val="22"/>
        </w:rPr>
        <w:t xml:space="preserve">Part VI — Forecasts and scenarios.</w:t>
      </w:r>
    </w:p>
    <w:p>
      <w:pPr>
        <w:pStyle w:val="ListParagraph"/>
        <w:numPr>
          <w:ilvl w:val="0"/>
          <w:numId w:val="2"/>
        </w:numPr>
        <w:spacing w:after="60"/>
      </w:pPr>
      <w:r>
        <w:rPr>
          <w:rFonts w:ascii="Arial" w:cs="Arial" w:eastAsia="Arial" w:hAnsi="Arial"/>
          <w:sz w:val="22"/>
          <w:szCs w:val="22"/>
        </w:rPr>
        <w:t xml:space="preserve">Part VII — Capital structure and capital stack.</w:t>
      </w:r>
    </w:p>
    <w:p>
      <w:pPr>
        <w:pStyle w:val="ListParagraph"/>
        <w:numPr>
          <w:ilvl w:val="0"/>
          <w:numId w:val="2"/>
        </w:numPr>
        <w:spacing w:after="60"/>
      </w:pPr>
      <w:r>
        <w:rPr>
          <w:rFonts w:ascii="Arial" w:cs="Arial" w:eastAsia="Arial" w:hAnsi="Arial"/>
          <w:sz w:val="22"/>
          <w:szCs w:val="22"/>
        </w:rPr>
        <w:t xml:space="preserve">Part VIII — Deterministic engines.</w:t>
      </w:r>
    </w:p>
    <w:p>
      <w:pPr>
        <w:pStyle w:val="ListParagraph"/>
        <w:numPr>
          <w:ilvl w:val="0"/>
          <w:numId w:val="2"/>
        </w:numPr>
        <w:spacing w:after="60"/>
      </w:pPr>
      <w:r>
        <w:rPr>
          <w:rFonts w:ascii="Arial" w:cs="Arial" w:eastAsia="Arial" w:hAnsi="Arial"/>
          <w:sz w:val="22"/>
          <w:szCs w:val="22"/>
        </w:rPr>
        <w:t xml:space="preserve">Part IX — Document intake and audit trail.</w:t>
      </w:r>
    </w:p>
    <w:p>
      <w:pPr>
        <w:pStyle w:val="ListParagraph"/>
        <w:numPr>
          <w:ilvl w:val="0"/>
          <w:numId w:val="2"/>
        </w:numPr>
        <w:spacing w:after="60"/>
      </w:pPr>
      <w:r>
        <w:rPr>
          <w:rFonts w:ascii="Arial" w:cs="Arial" w:eastAsia="Arial" w:hAnsi="Arial"/>
          <w:sz w:val="22"/>
          <w:szCs w:val="22"/>
        </w:rPr>
        <w:t xml:space="preserve">Part X — TopSheet Excel template.</w:t>
      </w:r>
    </w:p>
    <w:p>
      <w:pPr>
        <w:pStyle w:val="ListParagraph"/>
        <w:numPr>
          <w:ilvl w:val="0"/>
          <w:numId w:val="2"/>
        </w:numPr>
        <w:spacing w:after="60"/>
      </w:pPr>
      <w:r>
        <w:rPr>
          <w:rFonts w:ascii="Arial" w:cs="Arial" w:eastAsia="Arial" w:hAnsi="Arial"/>
          <w:sz w:val="22"/>
          <w:szCs w:val="22"/>
        </w:rPr>
        <w:t xml:space="preserve">Part XI — API surface.</w:t>
      </w:r>
    </w:p>
    <w:p>
      <w:pPr>
        <w:pStyle w:val="ListParagraph"/>
        <w:numPr>
          <w:ilvl w:val="0"/>
          <w:numId w:val="2"/>
        </w:numPr>
        <w:spacing w:after="60"/>
      </w:pPr>
      <w:r>
        <w:rPr>
          <w:rFonts w:ascii="Arial" w:cs="Arial" w:eastAsia="Arial" w:hAnsi="Arial"/>
          <w:sz w:val="22"/>
          <w:szCs w:val="22"/>
        </w:rPr>
        <w:t xml:space="preserve">Part XII — UI specification.</w:t>
      </w:r>
    </w:p>
    <w:p>
      <w:pPr>
        <w:pStyle w:val="ListParagraph"/>
        <w:numPr>
          <w:ilvl w:val="0"/>
          <w:numId w:val="2"/>
        </w:numPr>
        <w:spacing w:after="60"/>
      </w:pPr>
      <w:r>
        <w:rPr>
          <w:rFonts w:ascii="Arial" w:cs="Arial" w:eastAsia="Arial" w:hAnsi="Arial"/>
          <w:sz w:val="22"/>
          <w:szCs w:val="22"/>
        </w:rPr>
        <w:t xml:space="preserve">Part XIII — Infrastructure and deployment.</w:t>
      </w:r>
    </w:p>
    <w:p>
      <w:pPr>
        <w:pStyle w:val="ListParagraph"/>
        <w:numPr>
          <w:ilvl w:val="0"/>
          <w:numId w:val="2"/>
        </w:numPr>
        <w:spacing w:after="60"/>
      </w:pPr>
      <w:r>
        <w:rPr>
          <w:rFonts w:ascii="Arial" w:cs="Arial" w:eastAsia="Arial" w:hAnsi="Arial"/>
          <w:sz w:val="22"/>
          <w:szCs w:val="22"/>
        </w:rPr>
        <w:t xml:space="preserve">Part XIV — Seed data and demo portfolio.</w:t>
      </w:r>
    </w:p>
    <w:p>
      <w:pPr>
        <w:pStyle w:val="ListParagraph"/>
        <w:numPr>
          <w:ilvl w:val="0"/>
          <w:numId w:val="2"/>
        </w:numPr>
        <w:spacing w:after="60"/>
      </w:pPr>
      <w:r>
        <w:rPr>
          <w:rFonts w:ascii="Arial" w:cs="Arial" w:eastAsia="Arial" w:hAnsi="Arial"/>
          <w:sz w:val="22"/>
          <w:szCs w:val="22"/>
        </w:rPr>
        <w:t xml:space="preserve">Appendix A — Moody's ratio definitions (embedded).</w:t>
      </w:r>
    </w:p>
    <w:p>
      <w:pPr>
        <w:pStyle w:val="ListParagraph"/>
        <w:numPr>
          <w:ilvl w:val="0"/>
          <w:numId w:val="2"/>
        </w:numPr>
        <w:spacing w:after="60"/>
      </w:pPr>
      <w:r>
        <w:rPr>
          <w:rFonts w:ascii="Arial" w:cs="Arial" w:eastAsia="Arial" w:hAnsi="Arial"/>
          <w:sz w:val="22"/>
          <w:szCs w:val="22"/>
        </w:rPr>
        <w:t xml:space="preserve">Appendix B — Formulas and rounding conventions.</w:t>
      </w:r>
    </w:p>
    <w:p>
      <w:pPr>
        <w:pStyle w:val="ListParagraph"/>
        <w:numPr>
          <w:ilvl w:val="0"/>
          <w:numId w:val="2"/>
        </w:numPr>
        <w:spacing w:after="60"/>
      </w:pPr>
      <w:r>
        <w:rPr>
          <w:rFonts w:ascii="Arial" w:cs="Arial" w:eastAsia="Arial" w:hAnsi="Arial"/>
          <w:sz w:val="22"/>
          <w:szCs w:val="22"/>
        </w:rPr>
        <w:t xml:space="preserve">Appendix C — Event and activity type registry.</w:t>
      </w:r>
    </w:p>
    <w:p>
      <w:pPr>
        <w:pStyle w:val="Heading2"/>
        <w:spacing w:after="120" w:before="240"/>
      </w:pPr>
      <w:r>
        <w:rPr>
          <w:rFonts w:ascii="Arial" w:cs="Arial" w:eastAsia="Arial" w:hAnsi="Arial"/>
          <w:b/>
          <w:bCs/>
          <w:color w:val="263849"/>
          <w:sz w:val="30"/>
          <w:szCs w:val="30"/>
        </w:rPr>
        <w:t xml:space="preserve">Versioning</w:t>
      </w:r>
    </w:p>
    <w:p>
      <w:pPr>
        <w:spacing w:after="140" w:line="280"/>
        <w:jc w:val="both"/>
      </w:pPr>
      <w:r>
        <w:rPr>
          <w:rFonts w:ascii="Arial" w:cs="Arial" w:eastAsia="Arial" w:hAnsi="Arial"/>
          <w:sz w:val="22"/>
          <w:szCs w:val="22"/>
        </w:rPr>
        <w:t xml:space="preserve">Version 1.0 — first integrated release. Future updates will be additive; section numbers are stable.</w:t>
      </w:r>
    </w:p>
    <w:p>
      <w:pPr>
        <w:pStyle w:val="Heading1"/>
        <w:pageBreakBefore/>
        <w:spacing w:after="180" w:before="240"/>
      </w:pPr>
      <w:r>
        <w:rPr>
          <w:rFonts w:ascii="Arial" w:cs="Arial" w:eastAsia="Arial" w:hAnsi="Arial"/>
          <w:b/>
          <w:bCs/>
          <w:color w:val="1F6FA5"/>
          <w:sz w:val="40"/>
          <w:szCs w:val="40"/>
        </w:rPr>
        <w:t xml:space="preserve">Glossary</w:t>
      </w:r>
    </w:p>
    <w:p>
      <w:pPr>
        <w:spacing w:after="140" w:line="280"/>
        <w:jc w:val="both"/>
      </w:pPr>
      <w:r>
        <w:rPr>
          <w:rFonts w:ascii="Arial" w:cs="Arial" w:eastAsia="Arial" w:hAnsi="Arial"/>
          <w:sz w:val="22"/>
          <w:szCs w:val="22"/>
        </w:rPr>
        <w:t xml:space="preserve">Every term below is defined once here and used consistently throughout the document. Where a term has an industry-standard meaning, that meaning is used; where the platform uses a term in a specific narrow sense, the narrower sense is given.</w:t>
      </w:r>
    </w:p>
    <w:p>
      <w:pPr>
        <w:pStyle w:val="Heading2"/>
        <w:spacing w:after="120" w:before="240"/>
      </w:pPr>
      <w:r>
        <w:rPr>
          <w:rFonts w:ascii="Arial" w:cs="Arial" w:eastAsia="Arial" w:hAnsi="Arial"/>
          <w:b/>
          <w:bCs/>
          <w:color w:val="263849"/>
          <w:sz w:val="30"/>
          <w:szCs w:val="30"/>
        </w:rPr>
        <w:t xml:space="preserve">Credit structure and pricing</w:t>
      </w:r>
    </w:p>
    <w:p>
      <w:pPr>
        <w:spacing w:after="40" w:before="120"/>
      </w:pPr>
      <w:r>
        <w:rPr>
          <w:rFonts w:ascii="Arial" w:cs="Arial" w:eastAsia="Arial" w:hAnsi="Arial"/>
          <w:b/>
          <w:bCs/>
          <w:color w:val="1F6FA5"/>
          <w:sz w:val="22"/>
          <w:szCs w:val="22"/>
        </w:rPr>
        <w:t xml:space="preserve">Commitment</w:t>
      </w:r>
    </w:p>
    <w:p>
      <w:pPr>
        <w:spacing w:after="120" w:line="280"/>
        <w:ind w:left="280"/>
        <w:jc w:val="both"/>
      </w:pPr>
      <w:r>
        <w:rPr>
          <w:rFonts w:ascii="Arial" w:cs="Arial" w:eastAsia="Arial" w:hAnsi="Arial"/>
          <w:sz w:val="22"/>
          <w:szCs w:val="22"/>
        </w:rPr>
        <w:t xml:space="preserve">The maximum principal amount a lender has agreed to lend under a facility. Distinct from drawn amount.</w:t>
      </w:r>
    </w:p>
    <w:p>
      <w:pPr>
        <w:spacing w:after="40" w:before="120"/>
      </w:pPr>
      <w:r>
        <w:rPr>
          <w:rFonts w:ascii="Arial" w:cs="Arial" w:eastAsia="Arial" w:hAnsi="Arial"/>
          <w:b/>
          <w:bCs/>
          <w:color w:val="1F6FA5"/>
          <w:sz w:val="22"/>
          <w:szCs w:val="22"/>
        </w:rPr>
        <w:t xml:space="preserve">Drawn amount</w:t>
      </w:r>
    </w:p>
    <w:p>
      <w:pPr>
        <w:spacing w:after="120" w:line="280"/>
        <w:ind w:left="280"/>
        <w:jc w:val="both"/>
      </w:pPr>
      <w:r>
        <w:rPr>
          <w:rFonts w:ascii="Arial" w:cs="Arial" w:eastAsia="Arial" w:hAnsi="Arial"/>
          <w:sz w:val="22"/>
          <w:szCs w:val="22"/>
        </w:rPr>
        <w:t xml:space="preserve">The principal currently advanced under a facility. Drawn ≤ commitment. Drawn is what is exposed; commitment is what could be exposed.</w:t>
      </w:r>
    </w:p>
    <w:p>
      <w:pPr>
        <w:spacing w:after="40" w:before="120"/>
      </w:pPr>
      <w:r>
        <w:rPr>
          <w:rFonts w:ascii="Arial" w:cs="Arial" w:eastAsia="Arial" w:hAnsi="Arial"/>
          <w:b/>
          <w:bCs/>
          <w:color w:val="1F6FA5"/>
          <w:sz w:val="22"/>
          <w:szCs w:val="22"/>
        </w:rPr>
        <w:t xml:space="preserve">Undrawn amount</w:t>
      </w:r>
    </w:p>
    <w:p>
      <w:pPr>
        <w:spacing w:after="120" w:line="280"/>
        <w:ind w:left="280"/>
        <w:jc w:val="both"/>
      </w:pPr>
      <w:r>
        <w:rPr>
          <w:rFonts w:ascii="Arial" w:cs="Arial" w:eastAsia="Arial" w:hAnsi="Arial"/>
          <w:sz w:val="22"/>
          <w:szCs w:val="22"/>
        </w:rPr>
        <w:t xml:space="preserve">Commitment minus drawn. Carries commitment-fee cost and liquidity risk for the lender.</w:t>
      </w:r>
    </w:p>
    <w:p>
      <w:pPr>
        <w:spacing w:after="40" w:before="120"/>
      </w:pPr>
      <w:r>
        <w:rPr>
          <w:rFonts w:ascii="Arial" w:cs="Arial" w:eastAsia="Arial" w:hAnsi="Arial"/>
          <w:b/>
          <w:bCs/>
          <w:color w:val="1F6FA5"/>
          <w:sz w:val="22"/>
          <w:szCs w:val="22"/>
        </w:rPr>
        <w:t xml:space="preserve">Coupon (coupon_bps)</w:t>
      </w:r>
    </w:p>
    <w:p>
      <w:pPr>
        <w:spacing w:after="120" w:line="280"/>
        <w:ind w:left="280"/>
        <w:jc w:val="both"/>
      </w:pPr>
      <w:r>
        <w:rPr>
          <w:rFonts w:ascii="Arial" w:cs="Arial" w:eastAsia="Arial" w:hAnsi="Arial"/>
          <w:sz w:val="22"/>
          <w:szCs w:val="22"/>
        </w:rPr>
        <w:t xml:space="preserve">The all-in contractual interest rate on a fixed-rate bond or note, expressed in basis points per annum on the drawn principal.</w:t>
      </w:r>
    </w:p>
    <w:p>
      <w:pPr>
        <w:spacing w:after="40" w:before="120"/>
      </w:pPr>
      <w:r>
        <w:rPr>
          <w:rFonts w:ascii="Arial" w:cs="Arial" w:eastAsia="Arial" w:hAnsi="Arial"/>
          <w:b/>
          <w:bCs/>
          <w:color w:val="1F6FA5"/>
          <w:sz w:val="22"/>
          <w:szCs w:val="22"/>
        </w:rPr>
        <w:t xml:space="preserve">Base rate</w:t>
      </w:r>
    </w:p>
    <w:p>
      <w:pPr>
        <w:spacing w:after="120" w:line="280"/>
        <w:ind w:left="280"/>
        <w:jc w:val="both"/>
      </w:pPr>
      <w:r>
        <w:rPr>
          <w:rFonts w:ascii="Arial" w:cs="Arial" w:eastAsia="Arial" w:hAnsi="Arial"/>
          <w:sz w:val="22"/>
          <w:szCs w:val="22"/>
        </w:rPr>
        <w:t xml:space="preserve">The floating-rate reference index (e.g. SONIA, SOFR, €STR) to which a spread is added. For fixed-rate instruments, base_rate_at_issuance_bps captures the reference curve value at issue date for decomposition purposes.</w:t>
      </w:r>
    </w:p>
    <w:p>
      <w:pPr>
        <w:spacing w:after="40" w:before="120"/>
      </w:pPr>
      <w:r>
        <w:rPr>
          <w:rFonts w:ascii="Arial" w:cs="Arial" w:eastAsia="Arial" w:hAnsi="Arial"/>
          <w:b/>
          <w:bCs/>
          <w:color w:val="1F6FA5"/>
          <w:sz w:val="22"/>
          <w:szCs w:val="22"/>
        </w:rPr>
        <w:t xml:space="preserve">Spread (spread_bps)</w:t>
      </w:r>
    </w:p>
    <w:p>
      <w:pPr>
        <w:spacing w:after="120" w:line="280"/>
        <w:ind w:left="280"/>
        <w:jc w:val="both"/>
      </w:pPr>
      <w:r>
        <w:rPr>
          <w:rFonts w:ascii="Arial" w:cs="Arial" w:eastAsia="Arial" w:hAnsi="Arial"/>
          <w:sz w:val="22"/>
          <w:szCs w:val="22"/>
        </w:rPr>
        <w:t xml:space="preserve">The contractual margin over the base rate, in basis points. For fixed-rate instruments, the implied spread at issuance is coupon minus base-rate-at-issuance.</w:t>
      </w:r>
    </w:p>
    <w:p>
      <w:pPr>
        <w:spacing w:after="40" w:before="120"/>
      </w:pPr>
      <w:r>
        <w:rPr>
          <w:rFonts w:ascii="Arial" w:cs="Arial" w:eastAsia="Arial" w:hAnsi="Arial"/>
          <w:b/>
          <w:bCs/>
          <w:color w:val="1F6FA5"/>
          <w:sz w:val="22"/>
          <w:szCs w:val="22"/>
        </w:rPr>
        <w:t xml:space="preserve">Benchmark spread (benchmark_spread_bps)</w:t>
      </w:r>
    </w:p>
    <w:p>
      <w:pPr>
        <w:spacing w:after="120" w:line="280"/>
        <w:ind w:left="280"/>
        <w:jc w:val="both"/>
      </w:pPr>
      <w:r>
        <w:rPr>
          <w:rFonts w:ascii="Arial" w:cs="Arial" w:eastAsia="Arial" w:hAnsi="Arial"/>
          <w:sz w:val="22"/>
          <w:szCs w:val="22"/>
        </w:rPr>
        <w:t xml:space="preserve">The observed public-market spread for a comparable risk (tenor, rating, sector) at issuance. Used to isolate the private-debt premium.</w:t>
      </w:r>
    </w:p>
    <w:p>
      <w:pPr>
        <w:spacing w:after="40" w:before="120"/>
      </w:pPr>
      <w:r>
        <w:rPr>
          <w:rFonts w:ascii="Arial" w:cs="Arial" w:eastAsia="Arial" w:hAnsi="Arial"/>
          <w:b/>
          <w:bCs/>
          <w:color w:val="1F6FA5"/>
          <w:sz w:val="22"/>
          <w:szCs w:val="22"/>
        </w:rPr>
        <w:t xml:space="preserve">Private debt premium (private_debt_premium_bps)</w:t>
      </w:r>
    </w:p>
    <w:p>
      <w:pPr>
        <w:spacing w:after="120" w:line="280"/>
        <w:ind w:left="280"/>
        <w:jc w:val="both"/>
      </w:pPr>
      <w:r>
        <w:rPr>
          <w:rFonts w:ascii="Arial" w:cs="Arial" w:eastAsia="Arial" w:hAnsi="Arial"/>
          <w:sz w:val="22"/>
          <w:szCs w:val="22"/>
        </w:rPr>
        <w:t xml:space="preserve">The incremental spread on a private-credit facility over a like-for-like public benchmark. Stored as a GENERATED STORED column: spread_bps - benchmark_spread_bps.</w:t>
      </w:r>
    </w:p>
    <w:p>
      <w:pPr>
        <w:spacing w:after="40" w:before="120"/>
      </w:pPr>
      <w:r>
        <w:rPr>
          <w:rFonts w:ascii="Arial" w:cs="Arial" w:eastAsia="Arial" w:hAnsi="Arial"/>
          <w:b/>
          <w:bCs/>
          <w:color w:val="1F6FA5"/>
          <w:sz w:val="22"/>
          <w:szCs w:val="22"/>
        </w:rPr>
        <w:t xml:space="preserve">Margin (margin_bps)</w:t>
      </w:r>
    </w:p>
    <w:p>
      <w:pPr>
        <w:spacing w:after="120" w:line="280"/>
        <w:ind w:left="280"/>
        <w:jc w:val="both"/>
      </w:pPr>
      <w:r>
        <w:rPr>
          <w:rFonts w:ascii="Arial" w:cs="Arial" w:eastAsia="Arial" w:hAnsi="Arial"/>
          <w:sz w:val="22"/>
          <w:szCs w:val="22"/>
        </w:rPr>
        <w:t xml:space="preserve">Legacy all-in spread column preserved for backwards compatibility. Equal to coupon minus base for new entries; portfolio WA spread uses the decomposed spread_bps, not margin_bps.</w:t>
      </w:r>
    </w:p>
    <w:p>
      <w:pPr>
        <w:spacing w:after="40" w:before="120"/>
      </w:pPr>
      <w:r>
        <w:rPr>
          <w:rFonts w:ascii="Arial" w:cs="Arial" w:eastAsia="Arial" w:hAnsi="Arial"/>
          <w:b/>
          <w:bCs/>
          <w:color w:val="1F6FA5"/>
          <w:sz w:val="22"/>
          <w:szCs w:val="22"/>
        </w:rPr>
        <w:t xml:space="preserve">Upfront fee</w:t>
      </w:r>
    </w:p>
    <w:p>
      <w:pPr>
        <w:spacing w:after="120" w:line="280"/>
        <w:ind w:left="280"/>
        <w:jc w:val="both"/>
      </w:pPr>
      <w:r>
        <w:rPr>
          <w:rFonts w:ascii="Arial" w:cs="Arial" w:eastAsia="Arial" w:hAnsi="Arial"/>
          <w:sz w:val="22"/>
          <w:szCs w:val="22"/>
        </w:rPr>
        <w:t xml:space="preserve">One-off fee paid at facility close, quoted in basis points on commitment.</w:t>
      </w:r>
    </w:p>
    <w:p>
      <w:pPr>
        <w:spacing w:after="40" w:before="120"/>
      </w:pPr>
      <w:r>
        <w:rPr>
          <w:rFonts w:ascii="Arial" w:cs="Arial" w:eastAsia="Arial" w:hAnsi="Arial"/>
          <w:b/>
          <w:bCs/>
          <w:color w:val="1F6FA5"/>
          <w:sz w:val="22"/>
          <w:szCs w:val="22"/>
        </w:rPr>
        <w:t xml:space="preserve">Commitment fee</w:t>
      </w:r>
    </w:p>
    <w:p>
      <w:pPr>
        <w:spacing w:after="120" w:line="280"/>
        <w:ind w:left="280"/>
        <w:jc w:val="both"/>
      </w:pPr>
      <w:r>
        <w:rPr>
          <w:rFonts w:ascii="Arial" w:cs="Arial" w:eastAsia="Arial" w:hAnsi="Arial"/>
          <w:sz w:val="22"/>
          <w:szCs w:val="22"/>
        </w:rPr>
        <w:t xml:space="preserve">Ongoing periodic fee on undrawn portion of a facility, quoted in basis points per annum.</w:t>
      </w:r>
    </w:p>
    <w:p>
      <w:pPr>
        <w:spacing w:after="40" w:before="120"/>
      </w:pPr>
      <w:r>
        <w:rPr>
          <w:rFonts w:ascii="Arial" w:cs="Arial" w:eastAsia="Arial" w:hAnsi="Arial"/>
          <w:b/>
          <w:bCs/>
          <w:color w:val="1F6FA5"/>
          <w:sz w:val="22"/>
          <w:szCs w:val="22"/>
        </w:rPr>
        <w:t xml:space="preserve">Non-call period</w:t>
      </w:r>
    </w:p>
    <w:p>
      <w:pPr>
        <w:spacing w:after="120" w:line="280"/>
        <w:ind w:left="280"/>
        <w:jc w:val="both"/>
      </w:pPr>
      <w:r>
        <w:rPr>
          <w:rFonts w:ascii="Arial" w:cs="Arial" w:eastAsia="Arial" w:hAnsi="Arial"/>
          <w:sz w:val="22"/>
          <w:szCs w:val="22"/>
        </w:rPr>
        <w:t xml:space="preserve">The window during which a bond cannot be prepaid without penalty. Expires at non_call_end_date.</w:t>
      </w:r>
    </w:p>
    <w:p>
      <w:pPr>
        <w:spacing w:after="40" w:before="120"/>
      </w:pPr>
      <w:r>
        <w:rPr>
          <w:rFonts w:ascii="Arial" w:cs="Arial" w:eastAsia="Arial" w:hAnsi="Arial"/>
          <w:b/>
          <w:bCs/>
          <w:color w:val="1F6FA5"/>
          <w:sz w:val="22"/>
          <w:szCs w:val="22"/>
        </w:rPr>
        <w:t xml:space="preserve">Make-whole</w:t>
      </w:r>
    </w:p>
    <w:p>
      <w:pPr>
        <w:spacing w:after="120" w:line="280"/>
        <w:ind w:left="280"/>
        <w:jc w:val="both"/>
      </w:pPr>
      <w:r>
        <w:rPr>
          <w:rFonts w:ascii="Arial" w:cs="Arial" w:eastAsia="Arial" w:hAnsi="Arial"/>
          <w:sz w:val="22"/>
          <w:szCs w:val="22"/>
        </w:rPr>
        <w:t xml:space="preserve">Prepayment penalty that compensates the lender for the NPV of remaining coupons. Applied during non-call periods.</w:t>
      </w:r>
    </w:p>
    <w:p>
      <w:pPr>
        <w:spacing w:after="40" w:before="120"/>
      </w:pPr>
      <w:r>
        <w:rPr>
          <w:rFonts w:ascii="Arial" w:cs="Arial" w:eastAsia="Arial" w:hAnsi="Arial"/>
          <w:b/>
          <w:bCs/>
          <w:color w:val="1F6FA5"/>
          <w:sz w:val="22"/>
          <w:szCs w:val="22"/>
        </w:rPr>
        <w:t xml:space="preserve">Yield to maturity (YTM)</w:t>
      </w:r>
    </w:p>
    <w:p>
      <w:pPr>
        <w:spacing w:after="120" w:line="280"/>
        <w:ind w:left="280"/>
        <w:jc w:val="both"/>
      </w:pPr>
      <w:r>
        <w:rPr>
          <w:rFonts w:ascii="Arial" w:cs="Arial" w:eastAsia="Arial" w:hAnsi="Arial"/>
          <w:sz w:val="22"/>
          <w:szCs w:val="22"/>
        </w:rPr>
        <w:t xml:space="preserve">The internal rate of return of all remaining cashflows on the instrument, assuming held to maturity.</w:t>
      </w:r>
    </w:p>
    <w:p>
      <w:pPr>
        <w:pStyle w:val="Heading2"/>
        <w:spacing w:after="120" w:before="240"/>
      </w:pPr>
      <w:r>
        <w:rPr>
          <w:rFonts w:ascii="Arial" w:cs="Arial" w:eastAsia="Arial" w:hAnsi="Arial"/>
          <w:b/>
          <w:bCs/>
          <w:color w:val="263849"/>
          <w:sz w:val="30"/>
          <w:szCs w:val="30"/>
        </w:rPr>
        <w:t xml:space="preserve">Cashflow and cover ratios</w:t>
      </w:r>
    </w:p>
    <w:p>
      <w:pPr>
        <w:spacing w:after="40" w:before="120"/>
      </w:pPr>
      <w:r>
        <w:rPr>
          <w:rFonts w:ascii="Arial" w:cs="Arial" w:eastAsia="Arial" w:hAnsi="Arial"/>
          <w:b/>
          <w:bCs/>
          <w:color w:val="1F6FA5"/>
          <w:sz w:val="22"/>
          <w:szCs w:val="22"/>
        </w:rPr>
        <w:t xml:space="preserve">CFADS</w:t>
      </w:r>
    </w:p>
    <w:p>
      <w:pPr>
        <w:spacing w:after="120" w:line="280"/>
        <w:ind w:left="280"/>
        <w:jc w:val="both"/>
      </w:pPr>
      <w:r>
        <w:rPr>
          <w:rFonts w:ascii="Arial" w:cs="Arial" w:eastAsia="Arial" w:hAnsi="Arial"/>
          <w:sz w:val="22"/>
          <w:szCs w:val="22"/>
        </w:rPr>
        <w:t xml:space="preserve">Cash Flow Available for Debt Service. Computed as EBITDA minus tax paid minus working-capital movements plus interest received on reserves, minus maintenance capex. The numerator for DSCR.</w:t>
      </w:r>
    </w:p>
    <w:p>
      <w:pPr>
        <w:spacing w:after="40" w:before="120"/>
      </w:pPr>
      <w:r>
        <w:rPr>
          <w:rFonts w:ascii="Arial" w:cs="Arial" w:eastAsia="Arial" w:hAnsi="Arial"/>
          <w:b/>
          <w:bCs/>
          <w:color w:val="1F6FA5"/>
          <w:sz w:val="22"/>
          <w:szCs w:val="22"/>
        </w:rPr>
        <w:t xml:space="preserve">Debt service</w:t>
      </w:r>
    </w:p>
    <w:p>
      <w:pPr>
        <w:spacing w:after="120" w:line="280"/>
        <w:ind w:left="280"/>
        <w:jc w:val="both"/>
      </w:pPr>
      <w:r>
        <w:rPr>
          <w:rFonts w:ascii="Arial" w:cs="Arial" w:eastAsia="Arial" w:hAnsi="Arial"/>
          <w:sz w:val="22"/>
          <w:szCs w:val="22"/>
        </w:rPr>
        <w:t xml:space="preserve">The sum of scheduled interest, scheduled principal, commitment fee, and any fee drawings in a period, for all debt at the relevant ratio level.</w:t>
      </w:r>
    </w:p>
    <w:p>
      <w:pPr>
        <w:spacing w:after="40" w:before="120"/>
      </w:pPr>
      <w:r>
        <w:rPr>
          <w:rFonts w:ascii="Arial" w:cs="Arial" w:eastAsia="Arial" w:hAnsi="Arial"/>
          <w:b/>
          <w:bCs/>
          <w:color w:val="1F6FA5"/>
          <w:sz w:val="22"/>
          <w:szCs w:val="22"/>
        </w:rPr>
        <w:t xml:space="preserve">DSCR (Debt Service Cover Ratio)</w:t>
      </w:r>
    </w:p>
    <w:p>
      <w:pPr>
        <w:spacing w:after="120" w:line="280"/>
        <w:ind w:left="280"/>
        <w:jc w:val="both"/>
      </w:pPr>
      <w:r>
        <w:rPr>
          <w:rFonts w:ascii="Arial" w:cs="Arial" w:eastAsia="Arial" w:hAnsi="Arial"/>
          <w:sz w:val="22"/>
          <w:szCs w:val="22"/>
        </w:rPr>
        <w:t xml:space="preserve">CFADS divided by debt service over the same period. Historic DSCR uses realised cashflows; forward DSCR uses projected cashflows.</w:t>
      </w:r>
    </w:p>
    <w:p>
      <w:pPr>
        <w:spacing w:after="40" w:before="120"/>
      </w:pPr>
      <w:r>
        <w:rPr>
          <w:rFonts w:ascii="Arial" w:cs="Arial" w:eastAsia="Arial" w:hAnsi="Arial"/>
          <w:b/>
          <w:bCs/>
          <w:color w:val="1F6FA5"/>
          <w:sz w:val="22"/>
          <w:szCs w:val="22"/>
        </w:rPr>
        <w:t xml:space="preserve">FLDSCR</w:t>
      </w:r>
    </w:p>
    <w:p>
      <w:pPr>
        <w:spacing w:after="120" w:line="280"/>
        <w:ind w:left="280"/>
        <w:jc w:val="both"/>
      </w:pPr>
      <w:r>
        <w:rPr>
          <w:rFonts w:ascii="Arial" w:cs="Arial" w:eastAsia="Arial" w:hAnsi="Arial"/>
          <w:sz w:val="22"/>
          <w:szCs w:val="22"/>
        </w:rPr>
        <w:t xml:space="preserve">Forward-Looking DSCR. Typically tested on a rolling 4-period window.</w:t>
      </w:r>
    </w:p>
    <w:p>
      <w:pPr>
        <w:spacing w:after="40" w:before="120"/>
      </w:pPr>
      <w:r>
        <w:rPr>
          <w:rFonts w:ascii="Arial" w:cs="Arial" w:eastAsia="Arial" w:hAnsi="Arial"/>
          <w:b/>
          <w:bCs/>
          <w:color w:val="1F6FA5"/>
          <w:sz w:val="22"/>
          <w:szCs w:val="22"/>
        </w:rPr>
        <w:t xml:space="preserve">ADSCR Break-Even</w:t>
      </w:r>
    </w:p>
    <w:p>
      <w:pPr>
        <w:spacing w:after="120" w:line="280"/>
        <w:ind w:left="280"/>
        <w:jc w:val="both"/>
      </w:pPr>
      <w:r>
        <w:rPr>
          <w:rFonts w:ascii="Arial" w:cs="Arial" w:eastAsia="Arial" w:hAnsi="Arial"/>
          <w:sz w:val="22"/>
          <w:szCs w:val="22"/>
        </w:rPr>
        <w:t xml:space="preserve">The revenue (or DSCR-input) haircut at which forward DSCR equals 1.00×. Measures headroom to the default threshold.</w:t>
      </w:r>
    </w:p>
    <w:p>
      <w:pPr>
        <w:spacing w:after="40" w:before="120"/>
      </w:pPr>
      <w:r>
        <w:rPr>
          <w:rFonts w:ascii="Arial" w:cs="Arial" w:eastAsia="Arial" w:hAnsi="Arial"/>
          <w:b/>
          <w:bCs/>
          <w:color w:val="1F6FA5"/>
          <w:sz w:val="22"/>
          <w:szCs w:val="22"/>
        </w:rPr>
        <w:t xml:space="preserve">LLCR (Loan Life Cover Ratio)</w:t>
      </w:r>
    </w:p>
    <w:p>
      <w:pPr>
        <w:spacing w:after="120" w:line="280"/>
        <w:ind w:left="280"/>
        <w:jc w:val="both"/>
      </w:pPr>
      <w:r>
        <w:rPr>
          <w:rFonts w:ascii="Arial" w:cs="Arial" w:eastAsia="Arial" w:hAnsi="Arial"/>
          <w:sz w:val="22"/>
          <w:szCs w:val="22"/>
        </w:rPr>
        <w:t xml:space="preserve">NPV of project cashflows to loan maturity divided by outstanding debt. Discount rate is cost of debt at IC. TBD: exact formula treatment of reserves and tail.</w:t>
      </w:r>
    </w:p>
    <w:p>
      <w:pPr>
        <w:spacing w:after="40" w:before="120"/>
      </w:pPr>
      <w:r>
        <w:rPr>
          <w:rFonts w:ascii="Arial" w:cs="Arial" w:eastAsia="Arial" w:hAnsi="Arial"/>
          <w:b/>
          <w:bCs/>
          <w:color w:val="1F6FA5"/>
          <w:sz w:val="22"/>
          <w:szCs w:val="22"/>
        </w:rPr>
        <w:t xml:space="preserve">PLCR (Project Life Cover Ratio)</w:t>
      </w:r>
    </w:p>
    <w:p>
      <w:pPr>
        <w:spacing w:after="120" w:line="280"/>
        <w:ind w:left="280"/>
        <w:jc w:val="both"/>
      </w:pPr>
      <w:r>
        <w:rPr>
          <w:rFonts w:ascii="Arial" w:cs="Arial" w:eastAsia="Arial" w:hAnsi="Arial"/>
          <w:sz w:val="22"/>
          <w:szCs w:val="22"/>
        </w:rPr>
        <w:t xml:space="preserve">NPV of project cashflows to end of project life divided by outstanding debt. Covers the tail beyond loan maturity.</w:t>
      </w:r>
    </w:p>
    <w:p>
      <w:pPr>
        <w:spacing w:after="40" w:before="120"/>
      </w:pPr>
      <w:r>
        <w:rPr>
          <w:rFonts w:ascii="Arial" w:cs="Arial" w:eastAsia="Arial" w:hAnsi="Arial"/>
          <w:b/>
          <w:bCs/>
          <w:color w:val="1F6FA5"/>
          <w:sz w:val="22"/>
          <w:szCs w:val="22"/>
        </w:rPr>
        <w:t xml:space="preserve">AICR</w:t>
      </w:r>
    </w:p>
    <w:p>
      <w:pPr>
        <w:spacing w:after="120" w:line="280"/>
        <w:ind w:left="280"/>
        <w:jc w:val="both"/>
      </w:pPr>
      <w:r>
        <w:rPr>
          <w:rFonts w:ascii="Arial" w:cs="Arial" w:eastAsia="Arial" w:hAnsi="Arial"/>
          <w:sz w:val="22"/>
          <w:szCs w:val="22"/>
        </w:rPr>
        <w:t xml:space="preserve">Adjusted Interest Cover Ratio. Net cashflow divided by interest only, with standard adjustments for leases, pensions, hybrids.</w:t>
      </w:r>
    </w:p>
    <w:p>
      <w:pPr>
        <w:spacing w:after="40" w:before="120"/>
      </w:pPr>
      <w:r>
        <w:rPr>
          <w:rFonts w:ascii="Arial" w:cs="Arial" w:eastAsia="Arial" w:hAnsi="Arial"/>
          <w:b/>
          <w:bCs/>
          <w:color w:val="1F6FA5"/>
          <w:sz w:val="22"/>
          <w:szCs w:val="22"/>
        </w:rPr>
        <w:t xml:space="preserve">PMICR</w:t>
      </w:r>
    </w:p>
    <w:p>
      <w:pPr>
        <w:spacing w:after="120" w:line="280"/>
        <w:ind w:left="280"/>
        <w:jc w:val="both"/>
      </w:pPr>
      <w:r>
        <w:rPr>
          <w:rFonts w:ascii="Arial" w:cs="Arial" w:eastAsia="Arial" w:hAnsi="Arial"/>
          <w:sz w:val="22"/>
          <w:szCs w:val="22"/>
        </w:rPr>
        <w:t xml:space="preserve">Post-Maintenance Interest Cover Ratio. (EBITDA minus maintenance capex) divided by interest.</w:t>
      </w:r>
    </w:p>
    <w:p>
      <w:pPr>
        <w:spacing w:after="40" w:before="120"/>
      </w:pPr>
      <w:r>
        <w:rPr>
          <w:rFonts w:ascii="Arial" w:cs="Arial" w:eastAsia="Arial" w:hAnsi="Arial"/>
          <w:b/>
          <w:bCs/>
          <w:color w:val="1F6FA5"/>
          <w:sz w:val="22"/>
          <w:szCs w:val="22"/>
        </w:rPr>
        <w:t xml:space="preserve">Cash Interest Cover</w:t>
      </w:r>
    </w:p>
    <w:p>
      <w:pPr>
        <w:spacing w:after="120" w:line="280"/>
        <w:ind w:left="280"/>
        <w:jc w:val="both"/>
      </w:pPr>
      <w:r>
        <w:rPr>
          <w:rFonts w:ascii="Arial" w:cs="Arial" w:eastAsia="Arial" w:hAnsi="Arial"/>
          <w:sz w:val="22"/>
          <w:szCs w:val="22"/>
        </w:rPr>
        <w:t xml:space="preserve">Operating cashflow divided by cash interest expense.</w:t>
      </w:r>
    </w:p>
    <w:p>
      <w:pPr>
        <w:spacing w:after="40" w:before="120"/>
      </w:pPr>
      <w:r>
        <w:rPr>
          <w:rFonts w:ascii="Arial" w:cs="Arial" w:eastAsia="Arial" w:hAnsi="Arial"/>
          <w:b/>
          <w:bCs/>
          <w:color w:val="1F6FA5"/>
          <w:sz w:val="22"/>
          <w:szCs w:val="22"/>
        </w:rPr>
        <w:t xml:space="preserve">ICR</w:t>
      </w:r>
    </w:p>
    <w:p>
      <w:pPr>
        <w:spacing w:after="120" w:line="280"/>
        <w:ind w:left="280"/>
        <w:jc w:val="both"/>
      </w:pPr>
      <w:r>
        <w:rPr>
          <w:rFonts w:ascii="Arial" w:cs="Arial" w:eastAsia="Arial" w:hAnsi="Arial"/>
          <w:sz w:val="22"/>
          <w:szCs w:val="22"/>
        </w:rPr>
        <w:t xml:space="preserve">Interest Cover Ratio. EBITDA divided by net interest expense.</w:t>
      </w:r>
    </w:p>
    <w:p>
      <w:pPr>
        <w:pStyle w:val="Heading2"/>
        <w:spacing w:after="120" w:before="240"/>
      </w:pPr>
      <w:r>
        <w:rPr>
          <w:rFonts w:ascii="Arial" w:cs="Arial" w:eastAsia="Arial" w:hAnsi="Arial"/>
          <w:b/>
          <w:bCs/>
          <w:color w:val="263849"/>
          <w:sz w:val="30"/>
          <w:szCs w:val="30"/>
        </w:rPr>
        <w:t xml:space="preserve">Leverage and collateral ratios</w:t>
      </w:r>
    </w:p>
    <w:p>
      <w:pPr>
        <w:spacing w:after="40" w:before="120"/>
      </w:pPr>
      <w:r>
        <w:rPr>
          <w:rFonts w:ascii="Arial" w:cs="Arial" w:eastAsia="Arial" w:hAnsi="Arial"/>
          <w:b/>
          <w:bCs/>
          <w:color w:val="1F6FA5"/>
          <w:sz w:val="22"/>
          <w:szCs w:val="22"/>
        </w:rPr>
        <w:t xml:space="preserve">LTV (Loan-to-Value)</w:t>
      </w:r>
    </w:p>
    <w:p>
      <w:pPr>
        <w:spacing w:after="120" w:line="280"/>
        <w:ind w:left="280"/>
        <w:jc w:val="both"/>
      </w:pPr>
      <w:r>
        <w:rPr>
          <w:rFonts w:ascii="Arial" w:cs="Arial" w:eastAsia="Arial" w:hAnsi="Arial"/>
          <w:sz w:val="22"/>
          <w:szCs w:val="22"/>
        </w:rPr>
        <w:t xml:space="preserve">Outstanding debt divided by asset value. Lower is better. Tested annually in most deals.</w:t>
      </w:r>
    </w:p>
    <w:p>
      <w:pPr>
        <w:spacing w:after="40" w:before="120"/>
      </w:pPr>
      <w:r>
        <w:rPr>
          <w:rFonts w:ascii="Arial" w:cs="Arial" w:eastAsia="Arial" w:hAnsi="Arial"/>
          <w:b/>
          <w:bCs/>
          <w:color w:val="1F6FA5"/>
          <w:sz w:val="22"/>
          <w:szCs w:val="22"/>
        </w:rPr>
        <w:t xml:space="preserve">LTC (Loan-to-Cost)</w:t>
      </w:r>
    </w:p>
    <w:p>
      <w:pPr>
        <w:spacing w:after="120" w:line="280"/>
        <w:ind w:left="280"/>
        <w:jc w:val="both"/>
      </w:pPr>
      <w:r>
        <w:rPr>
          <w:rFonts w:ascii="Arial" w:cs="Arial" w:eastAsia="Arial" w:hAnsi="Arial"/>
          <w:sz w:val="22"/>
          <w:szCs w:val="22"/>
        </w:rPr>
        <w:t xml:space="preserve">Outstanding debt divided by project cost. Used primarily during construction.</w:t>
      </w:r>
    </w:p>
    <w:p>
      <w:pPr>
        <w:spacing w:after="40" w:before="120"/>
      </w:pPr>
      <w:r>
        <w:rPr>
          <w:rFonts w:ascii="Arial" w:cs="Arial" w:eastAsia="Arial" w:hAnsi="Arial"/>
          <w:b/>
          <w:bCs/>
          <w:color w:val="1F6FA5"/>
          <w:sz w:val="22"/>
          <w:szCs w:val="22"/>
        </w:rPr>
        <w:t xml:space="preserve">Gearing</w:t>
      </w:r>
    </w:p>
    <w:p>
      <w:pPr>
        <w:spacing w:after="120" w:line="280"/>
        <w:ind w:left="280"/>
        <w:jc w:val="both"/>
      </w:pPr>
      <w:r>
        <w:rPr>
          <w:rFonts w:ascii="Arial" w:cs="Arial" w:eastAsia="Arial" w:hAnsi="Arial"/>
          <w:sz w:val="22"/>
          <w:szCs w:val="22"/>
        </w:rPr>
        <w:t xml:space="preserve">Debt divided by (Debt + Equity).</w:t>
      </w:r>
    </w:p>
    <w:p>
      <w:pPr>
        <w:spacing w:after="40" w:before="120"/>
      </w:pPr>
      <w:r>
        <w:rPr>
          <w:rFonts w:ascii="Arial" w:cs="Arial" w:eastAsia="Arial" w:hAnsi="Arial"/>
          <w:b/>
          <w:bCs/>
          <w:color w:val="1F6FA5"/>
          <w:sz w:val="22"/>
          <w:szCs w:val="22"/>
        </w:rPr>
        <w:t xml:space="preserve">Net Debt / EBITDA</w:t>
      </w:r>
    </w:p>
    <w:p>
      <w:pPr>
        <w:spacing w:after="120" w:line="280"/>
        <w:ind w:left="280"/>
        <w:jc w:val="both"/>
      </w:pPr>
      <w:r>
        <w:rPr>
          <w:rFonts w:ascii="Arial" w:cs="Arial" w:eastAsia="Arial" w:hAnsi="Arial"/>
          <w:sz w:val="22"/>
          <w:szCs w:val="22"/>
        </w:rPr>
        <w:t xml:space="preserve">(Total debt minus cash) divided by EBITDA. Leverage multiple.</w:t>
      </w:r>
    </w:p>
    <w:p>
      <w:pPr>
        <w:spacing w:after="40" w:before="120"/>
      </w:pPr>
      <w:r>
        <w:rPr>
          <w:rFonts w:ascii="Arial" w:cs="Arial" w:eastAsia="Arial" w:hAnsi="Arial"/>
          <w:b/>
          <w:bCs/>
          <w:color w:val="1F6FA5"/>
          <w:sz w:val="22"/>
          <w:szCs w:val="22"/>
        </w:rPr>
        <w:t xml:space="preserve">Total Debt / RCF</w:t>
      </w:r>
    </w:p>
    <w:p>
      <w:pPr>
        <w:spacing w:after="120" w:line="280"/>
        <w:ind w:left="280"/>
        <w:jc w:val="both"/>
      </w:pPr>
      <w:r>
        <w:rPr>
          <w:rFonts w:ascii="Arial" w:cs="Arial" w:eastAsia="Arial" w:hAnsi="Arial"/>
          <w:sz w:val="22"/>
          <w:szCs w:val="22"/>
        </w:rPr>
        <w:t xml:space="preserve">Total debt divided by retained cashflow. A Moody's leverage metric.</w:t>
      </w:r>
    </w:p>
    <w:p>
      <w:pPr>
        <w:spacing w:after="40" w:before="120"/>
      </w:pPr>
      <w:r>
        <w:rPr>
          <w:rFonts w:ascii="Arial" w:cs="Arial" w:eastAsia="Arial" w:hAnsi="Arial"/>
          <w:b/>
          <w:bCs/>
          <w:color w:val="1F6FA5"/>
          <w:sz w:val="22"/>
          <w:szCs w:val="22"/>
        </w:rPr>
        <w:t xml:space="preserve">FFO / Net Debt</w:t>
      </w:r>
    </w:p>
    <w:p>
      <w:pPr>
        <w:spacing w:after="120" w:line="280"/>
        <w:ind w:left="280"/>
        <w:jc w:val="both"/>
      </w:pPr>
      <w:r>
        <w:rPr>
          <w:rFonts w:ascii="Arial" w:cs="Arial" w:eastAsia="Arial" w:hAnsi="Arial"/>
          <w:sz w:val="22"/>
          <w:szCs w:val="22"/>
        </w:rPr>
        <w:t xml:space="preserve">Funds from operations divided by net debt. Moody's metric.</w:t>
      </w:r>
    </w:p>
    <w:p>
      <w:pPr>
        <w:spacing w:after="40" w:before="120"/>
      </w:pPr>
      <w:r>
        <w:rPr>
          <w:rFonts w:ascii="Arial" w:cs="Arial" w:eastAsia="Arial" w:hAnsi="Arial"/>
          <w:b/>
          <w:bCs/>
          <w:color w:val="1F6FA5"/>
          <w:sz w:val="22"/>
          <w:szCs w:val="22"/>
        </w:rPr>
        <w:t xml:space="preserve">RCF / Net Debt</w:t>
      </w:r>
    </w:p>
    <w:p>
      <w:pPr>
        <w:spacing w:after="120" w:line="280"/>
        <w:ind w:left="280"/>
        <w:jc w:val="both"/>
      </w:pPr>
      <w:r>
        <w:rPr>
          <w:rFonts w:ascii="Arial" w:cs="Arial" w:eastAsia="Arial" w:hAnsi="Arial"/>
          <w:sz w:val="22"/>
          <w:szCs w:val="22"/>
        </w:rPr>
        <w:t xml:space="preserve">Retained cashflow (FFO minus distributions) divided by net debt. Moody's metric.</w:t>
      </w:r>
    </w:p>
    <w:p>
      <w:pPr>
        <w:pStyle w:val="Heading2"/>
        <w:spacing w:after="120" w:before="240"/>
      </w:pPr>
      <w:r>
        <w:rPr>
          <w:rFonts w:ascii="Arial" w:cs="Arial" w:eastAsia="Arial" w:hAnsi="Arial"/>
          <w:b/>
          <w:bCs/>
          <w:color w:val="263849"/>
          <w:sz w:val="30"/>
          <w:szCs w:val="30"/>
        </w:rPr>
        <w:t xml:space="preserve">Covenant mechanics</w:t>
      </w:r>
    </w:p>
    <w:p>
      <w:pPr>
        <w:spacing w:after="40" w:before="120"/>
      </w:pPr>
      <w:r>
        <w:rPr>
          <w:rFonts w:ascii="Arial" w:cs="Arial" w:eastAsia="Arial" w:hAnsi="Arial"/>
          <w:b/>
          <w:bCs/>
          <w:color w:val="1F6FA5"/>
          <w:sz w:val="22"/>
          <w:szCs w:val="22"/>
        </w:rPr>
        <w:t xml:space="preserve">Covenant</w:t>
      </w:r>
    </w:p>
    <w:p>
      <w:pPr>
        <w:spacing w:after="120" w:line="280"/>
        <w:ind w:left="280"/>
        <w:jc w:val="both"/>
      </w:pPr>
      <w:r>
        <w:rPr>
          <w:rFonts w:ascii="Arial" w:cs="Arial" w:eastAsia="Arial" w:hAnsi="Arial"/>
          <w:sz w:val="22"/>
          <w:szCs w:val="22"/>
        </w:rPr>
        <w:t xml:space="preserve">A contractual test that the borrower must satisfy. In this platform, covenants are stored in covenant_thresholds and tested against actuals in covenant_tests.</w:t>
      </w:r>
    </w:p>
    <w:p>
      <w:pPr>
        <w:spacing w:after="40" w:before="120"/>
      </w:pPr>
      <w:r>
        <w:rPr>
          <w:rFonts w:ascii="Arial" w:cs="Arial" w:eastAsia="Arial" w:hAnsi="Arial"/>
          <w:b/>
          <w:bCs/>
          <w:color w:val="1F6FA5"/>
          <w:sz w:val="22"/>
          <w:szCs w:val="22"/>
        </w:rPr>
        <w:t xml:space="preserve">Lockup level</w:t>
      </w:r>
    </w:p>
    <w:p>
      <w:pPr>
        <w:spacing w:after="120" w:line="280"/>
        <w:ind w:left="280"/>
        <w:jc w:val="both"/>
      </w:pPr>
      <w:r>
        <w:rPr>
          <w:rFonts w:ascii="Arial" w:cs="Arial" w:eastAsia="Arial" w:hAnsi="Arial"/>
          <w:sz w:val="22"/>
          <w:szCs w:val="22"/>
        </w:rPr>
        <w:t xml:space="preserve">The threshold below which distributions are blocked but the deal continues. An early-warning brake.</w:t>
      </w:r>
    </w:p>
    <w:p>
      <w:pPr>
        <w:spacing w:after="40" w:before="120"/>
      </w:pPr>
      <w:r>
        <w:rPr>
          <w:rFonts w:ascii="Arial" w:cs="Arial" w:eastAsia="Arial" w:hAnsi="Arial"/>
          <w:b/>
          <w:bCs/>
          <w:color w:val="1F6FA5"/>
          <w:sz w:val="22"/>
          <w:szCs w:val="22"/>
        </w:rPr>
        <w:t xml:space="preserve">Trigger level</w:t>
      </w:r>
    </w:p>
    <w:p>
      <w:pPr>
        <w:spacing w:after="120" w:line="280"/>
        <w:ind w:left="280"/>
        <w:jc w:val="both"/>
      </w:pPr>
      <w:r>
        <w:rPr>
          <w:rFonts w:ascii="Arial" w:cs="Arial" w:eastAsia="Arial" w:hAnsi="Arial"/>
          <w:sz w:val="22"/>
          <w:szCs w:val="22"/>
        </w:rPr>
        <w:t xml:space="preserve">The threshold below which the covenant is breached and the lender has remedies (acceleration, step-in).</w:t>
      </w:r>
    </w:p>
    <w:p>
      <w:pPr>
        <w:spacing w:after="40" w:before="120"/>
      </w:pPr>
      <w:r>
        <w:rPr>
          <w:rFonts w:ascii="Arial" w:cs="Arial" w:eastAsia="Arial" w:hAnsi="Arial"/>
          <w:b/>
          <w:bCs/>
          <w:color w:val="1F6FA5"/>
          <w:sz w:val="22"/>
          <w:szCs w:val="22"/>
        </w:rPr>
        <w:t xml:space="preserve">Cure period</w:t>
      </w:r>
    </w:p>
    <w:p>
      <w:pPr>
        <w:spacing w:after="120" w:line="280"/>
        <w:ind w:left="280"/>
        <w:jc w:val="both"/>
      </w:pPr>
      <w:r>
        <w:rPr>
          <w:rFonts w:ascii="Arial" w:cs="Arial" w:eastAsia="Arial" w:hAnsi="Arial"/>
          <w:sz w:val="22"/>
          <w:szCs w:val="22"/>
        </w:rPr>
        <w:t xml:space="preserve">The window following a trigger breach during which the borrower may take remedial action (equity cure, cash cure, reserve cure) to avoid default.</w:t>
      </w:r>
    </w:p>
    <w:p>
      <w:pPr>
        <w:spacing w:after="40" w:before="120"/>
      </w:pPr>
      <w:r>
        <w:rPr>
          <w:rFonts w:ascii="Arial" w:cs="Arial" w:eastAsia="Arial" w:hAnsi="Arial"/>
          <w:b/>
          <w:bCs/>
          <w:color w:val="1F6FA5"/>
          <w:sz w:val="22"/>
          <w:szCs w:val="22"/>
        </w:rPr>
        <w:t xml:space="preserve">Event of default (EoD)</w:t>
      </w:r>
    </w:p>
    <w:p>
      <w:pPr>
        <w:spacing w:after="120" w:line="280"/>
        <w:ind w:left="280"/>
        <w:jc w:val="both"/>
      </w:pPr>
      <w:r>
        <w:rPr>
          <w:rFonts w:ascii="Arial" w:cs="Arial" w:eastAsia="Arial" w:hAnsi="Arial"/>
          <w:sz w:val="22"/>
          <w:szCs w:val="22"/>
        </w:rPr>
        <w:t xml:space="preserve">A contractual event — covenant breach past cure, insolvency, material adverse change — that gives the lender enforcement rights.</w:t>
      </w:r>
    </w:p>
    <w:p>
      <w:pPr>
        <w:spacing w:after="40" w:before="120"/>
      </w:pPr>
      <w:r>
        <w:rPr>
          <w:rFonts w:ascii="Arial" w:cs="Arial" w:eastAsia="Arial" w:hAnsi="Arial"/>
          <w:b/>
          <w:bCs/>
          <w:color w:val="1F6FA5"/>
          <w:sz w:val="22"/>
          <w:szCs w:val="22"/>
        </w:rPr>
        <w:t xml:space="preserve">Equity cure</w:t>
      </w:r>
    </w:p>
    <w:p>
      <w:pPr>
        <w:spacing w:after="120" w:line="280"/>
        <w:ind w:left="280"/>
        <w:jc w:val="both"/>
      </w:pPr>
      <w:r>
        <w:rPr>
          <w:rFonts w:ascii="Arial" w:cs="Arial" w:eastAsia="Arial" w:hAnsi="Arial"/>
          <w:sz w:val="22"/>
          <w:szCs w:val="22"/>
        </w:rPr>
        <w:t xml:space="preserve">Sponsor injects equity (often as shareholder loan) to lift the tested ratio above the trigger. Typically capped per year and per tenor.</w:t>
      </w:r>
    </w:p>
    <w:p>
      <w:pPr>
        <w:spacing w:after="40" w:before="120"/>
      </w:pPr>
      <w:r>
        <w:rPr>
          <w:rFonts w:ascii="Arial" w:cs="Arial" w:eastAsia="Arial" w:hAnsi="Arial"/>
          <w:b/>
          <w:bCs/>
          <w:color w:val="1F6FA5"/>
          <w:sz w:val="22"/>
          <w:szCs w:val="22"/>
        </w:rPr>
        <w:t xml:space="preserve">Cash cure</w:t>
      </w:r>
    </w:p>
    <w:p>
      <w:pPr>
        <w:spacing w:after="120" w:line="280"/>
        <w:ind w:left="280"/>
        <w:jc w:val="both"/>
      </w:pPr>
      <w:r>
        <w:rPr>
          <w:rFonts w:ascii="Arial" w:cs="Arial" w:eastAsia="Arial" w:hAnsi="Arial"/>
          <w:sz w:val="22"/>
          <w:szCs w:val="22"/>
        </w:rPr>
        <w:t xml:space="preserve">Free cash held above a threshold is deemed to reduce debt for ratio calc purposes.</w:t>
      </w:r>
    </w:p>
    <w:p>
      <w:pPr>
        <w:spacing w:after="40" w:before="120"/>
      </w:pPr>
      <w:r>
        <w:rPr>
          <w:rFonts w:ascii="Arial" w:cs="Arial" w:eastAsia="Arial" w:hAnsi="Arial"/>
          <w:b/>
          <w:bCs/>
          <w:color w:val="1F6FA5"/>
          <w:sz w:val="22"/>
          <w:szCs w:val="22"/>
        </w:rPr>
        <w:t xml:space="preserve">Reserve cure</w:t>
      </w:r>
    </w:p>
    <w:p>
      <w:pPr>
        <w:spacing w:after="120" w:line="280"/>
        <w:ind w:left="280"/>
        <w:jc w:val="both"/>
      </w:pPr>
      <w:r>
        <w:rPr>
          <w:rFonts w:ascii="Arial" w:cs="Arial" w:eastAsia="Arial" w:hAnsi="Arial"/>
          <w:sz w:val="22"/>
          <w:szCs w:val="22"/>
        </w:rPr>
        <w:t xml:space="preserve">Drawing from DSRA/MRA to meet debt service; reserves must be topped up within the cure window.</w:t>
      </w:r>
    </w:p>
    <w:p>
      <w:pPr>
        <w:spacing w:after="40" w:before="120"/>
      </w:pPr>
      <w:r>
        <w:rPr>
          <w:rFonts w:ascii="Arial" w:cs="Arial" w:eastAsia="Arial" w:hAnsi="Arial"/>
          <w:b/>
          <w:bCs/>
          <w:color w:val="1F6FA5"/>
          <w:sz w:val="22"/>
          <w:szCs w:val="22"/>
        </w:rPr>
        <w:t xml:space="preserve">Information covenant</w:t>
      </w:r>
    </w:p>
    <w:p>
      <w:pPr>
        <w:spacing w:after="120" w:line="280"/>
        <w:ind w:left="280"/>
        <w:jc w:val="both"/>
      </w:pPr>
      <w:r>
        <w:rPr>
          <w:rFonts w:ascii="Arial" w:cs="Arial" w:eastAsia="Arial" w:hAnsi="Arial"/>
          <w:sz w:val="22"/>
          <w:szCs w:val="22"/>
        </w:rPr>
        <w:t xml:space="preserve">Non-financial covenant requiring delivery of reports, certificates, audited statements. Breach is typically a notice-period matter, not acceleration.</w:t>
      </w:r>
    </w:p>
    <w:p>
      <w:pPr>
        <w:spacing w:after="40" w:before="120"/>
      </w:pPr>
      <w:r>
        <w:rPr>
          <w:rFonts w:ascii="Arial" w:cs="Arial" w:eastAsia="Arial" w:hAnsi="Arial"/>
          <w:b/>
          <w:bCs/>
          <w:color w:val="1F6FA5"/>
          <w:sz w:val="22"/>
          <w:szCs w:val="22"/>
        </w:rPr>
        <w:t xml:space="preserve">Headroom</w:t>
      </w:r>
    </w:p>
    <w:p>
      <w:pPr>
        <w:spacing w:after="120" w:line="280"/>
        <w:ind w:left="280"/>
        <w:jc w:val="both"/>
      </w:pPr>
      <w:r>
        <w:rPr>
          <w:rFonts w:ascii="Arial" w:cs="Arial" w:eastAsia="Arial" w:hAnsi="Arial"/>
          <w:sz w:val="22"/>
          <w:szCs w:val="22"/>
        </w:rPr>
        <w:t xml:space="preserve">Distance between the current ratio and its trigger level. Expressed as a percentage of the trigger.</w:t>
      </w:r>
    </w:p>
    <w:p>
      <w:pPr>
        <w:pStyle w:val="Heading2"/>
        <w:spacing w:after="120" w:before="240"/>
      </w:pPr>
      <w:r>
        <w:rPr>
          <w:rFonts w:ascii="Arial" w:cs="Arial" w:eastAsia="Arial" w:hAnsi="Arial"/>
          <w:b/>
          <w:bCs/>
          <w:color w:val="263849"/>
          <w:sz w:val="30"/>
          <w:szCs w:val="30"/>
        </w:rPr>
        <w:t xml:space="preserve">Structural concepts</w:t>
      </w:r>
    </w:p>
    <w:p>
      <w:pPr>
        <w:spacing w:after="40" w:before="120"/>
      </w:pPr>
      <w:r>
        <w:rPr>
          <w:rFonts w:ascii="Arial" w:cs="Arial" w:eastAsia="Arial" w:hAnsi="Arial"/>
          <w:b/>
          <w:bCs/>
          <w:color w:val="1F6FA5"/>
          <w:sz w:val="22"/>
          <w:szCs w:val="22"/>
        </w:rPr>
        <w:t xml:space="preserve">BorrowerCo</w:t>
      </w:r>
    </w:p>
    <w:p>
      <w:pPr>
        <w:spacing w:after="120" w:line="280"/>
        <w:ind w:left="280"/>
        <w:jc w:val="both"/>
      </w:pPr>
      <w:r>
        <w:rPr>
          <w:rFonts w:ascii="Arial" w:cs="Arial" w:eastAsia="Arial" w:hAnsi="Arial"/>
          <w:sz w:val="22"/>
          <w:szCs w:val="22"/>
        </w:rPr>
        <w:t xml:space="preserve">The entity that signs the loan/bond documentation and owes the debt.</w:t>
      </w:r>
    </w:p>
    <w:p>
      <w:pPr>
        <w:spacing w:after="40" w:before="120"/>
      </w:pPr>
      <w:r>
        <w:rPr>
          <w:rFonts w:ascii="Arial" w:cs="Arial" w:eastAsia="Arial" w:hAnsi="Arial"/>
          <w:b/>
          <w:bCs/>
          <w:color w:val="1F6FA5"/>
          <w:sz w:val="22"/>
          <w:szCs w:val="22"/>
        </w:rPr>
        <w:t xml:space="preserve">HoldCo / OpCo</w:t>
      </w:r>
    </w:p>
    <w:p>
      <w:pPr>
        <w:spacing w:after="120" w:line="280"/>
        <w:ind w:left="280"/>
        <w:jc w:val="both"/>
      </w:pPr>
      <w:r>
        <w:rPr>
          <w:rFonts w:ascii="Arial" w:cs="Arial" w:eastAsia="Arial" w:hAnsi="Arial"/>
          <w:sz w:val="22"/>
          <w:szCs w:val="22"/>
        </w:rPr>
        <w:t xml:space="preserve">Holding company and operating company. Typical project-finance stack has OpCo owning the asset and HoldCo owning OpCo.</w:t>
      </w:r>
    </w:p>
    <w:p>
      <w:pPr>
        <w:spacing w:after="40" w:before="120"/>
      </w:pPr>
      <w:r>
        <w:rPr>
          <w:rFonts w:ascii="Arial" w:cs="Arial" w:eastAsia="Arial" w:hAnsi="Arial"/>
          <w:b/>
          <w:bCs/>
          <w:color w:val="1F6FA5"/>
          <w:sz w:val="22"/>
          <w:szCs w:val="22"/>
        </w:rPr>
        <w:t xml:space="preserve">Pari-passu</w:t>
      </w:r>
    </w:p>
    <w:p>
      <w:pPr>
        <w:spacing w:after="120" w:line="280"/>
        <w:ind w:left="280"/>
        <w:jc w:val="both"/>
      </w:pPr>
      <w:r>
        <w:rPr>
          <w:rFonts w:ascii="Arial" w:cs="Arial" w:eastAsia="Arial" w:hAnsi="Arial"/>
          <w:sz w:val="22"/>
          <w:szCs w:val="22"/>
        </w:rPr>
        <w:t xml:space="preserve">Ranking equally. Multiple instruments in a pari-passu group share the same priority in the waterfall.</w:t>
      </w:r>
    </w:p>
    <w:p>
      <w:pPr>
        <w:spacing w:after="40" w:before="120"/>
      </w:pPr>
      <w:r>
        <w:rPr>
          <w:rFonts w:ascii="Arial" w:cs="Arial" w:eastAsia="Arial" w:hAnsi="Arial"/>
          <w:b/>
          <w:bCs/>
          <w:color w:val="1F6FA5"/>
          <w:sz w:val="22"/>
          <w:szCs w:val="22"/>
        </w:rPr>
        <w:t xml:space="preserve">Structural subordination</w:t>
      </w:r>
    </w:p>
    <w:p>
      <w:pPr>
        <w:spacing w:after="120" w:line="280"/>
        <w:ind w:left="280"/>
        <w:jc w:val="both"/>
      </w:pPr>
      <w:r>
        <w:rPr>
          <w:rFonts w:ascii="Arial" w:cs="Arial" w:eastAsia="Arial" w:hAnsi="Arial"/>
          <w:sz w:val="22"/>
          <w:szCs w:val="22"/>
        </w:rPr>
        <w:t xml:space="preserve">Junior claim by virtue of being further from the cashflow-generating entity (e.g. HoldCo debt is structurally subordinate to OpCo debt even if contractually pari-passu at HoldCo).</w:t>
      </w:r>
    </w:p>
    <w:p>
      <w:pPr>
        <w:spacing w:after="40" w:before="120"/>
      </w:pPr>
      <w:r>
        <w:rPr>
          <w:rFonts w:ascii="Arial" w:cs="Arial" w:eastAsia="Arial" w:hAnsi="Arial"/>
          <w:b/>
          <w:bCs/>
          <w:color w:val="1F6FA5"/>
          <w:sz w:val="22"/>
          <w:szCs w:val="22"/>
        </w:rPr>
        <w:t xml:space="preserve">Contractual subordination</w:t>
      </w:r>
    </w:p>
    <w:p>
      <w:pPr>
        <w:spacing w:after="120" w:line="280"/>
        <w:ind w:left="280"/>
        <w:jc w:val="both"/>
      </w:pPr>
      <w:r>
        <w:rPr>
          <w:rFonts w:ascii="Arial" w:cs="Arial" w:eastAsia="Arial" w:hAnsi="Arial"/>
          <w:sz w:val="22"/>
          <w:szCs w:val="22"/>
        </w:rPr>
        <w:t xml:space="preserve">Junior claim by contract (intercreditor, subordination deed) regardless of structural position.</w:t>
      </w:r>
    </w:p>
    <w:p>
      <w:pPr>
        <w:spacing w:after="40" w:before="120"/>
      </w:pPr>
      <w:r>
        <w:rPr>
          <w:rFonts w:ascii="Arial" w:cs="Arial" w:eastAsia="Arial" w:hAnsi="Arial"/>
          <w:b/>
          <w:bCs/>
          <w:color w:val="1F6FA5"/>
          <w:sz w:val="22"/>
          <w:szCs w:val="22"/>
        </w:rPr>
        <w:t xml:space="preserve">Pledged shares</w:t>
      </w:r>
    </w:p>
    <w:p>
      <w:pPr>
        <w:spacing w:after="120" w:line="280"/>
        <w:ind w:left="280"/>
        <w:jc w:val="both"/>
      </w:pPr>
      <w:r>
        <w:rPr>
          <w:rFonts w:ascii="Arial" w:cs="Arial" w:eastAsia="Arial" w:hAnsi="Arial"/>
          <w:sz w:val="22"/>
          <w:szCs w:val="22"/>
        </w:rPr>
        <w:t xml:space="preserve">Shares of an entity pledged as security. For NAV-style debt, the pledge is at the parent of the asset owner.</w:t>
      </w:r>
    </w:p>
    <w:p>
      <w:pPr>
        <w:spacing w:after="40" w:before="120"/>
      </w:pPr>
      <w:r>
        <w:rPr>
          <w:rFonts w:ascii="Arial" w:cs="Arial" w:eastAsia="Arial" w:hAnsi="Arial"/>
          <w:b/>
          <w:bCs/>
          <w:color w:val="1F6FA5"/>
          <w:sz w:val="22"/>
          <w:szCs w:val="22"/>
        </w:rPr>
        <w:t xml:space="preserve">CTA (Common Terms Agreement)</w:t>
      </w:r>
    </w:p>
    <w:p>
      <w:pPr>
        <w:spacing w:after="120" w:line="280"/>
        <w:ind w:left="280"/>
        <w:jc w:val="both"/>
      </w:pPr>
      <w:r>
        <w:rPr>
          <w:rFonts w:ascii="Arial" w:cs="Arial" w:eastAsia="Arial" w:hAnsi="Arial"/>
          <w:sz w:val="22"/>
          <w:szCs w:val="22"/>
        </w:rPr>
        <w:t xml:space="preserve">Agreement governing common obligations of a set of lenders to a project. "CTA-consolidated" refers to ratio consolidation as defined in the CTA.</w:t>
      </w:r>
    </w:p>
    <w:p>
      <w:pPr>
        <w:spacing w:after="40" w:before="120"/>
      </w:pPr>
      <w:r>
        <w:rPr>
          <w:rFonts w:ascii="Arial" w:cs="Arial" w:eastAsia="Arial" w:hAnsi="Arial"/>
          <w:b/>
          <w:bCs/>
          <w:color w:val="1F6FA5"/>
          <w:sz w:val="22"/>
          <w:szCs w:val="22"/>
        </w:rPr>
        <w:t xml:space="preserve">Proportional consolidation</w:t>
      </w:r>
    </w:p>
    <w:p>
      <w:pPr>
        <w:spacing w:after="120" w:line="280"/>
        <w:ind w:left="280"/>
        <w:jc w:val="both"/>
      </w:pPr>
      <w:r>
        <w:rPr>
          <w:rFonts w:ascii="Arial" w:cs="Arial" w:eastAsia="Arial" w:hAnsi="Arial"/>
          <w:sz w:val="22"/>
          <w:szCs w:val="22"/>
        </w:rPr>
        <w:t xml:space="preserve">Applying ownership percentage to both cashflows AND debt of a subsidiary for ratio-testing purposes. The platform uses proportional (not IFRS full) consolidation.</w:t>
      </w:r>
    </w:p>
    <w:p>
      <w:pPr>
        <w:spacing w:after="40" w:before="120"/>
      </w:pPr>
      <w:r>
        <w:rPr>
          <w:rFonts w:ascii="Arial" w:cs="Arial" w:eastAsia="Arial" w:hAnsi="Arial"/>
          <w:b/>
          <w:bCs/>
          <w:color w:val="1F6FA5"/>
          <w:sz w:val="22"/>
          <w:szCs w:val="22"/>
        </w:rPr>
        <w:t xml:space="preserve">Change of control (CoC)</w:t>
      </w:r>
    </w:p>
    <w:p>
      <w:pPr>
        <w:spacing w:after="120" w:line="280"/>
        <w:ind w:left="280"/>
        <w:jc w:val="both"/>
      </w:pPr>
      <w:r>
        <w:rPr>
          <w:rFonts w:ascii="Arial" w:cs="Arial" w:eastAsia="Arial" w:hAnsi="Arial"/>
          <w:sz w:val="22"/>
          <w:szCs w:val="22"/>
        </w:rPr>
        <w:t xml:space="preserve">Trigger clause that activates on sponsor or entity ownership change. Often accompanied by mandatory repayment or refinancing.</w:t>
      </w:r>
    </w:p>
    <w:p>
      <w:pPr>
        <w:spacing w:after="40" w:before="120"/>
      </w:pPr>
      <w:r>
        <w:rPr>
          <w:rFonts w:ascii="Arial" w:cs="Arial" w:eastAsia="Arial" w:hAnsi="Arial"/>
          <w:b/>
          <w:bCs/>
          <w:color w:val="1F6FA5"/>
          <w:sz w:val="22"/>
          <w:szCs w:val="22"/>
        </w:rPr>
        <w:t xml:space="preserve">Waterfall</w:t>
      </w:r>
    </w:p>
    <w:p>
      <w:pPr>
        <w:spacing w:after="120" w:line="280"/>
        <w:ind w:left="280"/>
        <w:jc w:val="both"/>
      </w:pPr>
      <w:r>
        <w:rPr>
          <w:rFonts w:ascii="Arial" w:cs="Arial" w:eastAsia="Arial" w:hAnsi="Arial"/>
          <w:sz w:val="22"/>
          <w:szCs w:val="22"/>
        </w:rPr>
        <w:t xml:space="preserve">The ordered priority of cash allocations per period: operating costs, senior interest, senior principal, reserves, mezz, sweep, equity. TBD — to be captured as a new TopSheet section.</w:t>
      </w:r>
    </w:p>
    <w:p>
      <w:pPr>
        <w:spacing w:after="40" w:before="120"/>
      </w:pPr>
      <w:r>
        <w:rPr>
          <w:rFonts w:ascii="Arial" w:cs="Arial" w:eastAsia="Arial" w:hAnsi="Arial"/>
          <w:b/>
          <w:bCs/>
          <w:color w:val="1F6FA5"/>
          <w:sz w:val="22"/>
          <w:szCs w:val="22"/>
        </w:rPr>
        <w:t xml:space="preserve">Distribution</w:t>
      </w:r>
    </w:p>
    <w:p>
      <w:pPr>
        <w:spacing w:after="120" w:line="280"/>
        <w:ind w:left="280"/>
        <w:jc w:val="both"/>
      </w:pPr>
      <w:r>
        <w:rPr>
          <w:rFonts w:ascii="Arial" w:cs="Arial" w:eastAsia="Arial" w:hAnsi="Arial"/>
          <w:sz w:val="22"/>
          <w:szCs w:val="22"/>
        </w:rPr>
        <w:t xml:space="preserve">Payment to equity or subordinated lenders. Blocked during lockup.</w:t>
      </w:r>
    </w:p>
    <w:p>
      <w:pPr>
        <w:pStyle w:val="Heading2"/>
        <w:spacing w:after="120" w:before="240"/>
      </w:pPr>
      <w:r>
        <w:rPr>
          <w:rFonts w:ascii="Arial" w:cs="Arial" w:eastAsia="Arial" w:hAnsi="Arial"/>
          <w:b/>
          <w:bCs/>
          <w:color w:val="263849"/>
          <w:sz w:val="30"/>
          <w:szCs w:val="30"/>
        </w:rPr>
        <w:t xml:space="preserve">Forecast and scenario</w:t>
      </w:r>
    </w:p>
    <w:p>
      <w:pPr>
        <w:spacing w:after="40" w:before="120"/>
      </w:pPr>
      <w:r>
        <w:rPr>
          <w:rFonts w:ascii="Arial" w:cs="Arial" w:eastAsia="Arial" w:hAnsi="Arial"/>
          <w:b/>
          <w:bCs/>
          <w:color w:val="1F6FA5"/>
          <w:sz w:val="22"/>
          <w:szCs w:val="22"/>
        </w:rPr>
        <w:t xml:space="preserve">Management case</w:t>
      </w:r>
    </w:p>
    <w:p>
      <w:pPr>
        <w:spacing w:after="120" w:line="280"/>
        <w:ind w:left="280"/>
        <w:jc w:val="both"/>
      </w:pPr>
      <w:r>
        <w:rPr>
          <w:rFonts w:ascii="Arial" w:cs="Arial" w:eastAsia="Arial" w:hAnsi="Arial"/>
          <w:sz w:val="22"/>
          <w:szCs w:val="22"/>
        </w:rPr>
        <w:t xml:space="preserve">The sponsor's own base-case forecast at IC approval. Baseline for variance analysis.</w:t>
      </w:r>
    </w:p>
    <w:p>
      <w:pPr>
        <w:spacing w:after="40" w:before="120"/>
      </w:pPr>
      <w:r>
        <w:rPr>
          <w:rFonts w:ascii="Arial" w:cs="Arial" w:eastAsia="Arial" w:hAnsi="Arial"/>
          <w:b/>
          <w:bCs/>
          <w:color w:val="1F6FA5"/>
          <w:sz w:val="22"/>
          <w:szCs w:val="22"/>
        </w:rPr>
        <w:t xml:space="preserve">Lender case</w:t>
      </w:r>
    </w:p>
    <w:p>
      <w:pPr>
        <w:spacing w:after="120" w:line="280"/>
        <w:ind w:left="280"/>
        <w:jc w:val="both"/>
      </w:pPr>
      <w:r>
        <w:rPr>
          <w:rFonts w:ascii="Arial" w:cs="Arial" w:eastAsia="Arial" w:hAnsi="Arial"/>
          <w:sz w:val="22"/>
          <w:szCs w:val="22"/>
        </w:rPr>
        <w:t xml:space="preserve">The platform's internal conservative forecast. Used for lender-view stress testing.</w:t>
      </w:r>
    </w:p>
    <w:p>
      <w:pPr>
        <w:spacing w:after="40" w:before="120"/>
      </w:pPr>
      <w:r>
        <w:rPr>
          <w:rFonts w:ascii="Arial" w:cs="Arial" w:eastAsia="Arial" w:hAnsi="Arial"/>
          <w:b/>
          <w:bCs/>
          <w:color w:val="1F6FA5"/>
          <w:sz w:val="22"/>
          <w:szCs w:val="22"/>
        </w:rPr>
        <w:t xml:space="preserve">Combined downside</w:t>
      </w:r>
    </w:p>
    <w:p>
      <w:pPr>
        <w:spacing w:after="120" w:line="280"/>
        <w:ind w:left="280"/>
        <w:jc w:val="both"/>
      </w:pPr>
      <w:r>
        <w:rPr>
          <w:rFonts w:ascii="Arial" w:cs="Arial" w:eastAsia="Arial" w:hAnsi="Arial"/>
          <w:sz w:val="22"/>
          <w:szCs w:val="22"/>
        </w:rPr>
        <w:t xml:space="preserve">A bundled stressed forecast covering multiple risks simultaneously. Drives the shaded band on charts.</w:t>
      </w:r>
    </w:p>
    <w:p>
      <w:pPr>
        <w:spacing w:after="40" w:before="120"/>
      </w:pPr>
      <w:r>
        <w:rPr>
          <w:rFonts w:ascii="Arial" w:cs="Arial" w:eastAsia="Arial" w:hAnsi="Arial"/>
          <w:b/>
          <w:bCs/>
          <w:color w:val="1F6FA5"/>
          <w:sz w:val="22"/>
          <w:szCs w:val="22"/>
        </w:rPr>
        <w:t xml:space="preserve">Single-variant stress</w:t>
      </w:r>
    </w:p>
    <w:p>
      <w:pPr>
        <w:spacing w:after="120" w:line="280"/>
        <w:ind w:left="280"/>
        <w:jc w:val="both"/>
      </w:pPr>
      <w:r>
        <w:rPr>
          <w:rFonts w:ascii="Arial" w:cs="Arial" w:eastAsia="Arial" w:hAnsi="Arial"/>
          <w:sz w:val="22"/>
          <w:szCs w:val="22"/>
        </w:rPr>
        <w:t xml:space="preserve">A stress forecast isolating one risk. Linked to deal_risk_register via driving_risk_id.</w:t>
      </w:r>
    </w:p>
    <w:p>
      <w:pPr>
        <w:spacing w:after="40" w:before="120"/>
      </w:pPr>
      <w:r>
        <w:rPr>
          <w:rFonts w:ascii="Arial" w:cs="Arial" w:eastAsia="Arial" w:hAnsi="Arial"/>
          <w:b/>
          <w:bCs/>
          <w:color w:val="1F6FA5"/>
          <w:sz w:val="22"/>
          <w:szCs w:val="22"/>
        </w:rPr>
        <w:t xml:space="preserve">Credit case</w:t>
      </w:r>
    </w:p>
    <w:p>
      <w:pPr>
        <w:spacing w:after="120" w:line="280"/>
        <w:ind w:left="280"/>
        <w:jc w:val="both"/>
      </w:pPr>
      <w:r>
        <w:rPr>
          <w:rFonts w:ascii="Arial" w:cs="Arial" w:eastAsia="Arial" w:hAnsi="Arial"/>
          <w:sz w:val="22"/>
          <w:szCs w:val="22"/>
        </w:rPr>
        <w:t xml:space="preserve">Optional sponsor-supplied lender-informed view.</w:t>
      </w:r>
    </w:p>
    <w:p>
      <w:pPr>
        <w:spacing w:after="40" w:before="120"/>
      </w:pPr>
      <w:r>
        <w:rPr>
          <w:rFonts w:ascii="Arial" w:cs="Arial" w:eastAsia="Arial" w:hAnsi="Arial"/>
          <w:b/>
          <w:bCs/>
          <w:color w:val="1F6FA5"/>
          <w:sz w:val="22"/>
          <w:szCs w:val="22"/>
        </w:rPr>
        <w:t xml:space="preserve">Scenario kind</w:t>
      </w:r>
    </w:p>
    <w:p>
      <w:pPr>
        <w:spacing w:after="120" w:line="280"/>
        <w:ind w:left="280"/>
        <w:jc w:val="both"/>
      </w:pPr>
      <w:r>
        <w:rPr>
          <w:rFonts w:ascii="Arial" w:cs="Arial" w:eastAsia="Arial" w:hAnsi="Arial"/>
          <w:sz w:val="22"/>
          <w:szCs w:val="22"/>
        </w:rPr>
        <w:t xml:space="preserve">Discriminator on forecast_cases: management_case | lender_case | combined_downside | single_variant_stress | credit_case | custom.</w:t>
      </w:r>
    </w:p>
    <w:p>
      <w:pPr>
        <w:spacing w:after="40" w:before="120"/>
      </w:pPr>
      <w:r>
        <w:rPr>
          <w:rFonts w:ascii="Arial" w:cs="Arial" w:eastAsia="Arial" w:hAnsi="Arial"/>
          <w:b/>
          <w:bCs/>
          <w:color w:val="1F6FA5"/>
          <w:sz w:val="22"/>
          <w:szCs w:val="22"/>
        </w:rPr>
        <w:t xml:space="preserve">Forecast case version</w:t>
      </w:r>
    </w:p>
    <w:p>
      <w:pPr>
        <w:spacing w:after="120" w:line="280"/>
        <w:ind w:left="280"/>
        <w:jc w:val="both"/>
      </w:pPr>
      <w:r>
        <w:rPr>
          <w:rFonts w:ascii="Arial" w:cs="Arial" w:eastAsia="Arial" w:hAnsi="Arial"/>
          <w:sz w:val="22"/>
          <w:szCs w:val="22"/>
        </w:rPr>
        <w:t xml:space="preserve">A frozen, immutable forecast set. Reforecasting creates a new version; prior versions remain as historical records.</w:t>
      </w:r>
    </w:p>
    <w:p>
      <w:pPr>
        <w:spacing w:after="40" w:before="120"/>
      </w:pPr>
      <w:r>
        <w:rPr>
          <w:rFonts w:ascii="Arial" w:cs="Arial" w:eastAsia="Arial" w:hAnsi="Arial"/>
          <w:b/>
          <w:bCs/>
          <w:color w:val="1F6FA5"/>
          <w:sz w:val="22"/>
          <w:szCs w:val="22"/>
        </w:rPr>
        <w:t xml:space="preserve">Reforecast</w:t>
      </w:r>
    </w:p>
    <w:p>
      <w:pPr>
        <w:spacing w:after="120" w:line="280"/>
        <w:ind w:left="280"/>
        <w:jc w:val="both"/>
      </w:pPr>
      <w:r>
        <w:rPr>
          <w:rFonts w:ascii="Arial" w:cs="Arial" w:eastAsia="Arial" w:hAnsi="Arial"/>
          <w:sz w:val="22"/>
          <w:szCs w:val="22"/>
        </w:rPr>
        <w:t xml:space="preserve">Creating a new forecast_case_version with revised assumptions. The diff is written to forecast_refresh_impacts.</w:t>
      </w:r>
    </w:p>
    <w:p>
      <w:pPr>
        <w:spacing w:after="40" w:before="120"/>
      </w:pPr>
      <w:r>
        <w:rPr>
          <w:rFonts w:ascii="Arial" w:cs="Arial" w:eastAsia="Arial" w:hAnsi="Arial"/>
          <w:b/>
          <w:bCs/>
          <w:color w:val="1F6FA5"/>
          <w:sz w:val="22"/>
          <w:szCs w:val="22"/>
        </w:rPr>
        <w:t xml:space="preserve">Period flag</w:t>
      </w:r>
    </w:p>
    <w:p>
      <w:pPr>
        <w:spacing w:after="120" w:line="280"/>
        <w:ind w:left="280"/>
        <w:jc w:val="both"/>
      </w:pPr>
      <w:r>
        <w:rPr>
          <w:rFonts w:ascii="Arial" w:cs="Arial" w:eastAsia="Arial" w:hAnsi="Arial"/>
          <w:sz w:val="22"/>
          <w:szCs w:val="22"/>
        </w:rPr>
        <w:t xml:space="preserve">Short label identifying a reporting period in a forecast (e.g. FY2026, H1-2027). Keys forecast_period_items.</w:t>
      </w:r>
    </w:p>
    <w:p>
      <w:pPr>
        <w:pStyle w:val="Heading2"/>
        <w:spacing w:after="120" w:before="240"/>
      </w:pPr>
      <w:r>
        <w:rPr>
          <w:rFonts w:ascii="Arial" w:cs="Arial" w:eastAsia="Arial" w:hAnsi="Arial"/>
          <w:b/>
          <w:bCs/>
          <w:color w:val="263849"/>
          <w:sz w:val="30"/>
          <w:szCs w:val="30"/>
        </w:rPr>
        <w:t xml:space="preserve">Grading and assessment</w:t>
      </w:r>
    </w:p>
    <w:p>
      <w:pPr>
        <w:spacing w:after="40" w:before="120"/>
      </w:pPr>
      <w:r>
        <w:rPr>
          <w:rFonts w:ascii="Arial" w:cs="Arial" w:eastAsia="Arial" w:hAnsi="Arial"/>
          <w:b/>
          <w:bCs/>
          <w:color w:val="1F6FA5"/>
          <w:sz w:val="22"/>
          <w:szCs w:val="22"/>
        </w:rPr>
        <w:t xml:space="preserve">Performance grade</w:t>
      </w:r>
    </w:p>
    <w:p>
      <w:pPr>
        <w:spacing w:after="120" w:line="280"/>
        <w:ind w:left="280"/>
        <w:jc w:val="both"/>
      </w:pPr>
      <w:r>
        <w:rPr>
          <w:rFonts w:ascii="Arial" w:cs="Arial" w:eastAsia="Arial" w:hAnsi="Arial"/>
          <w:sz w:val="22"/>
          <w:szCs w:val="22"/>
        </w:rPr>
        <w:t xml:space="preserve">The headline 1–4 deal grade. Labelled "Performance grade" throughout UI and docs. "Internal grade" is deprecated wording.</w:t>
      </w:r>
    </w:p>
    <w:p>
      <w:pPr>
        <w:spacing w:after="40" w:before="120"/>
      </w:pPr>
      <w:r>
        <w:rPr>
          <w:rFonts w:ascii="Arial" w:cs="Arial" w:eastAsia="Arial" w:hAnsi="Arial"/>
          <w:b/>
          <w:bCs/>
          <w:color w:val="1F6FA5"/>
          <w:sz w:val="22"/>
          <w:szCs w:val="22"/>
        </w:rPr>
        <w:t xml:space="preserve">Grade 1 (Performing)</w:t>
      </w:r>
    </w:p>
    <w:p>
      <w:pPr>
        <w:spacing w:after="120" w:line="280"/>
        <w:ind w:left="280"/>
        <w:jc w:val="both"/>
      </w:pPr>
      <w:r>
        <w:rPr>
          <w:rFonts w:ascii="Arial" w:cs="Arial" w:eastAsia="Arial" w:hAnsi="Arial"/>
          <w:sz w:val="22"/>
          <w:szCs w:val="22"/>
        </w:rPr>
        <w:t xml:space="preserve">DSCR ≥ 1.5× lockup AND collateral headroom ≥ 20% AND stable/improving trend.</w:t>
      </w:r>
    </w:p>
    <w:p>
      <w:pPr>
        <w:spacing w:after="40" w:before="120"/>
      </w:pPr>
      <w:r>
        <w:rPr>
          <w:rFonts w:ascii="Arial" w:cs="Arial" w:eastAsia="Arial" w:hAnsi="Arial"/>
          <w:b/>
          <w:bCs/>
          <w:color w:val="1F6FA5"/>
          <w:sz w:val="22"/>
          <w:szCs w:val="22"/>
        </w:rPr>
        <w:t xml:space="preserve">Grade 2 (Monitoring)</w:t>
      </w:r>
    </w:p>
    <w:p>
      <w:pPr>
        <w:spacing w:after="120" w:line="280"/>
        <w:ind w:left="280"/>
        <w:jc w:val="both"/>
      </w:pPr>
      <w:r>
        <w:rPr>
          <w:rFonts w:ascii="Arial" w:cs="Arial" w:eastAsia="Arial" w:hAnsi="Arial"/>
          <w:sz w:val="22"/>
          <w:szCs w:val="22"/>
        </w:rPr>
        <w:t xml:space="preserve">Any metric has headroom &lt; 20% OR trend is mild deterioration.</w:t>
      </w:r>
    </w:p>
    <w:p>
      <w:pPr>
        <w:spacing w:after="40" w:before="120"/>
      </w:pPr>
      <w:r>
        <w:rPr>
          <w:rFonts w:ascii="Arial" w:cs="Arial" w:eastAsia="Arial" w:hAnsi="Arial"/>
          <w:b/>
          <w:bCs/>
          <w:color w:val="1F6FA5"/>
          <w:sz w:val="22"/>
          <w:szCs w:val="22"/>
        </w:rPr>
        <w:t xml:space="preserve">Grade 3 (Watchlist)</w:t>
      </w:r>
    </w:p>
    <w:p>
      <w:pPr>
        <w:spacing w:after="120" w:line="280"/>
        <w:ind w:left="280"/>
        <w:jc w:val="both"/>
      </w:pPr>
      <w:r>
        <w:rPr>
          <w:rFonts w:ascii="Arial" w:cs="Arial" w:eastAsia="Arial" w:hAnsi="Arial"/>
          <w:sz w:val="22"/>
          <w:szCs w:val="22"/>
        </w:rPr>
        <w:t xml:space="preserve">Headroom &lt; 10% on any metric OR moderate deterioration OR lockup tripped.</w:t>
      </w:r>
    </w:p>
    <w:p>
      <w:pPr>
        <w:spacing w:after="40" w:before="120"/>
      </w:pPr>
      <w:r>
        <w:rPr>
          <w:rFonts w:ascii="Arial" w:cs="Arial" w:eastAsia="Arial" w:hAnsi="Arial"/>
          <w:b/>
          <w:bCs/>
          <w:color w:val="1F6FA5"/>
          <w:sz w:val="22"/>
          <w:szCs w:val="22"/>
        </w:rPr>
        <w:t xml:space="preserve">Grade 4 (Impaired)</w:t>
      </w:r>
    </w:p>
    <w:p>
      <w:pPr>
        <w:spacing w:after="120" w:line="280"/>
        <w:ind w:left="280"/>
        <w:jc w:val="both"/>
      </w:pPr>
      <w:r>
        <w:rPr>
          <w:rFonts w:ascii="Arial" w:cs="Arial" w:eastAsia="Arial" w:hAnsi="Arial"/>
          <w:sz w:val="22"/>
          <w:szCs w:val="22"/>
        </w:rPr>
        <w:t xml:space="preserve">Covenant breached (trigger/default) OR forbearance / amendment of economic terms.</w:t>
      </w:r>
    </w:p>
    <w:p>
      <w:pPr>
        <w:spacing w:after="40" w:before="120"/>
      </w:pPr>
      <w:r>
        <w:rPr>
          <w:rFonts w:ascii="Arial" w:cs="Arial" w:eastAsia="Arial" w:hAnsi="Arial"/>
          <w:b/>
          <w:bCs/>
          <w:color w:val="1F6FA5"/>
          <w:sz w:val="22"/>
          <w:szCs w:val="22"/>
        </w:rPr>
        <w:t xml:space="preserve">Grade override</w:t>
      </w:r>
    </w:p>
    <w:p>
      <w:pPr>
        <w:spacing w:after="120" w:line="280"/>
        <w:ind w:left="280"/>
        <w:jc w:val="both"/>
      </w:pPr>
      <w:r>
        <w:rPr>
          <w:rFonts w:ascii="Arial" w:cs="Arial" w:eastAsia="Arial" w:hAnsi="Arial"/>
          <w:sz w:val="22"/>
          <w:szCs w:val="22"/>
        </w:rPr>
        <w:t xml:space="preserve">Manual committee pin of a grade, with expiry. Override takes precedence over computed grade while active.</w:t>
      </w:r>
    </w:p>
    <w:p>
      <w:pPr>
        <w:spacing w:after="40" w:before="120"/>
      </w:pPr>
      <w:r>
        <w:rPr>
          <w:rFonts w:ascii="Arial" w:cs="Arial" w:eastAsia="Arial" w:hAnsi="Arial"/>
          <w:b/>
          <w:bCs/>
          <w:color w:val="1F6FA5"/>
          <w:sz w:val="22"/>
          <w:szCs w:val="22"/>
        </w:rPr>
        <w:t xml:space="preserve">Trend band</w:t>
      </w:r>
    </w:p>
    <w:p>
      <w:pPr>
        <w:spacing w:after="120" w:line="280"/>
        <w:ind w:left="280"/>
        <w:jc w:val="both"/>
      </w:pPr>
      <w:r>
        <w:rPr>
          <w:rFonts w:ascii="Arial" w:cs="Arial" w:eastAsia="Arial" w:hAnsi="Arial"/>
          <w:sz w:val="22"/>
          <w:szCs w:val="22"/>
        </w:rPr>
        <w:t xml:space="preserve">One of seven 7-band classifications from the Plan Variance Trend Engine v5: rapid_improvement through rapid_deterioration.</w:t>
      </w:r>
    </w:p>
    <w:p>
      <w:pPr>
        <w:spacing w:after="40" w:before="120"/>
      </w:pPr>
      <w:r>
        <w:rPr>
          <w:rFonts w:ascii="Arial" w:cs="Arial" w:eastAsia="Arial" w:hAnsi="Arial"/>
          <w:b/>
          <w:bCs/>
          <w:color w:val="1F6FA5"/>
          <w:sz w:val="22"/>
          <w:szCs w:val="22"/>
        </w:rPr>
        <w:t xml:space="preserve">Watchlist</w:t>
      </w:r>
    </w:p>
    <w:p>
      <w:pPr>
        <w:spacing w:after="120" w:line="280"/>
        <w:ind w:left="280"/>
        <w:jc w:val="both"/>
      </w:pPr>
      <w:r>
        <w:rPr>
          <w:rFonts w:ascii="Arial" w:cs="Arial" w:eastAsia="Arial" w:hAnsi="Arial"/>
          <w:sz w:val="22"/>
          <w:szCs w:val="22"/>
        </w:rPr>
        <w:t xml:space="preserve">Flag on a deal indicating elevated monitoring. Emitted automatically by the Grade Engine; may also be set manually.</w:t>
      </w:r>
    </w:p>
    <w:p>
      <w:pPr>
        <w:pStyle w:val="Heading2"/>
        <w:spacing w:after="120" w:before="240"/>
      </w:pPr>
      <w:r>
        <w:rPr>
          <w:rFonts w:ascii="Arial" w:cs="Arial" w:eastAsia="Arial" w:hAnsi="Arial"/>
          <w:b/>
          <w:bCs/>
          <w:color w:val="263849"/>
          <w:sz w:val="30"/>
          <w:szCs w:val="30"/>
        </w:rPr>
        <w:t xml:space="preserve">Data architecture</w:t>
      </w:r>
    </w:p>
    <w:p>
      <w:pPr>
        <w:spacing w:after="40" w:before="120"/>
      </w:pPr>
      <w:r>
        <w:rPr>
          <w:rFonts w:ascii="Arial" w:cs="Arial" w:eastAsia="Arial" w:hAnsi="Arial"/>
          <w:b/>
          <w:bCs/>
          <w:color w:val="1F6FA5"/>
          <w:sz w:val="22"/>
          <w:szCs w:val="22"/>
        </w:rPr>
        <w:t xml:space="preserve">Line item</w:t>
      </w:r>
    </w:p>
    <w:p>
      <w:pPr>
        <w:spacing w:after="120" w:line="280"/>
        <w:ind w:left="280"/>
        <w:jc w:val="both"/>
      </w:pPr>
      <w:r>
        <w:rPr>
          <w:rFonts w:ascii="Arial" w:cs="Arial" w:eastAsia="Arial" w:hAnsi="Arial"/>
          <w:sz w:val="22"/>
          <w:szCs w:val="22"/>
        </w:rPr>
        <w:t xml:space="preserve">A named row in the chart of accounts (line_item_definitions). Examples: revenue_primary_contracted, opex_om_fixed, cfads_post_maintenance.</w:t>
      </w:r>
    </w:p>
    <w:p>
      <w:pPr>
        <w:spacing w:after="40" w:before="120"/>
      </w:pPr>
      <w:r>
        <w:rPr>
          <w:rFonts w:ascii="Arial" w:cs="Arial" w:eastAsia="Arial" w:hAnsi="Arial"/>
          <w:b/>
          <w:bCs/>
          <w:color w:val="1F6FA5"/>
          <w:sz w:val="22"/>
          <w:szCs w:val="22"/>
        </w:rPr>
        <w:t xml:space="preserve">Line key (line_key)</w:t>
      </w:r>
    </w:p>
    <w:p>
      <w:pPr>
        <w:spacing w:after="120" w:line="280"/>
        <w:ind w:left="280"/>
        <w:jc w:val="both"/>
      </w:pPr>
      <w:r>
        <w:rPr>
          <w:rFonts w:ascii="Arial" w:cs="Arial" w:eastAsia="Arial" w:hAnsi="Arial"/>
          <w:sz w:val="22"/>
          <w:szCs w:val="22"/>
        </w:rPr>
        <w:t xml:space="preserve">The short snake_case identifier of a line item. Stable across deals; per-deal labels are overridden via deal_line_item_labels.</w:t>
      </w:r>
    </w:p>
    <w:p>
      <w:pPr>
        <w:spacing w:after="40" w:before="120"/>
      </w:pPr>
      <w:r>
        <w:rPr>
          <w:rFonts w:ascii="Arial" w:cs="Arial" w:eastAsia="Arial" w:hAnsi="Arial"/>
          <w:b/>
          <w:bCs/>
          <w:color w:val="1F6FA5"/>
          <w:sz w:val="22"/>
          <w:szCs w:val="22"/>
        </w:rPr>
        <w:t xml:space="preserve">Reporting period</w:t>
      </w:r>
    </w:p>
    <w:p>
      <w:pPr>
        <w:spacing w:after="120" w:line="280"/>
        <w:ind w:left="280"/>
        <w:jc w:val="both"/>
      </w:pPr>
      <w:r>
        <w:rPr>
          <w:rFonts w:ascii="Arial" w:cs="Arial" w:eastAsia="Arial" w:hAnsi="Arial"/>
          <w:sz w:val="22"/>
          <w:szCs w:val="22"/>
        </w:rPr>
        <w:t xml:space="preserve">A slot in a deal's reporting calendar. Carries period_start, period_end, period_type (historical/current/forecast).</w:t>
      </w:r>
    </w:p>
    <w:p>
      <w:pPr>
        <w:spacing w:after="40" w:before="120"/>
      </w:pPr>
      <w:r>
        <w:rPr>
          <w:rFonts w:ascii="Arial" w:cs="Arial" w:eastAsia="Arial" w:hAnsi="Arial"/>
          <w:b/>
          <w:bCs/>
          <w:color w:val="1F6FA5"/>
          <w:sz w:val="22"/>
          <w:szCs w:val="22"/>
        </w:rPr>
        <w:t xml:space="preserve">Period financial item (actual)</w:t>
      </w:r>
    </w:p>
    <w:p>
      <w:pPr>
        <w:spacing w:after="120" w:line="280"/>
        <w:ind w:left="280"/>
        <w:jc w:val="both"/>
      </w:pPr>
      <w:r>
        <w:rPr>
          <w:rFonts w:ascii="Arial" w:cs="Arial" w:eastAsia="Arial" w:hAnsi="Arial"/>
          <w:sz w:val="22"/>
          <w:szCs w:val="22"/>
        </w:rPr>
        <w:t xml:space="preserve">One row per (period, line_key) with a numeric value. Scoped to period_financial_items. Has approval_status proposed → approved.</w:t>
      </w:r>
    </w:p>
    <w:p>
      <w:pPr>
        <w:spacing w:after="40" w:before="120"/>
      </w:pPr>
      <w:r>
        <w:rPr>
          <w:rFonts w:ascii="Arial" w:cs="Arial" w:eastAsia="Arial" w:hAnsi="Arial"/>
          <w:b/>
          <w:bCs/>
          <w:color w:val="1F6FA5"/>
          <w:sz w:val="22"/>
          <w:szCs w:val="22"/>
        </w:rPr>
        <w:t xml:space="preserve">Forecast period item</w:t>
      </w:r>
    </w:p>
    <w:p>
      <w:pPr>
        <w:spacing w:after="120" w:line="280"/>
        <w:ind w:left="280"/>
        <w:jc w:val="both"/>
      </w:pPr>
      <w:r>
        <w:rPr>
          <w:rFonts w:ascii="Arial" w:cs="Arial" w:eastAsia="Arial" w:hAnsi="Arial"/>
          <w:sz w:val="22"/>
          <w:szCs w:val="22"/>
        </w:rPr>
        <w:t xml:space="preserve">One row per (forecast_case_version, period_flag, line_key) with a numeric value. Immutable once committed.</w:t>
      </w:r>
    </w:p>
    <w:p>
      <w:pPr>
        <w:spacing w:after="40" w:before="120"/>
      </w:pPr>
      <w:r>
        <w:rPr>
          <w:rFonts w:ascii="Arial" w:cs="Arial" w:eastAsia="Arial" w:hAnsi="Arial"/>
          <w:b/>
          <w:bCs/>
          <w:color w:val="1F6FA5"/>
          <w:sz w:val="22"/>
          <w:szCs w:val="22"/>
        </w:rPr>
        <w:t xml:space="preserve">Audit-trail five-column block</w:t>
      </w:r>
    </w:p>
    <w:p>
      <w:pPr>
        <w:spacing w:after="120" w:line="280"/>
        <w:ind w:left="280"/>
        <w:jc w:val="both"/>
      </w:pPr>
      <w:r>
        <w:rPr>
          <w:rFonts w:ascii="Arial" w:cs="Arial" w:eastAsia="Arial" w:hAnsi="Arial"/>
          <w:sz w:val="22"/>
          <w:szCs w:val="22"/>
        </w:rPr>
        <w:t xml:space="preserve">source_document_id, source_page, source_citation_offsets, source_confidence, source_extractor. Carried on every deal-scoped table.</w:t>
      </w:r>
    </w:p>
    <w:p>
      <w:pPr>
        <w:spacing w:after="40" w:before="120"/>
      </w:pPr>
      <w:r>
        <w:rPr>
          <w:rFonts w:ascii="Arial" w:cs="Arial" w:eastAsia="Arial" w:hAnsi="Arial"/>
          <w:b/>
          <w:bCs/>
          <w:color w:val="1F6FA5"/>
          <w:sz w:val="22"/>
          <w:szCs w:val="22"/>
        </w:rPr>
        <w:t xml:space="preserve">TopSheet snapshot</w:t>
      </w:r>
    </w:p>
    <w:p>
      <w:pPr>
        <w:spacing w:after="120" w:line="280"/>
        <w:ind w:left="280"/>
        <w:jc w:val="both"/>
      </w:pPr>
      <w:r>
        <w:rPr>
          <w:rFonts w:ascii="Arial" w:cs="Arial" w:eastAsia="Arial" w:hAnsi="Arial"/>
          <w:sz w:val="22"/>
          <w:szCs w:val="22"/>
        </w:rPr>
        <w:t xml:space="preserve">A frozen point-in-time dump of a deal's full state. Stored in deal_topsheet_snapshots with provenance and field citations.</w:t>
      </w:r>
    </w:p>
    <w:p>
      <w:pPr>
        <w:pStyle w:val="Heading2"/>
        <w:spacing w:after="120" w:before="240"/>
      </w:pPr>
      <w:r>
        <w:rPr>
          <w:rFonts w:ascii="Arial" w:cs="Arial" w:eastAsia="Arial" w:hAnsi="Arial"/>
          <w:b/>
          <w:bCs/>
          <w:color w:val="263849"/>
          <w:sz w:val="30"/>
          <w:szCs w:val="30"/>
        </w:rPr>
        <w:t xml:space="preserve">Platform</w:t>
      </w:r>
    </w:p>
    <w:p>
      <w:pPr>
        <w:spacing w:after="40" w:before="120"/>
      </w:pPr>
      <w:r>
        <w:rPr>
          <w:rFonts w:ascii="Arial" w:cs="Arial" w:eastAsia="Arial" w:hAnsi="Arial"/>
          <w:b/>
          <w:bCs/>
          <w:color w:val="1F6FA5"/>
          <w:sz w:val="22"/>
          <w:szCs w:val="22"/>
        </w:rPr>
        <w:t xml:space="preserve">Demo clock</w:t>
      </w:r>
    </w:p>
    <w:p>
      <w:pPr>
        <w:spacing w:after="120" w:line="280"/>
        <w:ind w:left="280"/>
        <w:jc w:val="both"/>
      </w:pPr>
      <w:r>
        <w:rPr>
          <w:rFonts w:ascii="Arial" w:cs="Arial" w:eastAsia="Arial" w:hAnsi="Arial"/>
          <w:sz w:val="22"/>
          <w:szCs w:val="22"/>
        </w:rPr>
        <w:t xml:space="preserve">A synthetic "now" set by an admin to drive the demo portfolio without real time advancing. Used for what-if scenarios.</w:t>
      </w:r>
    </w:p>
    <w:p>
      <w:pPr>
        <w:spacing w:after="40" w:before="120"/>
      </w:pPr>
      <w:r>
        <w:rPr>
          <w:rFonts w:ascii="Arial" w:cs="Arial" w:eastAsia="Arial" w:hAnsi="Arial"/>
          <w:b/>
          <w:bCs/>
          <w:color w:val="1F6FA5"/>
          <w:sz w:val="22"/>
          <w:szCs w:val="22"/>
        </w:rPr>
        <w:t xml:space="preserve">Plumbing page</w:t>
      </w:r>
    </w:p>
    <w:p>
      <w:pPr>
        <w:spacing w:after="120" w:line="280"/>
        <w:ind w:left="280"/>
        <w:jc w:val="both"/>
      </w:pPr>
      <w:r>
        <w:rPr>
          <w:rFonts w:ascii="Arial" w:cs="Arial" w:eastAsia="Arial" w:hAnsi="Arial"/>
          <w:sz w:val="22"/>
          <w:szCs w:val="22"/>
        </w:rPr>
        <w:t xml:space="preserve">Analyst utility page at /plumbing — template download, ingestion trigger, engine dry-run.</w:t>
      </w:r>
    </w:p>
    <w:p>
      <w:pPr>
        <w:spacing w:after="40" w:before="120"/>
      </w:pPr>
      <w:r>
        <w:rPr>
          <w:rFonts w:ascii="Arial" w:cs="Arial" w:eastAsia="Arial" w:hAnsi="Arial"/>
          <w:b/>
          <w:bCs/>
          <w:color w:val="1F6FA5"/>
          <w:sz w:val="22"/>
          <w:szCs w:val="22"/>
        </w:rPr>
        <w:t xml:space="preserve">JPS</w:t>
      </w:r>
    </w:p>
    <w:p>
      <w:pPr>
        <w:spacing w:after="120" w:line="280"/>
        <w:ind w:left="280"/>
        <w:jc w:val="both"/>
      </w:pPr>
      <w:r>
        <w:rPr>
          <w:rFonts w:ascii="Arial" w:cs="Arial" w:eastAsia="Arial" w:hAnsi="Arial"/>
          <w:sz w:val="22"/>
          <w:szCs w:val="22"/>
        </w:rPr>
        <w:t xml:space="preserve">The portfolio landing dashboard at /jps. Original acronym retained as path; internally referred to as "Portfolio" in the UI.</w:t>
      </w:r>
    </w:p>
    <w:p>
      <w:pPr>
        <w:spacing w:after="40" w:before="120"/>
      </w:pPr>
      <w:r>
        <w:rPr>
          <w:rFonts w:ascii="Arial" w:cs="Arial" w:eastAsia="Arial" w:hAnsi="Arial"/>
          <w:b/>
          <w:bCs/>
          <w:color w:val="1F6FA5"/>
          <w:sz w:val="22"/>
          <w:szCs w:val="22"/>
        </w:rPr>
        <w:t xml:space="preserve">TopSheet</w:t>
      </w:r>
    </w:p>
    <w:p>
      <w:pPr>
        <w:spacing w:after="120" w:line="280"/>
        <w:ind w:left="280"/>
        <w:jc w:val="both"/>
      </w:pPr>
      <w:r>
        <w:rPr>
          <w:rFonts w:ascii="Arial" w:cs="Arial" w:eastAsia="Arial" w:hAnsi="Arial"/>
          <w:sz w:val="22"/>
          <w:szCs w:val="22"/>
        </w:rPr>
        <w:t xml:space="preserve">Both (a) the 26-tab Excel ingestion template and (b) the full-page single-scroll view at /deals/{slug}/topsheet rendering the same data.</w:t>
      </w:r>
    </w:p>
    <w:p>
      <w:pPr>
        <w:pStyle w:val="Heading1"/>
        <w:pageBreakBefore/>
        <w:spacing w:after="180" w:before="240"/>
      </w:pPr>
      <w:r>
        <w:rPr>
          <w:rFonts w:ascii="Arial" w:cs="Arial" w:eastAsia="Arial" w:hAnsi="Arial"/>
          <w:b/>
          <w:bCs/>
          <w:color w:val="1F6FA5"/>
          <w:sz w:val="40"/>
          <w:szCs w:val="40"/>
        </w:rPr>
        <w:t xml:space="preserve">Part I — System at a glance</w:t>
      </w:r>
    </w:p>
    <w:p>
      <w:pPr>
        <w:pStyle w:val="Heading2"/>
        <w:spacing w:after="120" w:before="240"/>
      </w:pPr>
      <w:r>
        <w:rPr>
          <w:rFonts w:ascii="Arial" w:cs="Arial" w:eastAsia="Arial" w:hAnsi="Arial"/>
          <w:b/>
          <w:bCs/>
          <w:color w:val="263849"/>
          <w:sz w:val="30"/>
          <w:szCs w:val="30"/>
        </w:rPr>
        <w:t xml:space="preserve">1.1 What the platform does</w:t>
      </w:r>
    </w:p>
    <w:p>
      <w:pPr>
        <w:spacing w:after="140" w:line="280"/>
        <w:jc w:val="both"/>
      </w:pPr>
      <w:r>
        <w:rPr>
          <w:rFonts w:ascii="Arial" w:cs="Arial" w:eastAsia="Arial" w:hAnsi="Arial"/>
          <w:sz w:val="22"/>
          <w:szCs w:val="22"/>
        </w:rPr>
        <w:t xml:space="preserve">Sesame Street is a private credit / infrastructure debt monitoring platform. It serves institutional lenders who hold a portfolio of project-finance and structured-credit loans and bonds. The platform tracks each deal from origination through ongoing monitoring, producing: performance grades, covenant test outcomes, variance against forecast, distribution eligibility, risk and KPI commentary, and a full audit trail linking every on-platform number back to a source document.</w:t>
      </w:r>
    </w:p>
    <w:p>
      <w:pPr>
        <w:spacing w:after="140" w:line="280"/>
        <w:jc w:val="both"/>
      </w:pPr>
      <w:r>
        <w:rPr>
          <w:rFonts w:ascii="Arial" w:cs="Arial" w:eastAsia="Arial" w:hAnsi="Arial"/>
          <w:sz w:val="22"/>
          <w:szCs w:val="22"/>
        </w:rPr>
        <w:t xml:space="preserve">It is not a trading platform, not a loan-origination system, not an investor-reporting portal (though it can produce the data that feeds one). It is a single source of truth for a lender or fund's portfolio of illiquid credit exposures.</w:t>
      </w:r>
    </w:p>
    <w:p>
      <w:pPr>
        <w:pStyle w:val="Heading2"/>
        <w:spacing w:after="120" w:before="240"/>
      </w:pPr>
      <w:r>
        <w:rPr>
          <w:rFonts w:ascii="Arial" w:cs="Arial" w:eastAsia="Arial" w:hAnsi="Arial"/>
          <w:b/>
          <w:bCs/>
          <w:color w:val="263849"/>
          <w:sz w:val="30"/>
          <w:szCs w:val="30"/>
        </w:rPr>
        <w:t xml:space="preserve">1.2 Architectural shape</w:t>
      </w:r>
    </w:p>
    <w:p>
      <w:pPr>
        <w:pStyle w:val="ListParagraph"/>
        <w:numPr>
          <w:ilvl w:val="0"/>
          <w:numId w:val="2"/>
        </w:numPr>
        <w:spacing w:after="60"/>
      </w:pPr>
      <w:r>
        <w:rPr>
          <w:rFonts w:ascii="Arial" w:cs="Arial" w:eastAsia="Arial" w:hAnsi="Arial"/>
          <w:b/>
          <w:bCs/>
          <w:sz w:val="22"/>
          <w:szCs w:val="22"/>
        </w:rPr>
        <w:t xml:space="preserve">Client (port 3000): </w:t>
      </w:r>
      <w:r>
        <w:rPr>
          <w:rFonts w:ascii="Arial" w:cs="Arial" w:eastAsia="Arial" w:hAnsi="Arial"/>
          <w:sz w:val="22"/>
          <w:szCs w:val="22"/>
        </w:rPr>
        <w:t xml:space="preserve">Next.js 15 App Router, React 19, TypeScript. Renders the portfolio dashboard, deal pages, TopSheet views, workflow surfaces.</w:t>
      </w:r>
    </w:p>
    <w:p>
      <w:pPr>
        <w:pStyle w:val="ListParagraph"/>
        <w:numPr>
          <w:ilvl w:val="0"/>
          <w:numId w:val="2"/>
        </w:numPr>
        <w:spacing w:after="60"/>
      </w:pPr>
      <w:r>
        <w:rPr>
          <w:rFonts w:ascii="Arial" w:cs="Arial" w:eastAsia="Arial" w:hAnsi="Arial"/>
          <w:b/>
          <w:bCs/>
          <w:sz w:val="22"/>
          <w:szCs w:val="22"/>
        </w:rPr>
        <w:t xml:space="preserve">Server (port 4000): </w:t>
      </w:r>
      <w:r>
        <w:rPr>
          <w:rFonts w:ascii="Arial" w:cs="Arial" w:eastAsia="Arial" w:hAnsi="Arial"/>
          <w:sz w:val="22"/>
          <w:szCs w:val="22"/>
        </w:rPr>
        <w:t xml:space="preserve">Python, Starlette. A single server/main.py (~19,000 lines) plus a handful of dedicated engine modules (grade_engine.py, capital_structure_engine.py) and the TopSheet importer (topsheet_importer.py).</w:t>
      </w:r>
    </w:p>
    <w:p>
      <w:pPr>
        <w:pStyle w:val="ListParagraph"/>
        <w:numPr>
          <w:ilvl w:val="0"/>
          <w:numId w:val="2"/>
        </w:numPr>
        <w:spacing w:after="60"/>
      </w:pPr>
      <w:r>
        <w:rPr>
          <w:rFonts w:ascii="Arial" w:cs="Arial" w:eastAsia="Arial" w:hAnsi="Arial"/>
          <w:b/>
          <w:bCs/>
          <w:sz w:val="22"/>
          <w:szCs w:val="22"/>
        </w:rPr>
        <w:t xml:space="preserve">Database: </w:t>
      </w:r>
      <w:r>
        <w:rPr>
          <w:rFonts w:ascii="Arial" w:cs="Arial" w:eastAsia="Arial" w:hAnsi="Arial"/>
          <w:sz w:val="22"/>
          <w:szCs w:val="22"/>
        </w:rPr>
        <w:t xml:space="preserve">PostgreSQL 16 Alpine. Single database sesamestreet. 98 tables across 17 families. All idempotent via CREATE TABLE IF NOT EXISTS + INSERT ON CONFLICT DO NOTHING.</w:t>
      </w:r>
    </w:p>
    <w:p>
      <w:pPr>
        <w:pStyle w:val="ListParagraph"/>
        <w:numPr>
          <w:ilvl w:val="0"/>
          <w:numId w:val="2"/>
        </w:numPr>
        <w:spacing w:after="60"/>
      </w:pPr>
      <w:r>
        <w:rPr>
          <w:rFonts w:ascii="Arial" w:cs="Arial" w:eastAsia="Arial" w:hAnsi="Arial"/>
          <w:b/>
          <w:bCs/>
          <w:sz w:val="22"/>
          <w:szCs w:val="22"/>
        </w:rPr>
        <w:t xml:space="preserve">Orchestration: </w:t>
      </w:r>
      <w:r>
        <w:rPr>
          <w:rFonts w:ascii="Arial" w:cs="Arial" w:eastAsia="Arial" w:hAnsi="Arial"/>
          <w:sz w:val="22"/>
          <w:szCs w:val="22"/>
        </w:rPr>
        <w:t xml:space="preserve">Docker Compose. Three services: postgres, server, client. All configured from docker/docker-compose.yml.</w:t>
      </w:r>
    </w:p>
    <w:p>
      <w:pPr>
        <w:pStyle w:val="ListParagraph"/>
        <w:numPr>
          <w:ilvl w:val="0"/>
          <w:numId w:val="2"/>
        </w:numPr>
        <w:spacing w:after="60"/>
      </w:pPr>
      <w:r>
        <w:rPr>
          <w:rFonts w:ascii="Arial" w:cs="Arial" w:eastAsia="Arial" w:hAnsi="Arial"/>
          <w:b/>
          <w:bCs/>
          <w:sz w:val="22"/>
          <w:szCs w:val="22"/>
        </w:rPr>
        <w:t xml:space="preserve">File storage: </w:t>
      </w:r>
      <w:r>
        <w:rPr>
          <w:rFonts w:ascii="Arial" w:cs="Arial" w:eastAsia="Arial" w:hAnsi="Arial"/>
          <w:sz w:val="22"/>
          <w:szCs w:val="22"/>
        </w:rPr>
        <w:t xml:space="preserve">local volume in the demo (docker/volumes/uploads/), swappable to S3 / GCS / Azure Blob via FILE_STORE env var.</w:t>
      </w:r>
    </w:p>
    <w:p>
      <w:pPr>
        <w:pStyle w:val="Heading2"/>
        <w:spacing w:after="120" w:before="240"/>
      </w:pPr>
      <w:r>
        <w:rPr>
          <w:rFonts w:ascii="Arial" w:cs="Arial" w:eastAsia="Arial" w:hAnsi="Arial"/>
          <w:b/>
          <w:bCs/>
          <w:color w:val="263849"/>
          <w:sz w:val="30"/>
          <w:szCs w:val="30"/>
        </w:rPr>
        <w:t xml:space="preserve">1.3 Data flow</w:t>
      </w:r>
    </w:p>
    <w:p>
      <w:pPr>
        <w:spacing w:after="140" w:line="280"/>
        <w:jc w:val="both"/>
      </w:pPr>
      <w:r>
        <w:rPr>
          <w:rFonts w:ascii="Arial" w:cs="Arial" w:eastAsia="Arial" w:hAnsi="Arial"/>
          <w:sz w:val="22"/>
          <w:szCs w:val="22"/>
        </w:rPr>
        <w:t xml:space="preserve">At the highest level, data moves through the platform in three flows:</w:t>
      </w:r>
    </w:p>
    <w:p>
      <w:pPr>
        <w:spacing w:after="80"/>
      </w:pPr>
      <w:r>
        <w:rPr>
          <w:rFonts w:ascii="Arial" w:cs="Arial" w:eastAsia="Arial" w:hAnsi="Arial"/>
          <w:b/>
          <w:bCs/>
          <w:sz w:val="22"/>
          <w:szCs w:val="22"/>
        </w:rPr>
        <w:t xml:space="preserve">Onboarding flow</w:t>
      </w:r>
    </w:p>
    <w:p>
      <w:pPr>
        <w:pStyle w:val="ListParagraph"/>
        <w:numPr>
          <w:ilvl w:val="0"/>
          <w:numId w:val="2"/>
        </w:numPr>
        <w:spacing w:after="60"/>
      </w:pPr>
      <w:r>
        <w:rPr>
          <w:rFonts w:ascii="Arial" w:cs="Arial" w:eastAsia="Arial" w:hAnsi="Arial"/>
          <w:sz w:val="22"/>
          <w:szCs w:val="22"/>
        </w:rPr>
        <w:t xml:space="preserve">Analyst fills a TopSheet Excel template (v9, 26 tabs) for a new deal.</w:t>
      </w:r>
    </w:p>
    <w:p>
      <w:pPr>
        <w:pStyle w:val="ListParagraph"/>
        <w:numPr>
          <w:ilvl w:val="0"/>
          <w:numId w:val="2"/>
        </w:numPr>
        <w:spacing w:after="60"/>
      </w:pPr>
      <w:r>
        <w:rPr>
          <w:rFonts w:ascii="Arial" w:cs="Arial" w:eastAsia="Arial" w:hAnsi="Arial"/>
          <w:sz w:val="22"/>
          <w:szCs w:val="22"/>
        </w:rPr>
        <w:t xml:space="preserve">Uploaded to /api/topsheet/import.</w:t>
      </w:r>
    </w:p>
    <w:p>
      <w:pPr>
        <w:pStyle w:val="ListParagraph"/>
        <w:numPr>
          <w:ilvl w:val="0"/>
          <w:numId w:val="2"/>
        </w:numPr>
        <w:spacing w:after="60"/>
      </w:pPr>
      <w:r>
        <w:rPr>
          <w:rFonts w:ascii="Arial" w:cs="Arial" w:eastAsia="Arial" w:hAnsi="Arial"/>
          <w:sz w:val="22"/>
          <w:szCs w:val="22"/>
        </w:rPr>
        <w:t xml:space="preserve">TopSheet importer parses every tab into proposals bundled as a document_processing_run.</w:t>
      </w:r>
    </w:p>
    <w:p>
      <w:pPr>
        <w:pStyle w:val="ListParagraph"/>
        <w:numPr>
          <w:ilvl w:val="0"/>
          <w:numId w:val="2"/>
        </w:numPr>
        <w:spacing w:after="60"/>
      </w:pPr>
      <w:r>
        <w:rPr>
          <w:rFonts w:ascii="Arial" w:cs="Arial" w:eastAsia="Arial" w:hAnsi="Arial"/>
          <w:sz w:val="22"/>
          <w:szCs w:val="22"/>
        </w:rPr>
        <w:t xml:space="preserve">Analyst reviews proposals at /documents/{id}/proposals, amends, commits.</w:t>
      </w:r>
    </w:p>
    <w:p>
      <w:pPr>
        <w:pStyle w:val="ListParagraph"/>
        <w:numPr>
          <w:ilvl w:val="0"/>
          <w:numId w:val="2"/>
        </w:numPr>
        <w:spacing w:after="60"/>
      </w:pPr>
      <w:r>
        <w:rPr>
          <w:rFonts w:ascii="Arial" w:cs="Arial" w:eastAsia="Arial" w:hAnsi="Arial"/>
          <w:sz w:val="22"/>
          <w:szCs w:val="22"/>
        </w:rPr>
        <w:t xml:space="preserve">Commit atomically writes into deal-scoped tables with source_* provenance, fires engines, publishes activity + notifications.</w:t>
      </w:r>
    </w:p>
    <w:p>
      <w:pPr>
        <w:spacing w:after="80"/>
      </w:pPr>
      <w:r>
        <w:rPr>
          <w:rFonts w:ascii="Arial" w:cs="Arial" w:eastAsia="Arial" w:hAnsi="Arial"/>
          <w:b/>
          <w:bCs/>
          <w:sz w:val="22"/>
          <w:szCs w:val="22"/>
        </w:rPr>
        <w:t xml:space="preserve">Ongoing monitoring flow</w:t>
      </w:r>
    </w:p>
    <w:p>
      <w:pPr>
        <w:pStyle w:val="ListParagraph"/>
        <w:numPr>
          <w:ilvl w:val="0"/>
          <w:numId w:val="2"/>
        </w:numPr>
        <w:spacing w:after="60"/>
      </w:pPr>
      <w:r>
        <w:rPr>
          <w:rFonts w:ascii="Arial" w:cs="Arial" w:eastAsia="Arial" w:hAnsi="Arial"/>
          <w:sz w:val="22"/>
          <w:szCs w:val="22"/>
        </w:rPr>
        <w:t xml:space="preserve">Borrower delivers quarterly report / compliance certificate / financial model update.</w:t>
      </w:r>
    </w:p>
    <w:p>
      <w:pPr>
        <w:pStyle w:val="ListParagraph"/>
        <w:numPr>
          <w:ilvl w:val="0"/>
          <w:numId w:val="2"/>
        </w:numPr>
        <w:spacing w:after="60"/>
      </w:pPr>
      <w:r>
        <w:rPr>
          <w:rFonts w:ascii="Arial" w:cs="Arial" w:eastAsia="Arial" w:hAnsi="Arial"/>
          <w:sz w:val="22"/>
          <w:szCs w:val="22"/>
        </w:rPr>
        <w:t xml:space="preserve">Document uploaded at /api/documents/upload; extractor runs; proposals generated.</w:t>
      </w:r>
    </w:p>
    <w:p>
      <w:pPr>
        <w:pStyle w:val="ListParagraph"/>
        <w:numPr>
          <w:ilvl w:val="0"/>
          <w:numId w:val="2"/>
        </w:numPr>
        <w:spacing w:after="60"/>
      </w:pPr>
      <w:r>
        <w:rPr>
          <w:rFonts w:ascii="Arial" w:cs="Arial" w:eastAsia="Arial" w:hAnsi="Arial"/>
          <w:sz w:val="22"/>
          <w:szCs w:val="22"/>
        </w:rPr>
        <w:t xml:space="preserve">Analyst reviews proposals (diff against current state, source passage alongside).</w:t>
      </w:r>
    </w:p>
    <w:p>
      <w:pPr>
        <w:pStyle w:val="ListParagraph"/>
        <w:numPr>
          <w:ilvl w:val="0"/>
          <w:numId w:val="2"/>
        </w:numPr>
        <w:spacing w:after="60"/>
      </w:pPr>
      <w:r>
        <w:rPr>
          <w:rFonts w:ascii="Arial" w:cs="Arial" w:eastAsia="Arial" w:hAnsi="Arial"/>
          <w:sz w:val="22"/>
          <w:szCs w:val="22"/>
        </w:rPr>
        <w:t xml:space="preserve">Commit writes new actuals into period_financial_items, supersedes prior rows where applicable, re-runs engines (grade, variance, covenant, distribution, reconciliation).</w:t>
      </w:r>
    </w:p>
    <w:p>
      <w:pPr>
        <w:pStyle w:val="ListParagraph"/>
        <w:numPr>
          <w:ilvl w:val="0"/>
          <w:numId w:val="2"/>
        </w:numPr>
        <w:spacing w:after="60"/>
      </w:pPr>
      <w:r>
        <w:rPr>
          <w:rFonts w:ascii="Arial" w:cs="Arial" w:eastAsia="Arial" w:hAnsi="Arial"/>
          <w:sz w:val="22"/>
          <w:szCs w:val="22"/>
        </w:rPr>
        <w:t xml:space="preserve">Engine outputs flow to the deal page, portfolio dashboard, and any subscribed notifications / alerts.</w:t>
      </w:r>
    </w:p>
    <w:p>
      <w:pPr>
        <w:spacing w:after="80"/>
      </w:pPr>
      <w:r>
        <w:rPr>
          <w:rFonts w:ascii="Arial" w:cs="Arial" w:eastAsia="Arial" w:hAnsi="Arial"/>
          <w:b/>
          <w:bCs/>
          <w:sz w:val="22"/>
          <w:szCs w:val="22"/>
        </w:rPr>
        <w:t xml:space="preserve">Reforecast flow</w:t>
      </w:r>
    </w:p>
    <w:p>
      <w:pPr>
        <w:pStyle w:val="ListParagraph"/>
        <w:numPr>
          <w:ilvl w:val="0"/>
          <w:numId w:val="2"/>
        </w:numPr>
        <w:spacing w:after="60"/>
      </w:pPr>
      <w:r>
        <w:rPr>
          <w:rFonts w:ascii="Arial" w:cs="Arial" w:eastAsia="Arial" w:hAnsi="Arial"/>
          <w:sz w:val="22"/>
          <w:szCs w:val="22"/>
        </w:rPr>
        <w:t xml:space="preserve">PM creates a new forecast_case_version for an existing forecast_case (e.g. re-forecasts management case).</w:t>
      </w:r>
    </w:p>
    <w:p>
      <w:pPr>
        <w:pStyle w:val="ListParagraph"/>
        <w:numPr>
          <w:ilvl w:val="0"/>
          <w:numId w:val="2"/>
        </w:numPr>
        <w:spacing w:after="60"/>
      </w:pPr>
      <w:r>
        <w:rPr>
          <w:rFonts w:ascii="Arial" w:cs="Arial" w:eastAsia="Arial" w:hAnsi="Arial"/>
          <w:sz w:val="22"/>
          <w:szCs w:val="22"/>
        </w:rPr>
        <w:t xml:space="preserve">Prior version stays frozen as historical record; new version is active.</w:t>
      </w:r>
    </w:p>
    <w:p>
      <w:pPr>
        <w:pStyle w:val="ListParagraph"/>
        <w:numPr>
          <w:ilvl w:val="0"/>
          <w:numId w:val="2"/>
        </w:numPr>
        <w:spacing w:after="60"/>
      </w:pPr>
      <w:r>
        <w:rPr>
          <w:rFonts w:ascii="Arial" w:cs="Arial" w:eastAsia="Arial" w:hAnsi="Arial"/>
          <w:sz w:val="22"/>
          <w:szCs w:val="22"/>
        </w:rPr>
        <w:t xml:space="preserve">Forecast Refresh Impact Engine diffs old vs new version and writes forecast_refresh_impacts rows.</w:t>
      </w:r>
    </w:p>
    <w:p>
      <w:pPr>
        <w:pStyle w:val="ListParagraph"/>
        <w:numPr>
          <w:ilvl w:val="0"/>
          <w:numId w:val="2"/>
        </w:numPr>
        <w:spacing w:after="60"/>
      </w:pPr>
      <w:r>
        <w:rPr>
          <w:rFonts w:ascii="Arial" w:cs="Arial" w:eastAsia="Arial" w:hAnsi="Arial"/>
          <w:sz w:val="22"/>
          <w:szCs w:val="22"/>
        </w:rPr>
        <w:t xml:space="preserve">Deal Overview shows a "what changed" summary sourced from refresh impacts.</w:t>
      </w:r>
    </w:p>
    <w:p>
      <w:pPr>
        <w:pStyle w:val="Heading2"/>
        <w:spacing w:after="120" w:before="240"/>
      </w:pPr>
      <w:r>
        <w:rPr>
          <w:rFonts w:ascii="Arial" w:cs="Arial" w:eastAsia="Arial" w:hAnsi="Arial"/>
          <w:b/>
          <w:bCs/>
          <w:color w:val="263849"/>
          <w:sz w:val="30"/>
          <w:szCs w:val="30"/>
        </w:rPr>
        <w:t xml:space="preserve">1.4 Deterministic-by-design</w:t>
      </w:r>
    </w:p>
    <w:p>
      <w:pPr>
        <w:spacing w:after="140" w:line="280"/>
        <w:jc w:val="both"/>
      </w:pPr>
      <w:r>
        <w:rPr>
          <w:rFonts w:ascii="Arial" w:cs="Arial" w:eastAsia="Arial" w:hAnsi="Arial"/>
          <w:sz w:val="22"/>
          <w:szCs w:val="22"/>
        </w:rPr>
        <w:t xml:space="preserve">The platform intentionally separates two kinds of computation:</w:t>
      </w:r>
    </w:p>
    <w:p>
      <w:pPr>
        <w:pStyle w:val="ListParagraph"/>
        <w:numPr>
          <w:ilvl w:val="0"/>
          <w:numId w:val="2"/>
        </w:numPr>
        <w:spacing w:after="60"/>
      </w:pPr>
      <w:r>
        <w:rPr>
          <w:rFonts w:ascii="Arial" w:cs="Arial" w:eastAsia="Arial" w:hAnsi="Arial"/>
          <w:b/>
          <w:bCs/>
          <w:sz w:val="22"/>
          <w:szCs w:val="22"/>
        </w:rPr>
        <w:t xml:space="preserve">Deterministic engines: </w:t>
      </w:r>
      <w:r>
        <w:rPr>
          <w:rFonts w:ascii="Arial" w:cs="Arial" w:eastAsia="Arial" w:hAnsi="Arial"/>
          <w:sz w:val="22"/>
          <w:szCs w:val="22"/>
        </w:rPr>
        <w:t xml:space="preserve">Pure functions. Re-running on unchanged inputs produces bit-identical outputs. All credit math (DSCR, LLCR, grades, covenant tests, variance, trend, distribution gates, capital stack, ratchets, reserve history) lives here. Produces structured output rows — not free text.</w:t>
      </w:r>
    </w:p>
    <w:p>
      <w:pPr>
        <w:pStyle w:val="ListParagraph"/>
        <w:numPr>
          <w:ilvl w:val="0"/>
          <w:numId w:val="2"/>
        </w:numPr>
        <w:spacing w:after="60"/>
      </w:pPr>
      <w:r>
        <w:rPr>
          <w:rFonts w:ascii="Arial" w:cs="Arial" w:eastAsia="Arial" w:hAnsi="Arial"/>
          <w:b/>
          <w:bCs/>
          <w:sz w:val="22"/>
          <w:szCs w:val="22"/>
        </w:rPr>
        <w:t xml:space="preserve">AI-assisted extraction: </w:t>
      </w:r>
      <w:r>
        <w:rPr>
          <w:rFonts w:ascii="Arial" w:cs="Arial" w:eastAsia="Arial" w:hAnsi="Arial"/>
          <w:sz w:val="22"/>
          <w:szCs w:val="22"/>
        </w:rPr>
        <w:t xml:space="preserve">Parsers of unstructured source documents (PDFs, Word letters, emails). Produces proposals that a human must review. Nothing AI-extracted writes to canonical tables without human commit.</w:t>
      </w:r>
    </w:p>
    <w:p>
      <w:pPr>
        <w:pBdr>
          <w:left w:val="single" w:color="1F6FA5" w:sz="16" w:space="10"/>
        </w:pBdr>
        <w:spacing w:after="160" w:before="80"/>
        <w:ind w:left="200"/>
      </w:pPr>
      <w:r>
        <w:rPr>
          <w:rFonts w:ascii="Arial" w:cs="Arial" w:eastAsia="Arial" w:hAnsi="Arial"/>
          <w:i/>
          <w:iCs/>
          <w:color w:val="56718A"/>
          <w:sz w:val="22"/>
          <w:szCs w:val="22"/>
        </w:rPr>
        <w:t xml:space="preserve">This split is the audit-trail guarantee. Regulators or investors can re-run any engine at any time and reproduce the original number; and every canonical number traces to a human commit from a specific document passage.</w:t>
      </w:r>
    </w:p>
    <w:p>
      <w:pPr>
        <w:pStyle w:val="Heading2"/>
        <w:spacing w:after="120" w:before="240"/>
      </w:pPr>
      <w:r>
        <w:rPr>
          <w:rFonts w:ascii="Arial" w:cs="Arial" w:eastAsia="Arial" w:hAnsi="Arial"/>
          <w:b/>
          <w:bCs/>
          <w:color w:val="263849"/>
          <w:sz w:val="30"/>
          <w:szCs w:val="30"/>
        </w:rPr>
        <w:t xml:space="preserve">1.5 Canonical record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Entity</w:t>
            </w:r>
          </w:p>
        </w:tc>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Table</w:t>
            </w:r>
          </w:p>
        </w:tc>
        <w:tc>
          <w:tcPr>
            <w:tcW w:type="dxa" w:w="4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Scope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Portfolio unit. One row per facility / investment.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Instrument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capital_structure_instruments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Debt tranche within a deal.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Entity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corporate_entities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Legal person in the structure (BorrowerCo, HoldCo, OpCo, Sponsor, etc.).</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covenant_thresholds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 contractual test on a deal.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deal_risk_register</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Identified risk against a deal.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period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deal_reporting_periods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Slot in a deal's financial reporting calendar.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 item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line_item_definitions + period_financial_items + forecast_period_items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Chart of accounts + actuals + forecasts.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KPI observation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deal_kpi_observations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Borrower-reported KPI actual.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deal_obligation_register</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Contractual deliverable (report, cert, insurance).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Amendment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deal_amendments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Waiver or amendment of deal terms.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documents + incoming_documents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 of every on-platform fact.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Snapshot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deal_topsheet_snapshots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Frozen point-in-time full deal state.</w:t>
            </w:r>
          </w:p>
        </w:tc>
      </w:tr>
    </w:tbl>
    <w:p>
      <w:pPr>
        <w:pStyle w:val="Heading2"/>
        <w:spacing w:after="120" w:before="240"/>
      </w:pPr>
      <w:r>
        <w:rPr>
          <w:rFonts w:ascii="Arial" w:cs="Arial" w:eastAsia="Arial" w:hAnsi="Arial"/>
          <w:b/>
          <w:bCs/>
          <w:color w:val="263849"/>
          <w:sz w:val="30"/>
          <w:szCs w:val="30"/>
        </w:rPr>
        <w:t xml:space="preserve">1.6 Technology choices — why</w:t>
      </w:r>
    </w:p>
    <w:p>
      <w:pPr>
        <w:pStyle w:val="ListParagraph"/>
        <w:numPr>
          <w:ilvl w:val="0"/>
          <w:numId w:val="2"/>
        </w:numPr>
        <w:spacing w:after="60"/>
      </w:pPr>
      <w:r>
        <w:rPr>
          <w:rFonts w:ascii="Arial" w:cs="Arial" w:eastAsia="Arial" w:hAnsi="Arial"/>
          <w:b/>
          <w:bCs/>
          <w:sz w:val="22"/>
          <w:szCs w:val="22"/>
        </w:rPr>
        <w:t xml:space="preserve">Postgres as the only data store: </w:t>
      </w:r>
      <w:r>
        <w:rPr>
          <w:rFonts w:ascii="Arial" w:cs="Arial" w:eastAsia="Arial" w:hAnsi="Arial"/>
          <w:sz w:val="22"/>
          <w:szCs w:val="22"/>
        </w:rPr>
        <w:t xml:space="preserve">All structured data, including activity logs and notifications, lives in Postgres. No separate Mongo, no Redis for state. Simpler ops; transactional guarantees for commits that touch many tables.</w:t>
      </w:r>
    </w:p>
    <w:p>
      <w:pPr>
        <w:pStyle w:val="ListParagraph"/>
        <w:numPr>
          <w:ilvl w:val="0"/>
          <w:numId w:val="2"/>
        </w:numPr>
        <w:spacing w:after="60"/>
      </w:pPr>
      <w:r>
        <w:rPr>
          <w:rFonts w:ascii="Arial" w:cs="Arial" w:eastAsia="Arial" w:hAnsi="Arial"/>
          <w:b/>
          <w:bCs/>
          <w:sz w:val="22"/>
          <w:szCs w:val="22"/>
        </w:rPr>
        <w:t xml:space="preserve">Python monolith for the server: </w:t>
      </w:r>
      <w:r>
        <w:rPr>
          <w:rFonts w:ascii="Arial" w:cs="Arial" w:eastAsia="Arial" w:hAnsi="Arial"/>
          <w:sz w:val="22"/>
          <w:szCs w:val="22"/>
        </w:rPr>
        <w:t xml:space="preserve">Single main.py keeps the entire read-write surface in one place during platform-build phase. When teams split responsibilities post-launch, breaking apart into modules by engine is the recommended factoring.</w:t>
      </w:r>
    </w:p>
    <w:p>
      <w:pPr>
        <w:pStyle w:val="ListParagraph"/>
        <w:numPr>
          <w:ilvl w:val="0"/>
          <w:numId w:val="2"/>
        </w:numPr>
        <w:spacing w:after="60"/>
      </w:pPr>
      <w:r>
        <w:rPr>
          <w:rFonts w:ascii="Arial" w:cs="Arial" w:eastAsia="Arial" w:hAnsi="Arial"/>
          <w:b/>
          <w:bCs/>
          <w:sz w:val="22"/>
          <w:szCs w:val="22"/>
        </w:rPr>
        <w:t xml:space="preserve">Next.js for the UI: </w:t>
      </w:r>
      <w:r>
        <w:rPr>
          <w:rFonts w:ascii="Arial" w:cs="Arial" w:eastAsia="Arial" w:hAnsi="Arial"/>
          <w:sz w:val="22"/>
          <w:szCs w:val="22"/>
        </w:rPr>
        <w:t xml:space="preserve">App Router + React Server Components give us server-side initial rendering of the portfolio dashboard (fast paint) with client-side interactivity where needed (filters, toggles, charts).</w:t>
      </w:r>
    </w:p>
    <w:p>
      <w:pPr>
        <w:pStyle w:val="ListParagraph"/>
        <w:numPr>
          <w:ilvl w:val="0"/>
          <w:numId w:val="2"/>
        </w:numPr>
        <w:spacing w:after="60"/>
      </w:pPr>
      <w:r>
        <w:rPr>
          <w:rFonts w:ascii="Arial" w:cs="Arial" w:eastAsia="Arial" w:hAnsi="Arial"/>
          <w:b/>
          <w:bCs/>
          <w:sz w:val="22"/>
          <w:szCs w:val="22"/>
        </w:rPr>
        <w:t xml:space="preserve">Recharts for charts: </w:t>
      </w:r>
      <w:r>
        <w:rPr>
          <w:rFonts w:ascii="Arial" w:cs="Arial" w:eastAsia="Arial" w:hAnsi="Arial"/>
          <w:sz w:val="22"/>
          <w:szCs w:val="22"/>
        </w:rPr>
        <w:t xml:space="preserve">Well-maintained, stable API, integrates cleanly with React Server Components. Used for every chart in the system.</w:t>
      </w:r>
    </w:p>
    <w:p>
      <w:pPr>
        <w:pStyle w:val="ListParagraph"/>
        <w:numPr>
          <w:ilvl w:val="0"/>
          <w:numId w:val="2"/>
        </w:numPr>
        <w:spacing w:after="60"/>
      </w:pPr>
      <w:r>
        <w:rPr>
          <w:rFonts w:ascii="Arial" w:cs="Arial" w:eastAsia="Arial" w:hAnsi="Arial"/>
          <w:b/>
          <w:bCs/>
          <w:sz w:val="22"/>
          <w:szCs w:val="22"/>
        </w:rPr>
        <w:t xml:space="preserve">Starlette over FastAPI: </w:t>
      </w:r>
      <w:r>
        <w:rPr>
          <w:rFonts w:ascii="Arial" w:cs="Arial" w:eastAsia="Arial" w:hAnsi="Arial"/>
          <w:sz w:val="22"/>
          <w:szCs w:val="22"/>
        </w:rPr>
        <w:t xml:space="preserve">Lighter weight. No heavy dependency on Pydantic across 19k lines when we primarily use raw dict + explicit validation in the route handlers.</w:t>
      </w:r>
    </w:p>
    <w:p>
      <w:pPr>
        <w:pStyle w:val="ListParagraph"/>
        <w:numPr>
          <w:ilvl w:val="0"/>
          <w:numId w:val="2"/>
        </w:numPr>
        <w:spacing w:after="60"/>
      </w:pPr>
      <w:r>
        <w:rPr>
          <w:rFonts w:ascii="Arial" w:cs="Arial" w:eastAsia="Arial" w:hAnsi="Arial"/>
          <w:b/>
          <w:bCs/>
          <w:sz w:val="22"/>
          <w:szCs w:val="22"/>
        </w:rPr>
        <w:t xml:space="preserve">psycopg v3: </w:t>
      </w:r>
      <w:r>
        <w:rPr>
          <w:rFonts w:ascii="Arial" w:cs="Arial" w:eastAsia="Arial" w:hAnsi="Arial"/>
          <w:sz w:val="22"/>
          <w:szCs w:val="22"/>
        </w:rPr>
        <w:t xml:space="preserve">Direct SQL. No ORM. Queries live alongside the endpoints they serve; easy to audit.</w:t>
      </w:r>
    </w:p>
    <w:p>
      <w:pPr>
        <w:pStyle w:val="Heading2"/>
        <w:spacing w:after="120" w:before="240"/>
      </w:pPr>
      <w:r>
        <w:rPr>
          <w:rFonts w:ascii="Arial" w:cs="Arial" w:eastAsia="Arial" w:hAnsi="Arial"/>
          <w:b/>
          <w:bCs/>
          <w:color w:val="263849"/>
          <w:sz w:val="30"/>
          <w:szCs w:val="30"/>
        </w:rPr>
        <w:t xml:space="preserve">1.7 What the platform does NOT do (scope boundaries)</w:t>
      </w:r>
    </w:p>
    <w:p>
      <w:pPr>
        <w:pStyle w:val="ListParagraph"/>
        <w:numPr>
          <w:ilvl w:val="0"/>
          <w:numId w:val="2"/>
        </w:numPr>
        <w:spacing w:after="60"/>
      </w:pPr>
      <w:r>
        <w:rPr>
          <w:rFonts w:ascii="Arial" w:cs="Arial" w:eastAsia="Arial" w:hAnsi="Arial"/>
          <w:sz w:val="22"/>
          <w:szCs w:val="22"/>
        </w:rPr>
        <w:t xml:space="preserve">Does not originate deals. New deals arrive via TopSheet upload.</w:t>
      </w:r>
    </w:p>
    <w:p>
      <w:pPr>
        <w:pStyle w:val="ListParagraph"/>
        <w:numPr>
          <w:ilvl w:val="0"/>
          <w:numId w:val="2"/>
        </w:numPr>
        <w:spacing w:after="60"/>
      </w:pPr>
      <w:r>
        <w:rPr>
          <w:rFonts w:ascii="Arial" w:cs="Arial" w:eastAsia="Arial" w:hAnsi="Arial"/>
          <w:sz w:val="22"/>
          <w:szCs w:val="22"/>
        </w:rPr>
        <w:t xml:space="preserve">Does not run in-line credit decisioning. Grades are monitoring outcomes, not approval decisions.</w:t>
      </w:r>
    </w:p>
    <w:p>
      <w:pPr>
        <w:pStyle w:val="ListParagraph"/>
        <w:numPr>
          <w:ilvl w:val="0"/>
          <w:numId w:val="2"/>
        </w:numPr>
        <w:spacing w:after="60"/>
      </w:pPr>
      <w:r>
        <w:rPr>
          <w:rFonts w:ascii="Arial" w:cs="Arial" w:eastAsia="Arial" w:hAnsi="Arial"/>
          <w:sz w:val="22"/>
          <w:szCs w:val="22"/>
        </w:rPr>
        <w:t xml:space="preserve">Does not calculate MTM for trading purposes.</w:t>
      </w:r>
    </w:p>
    <w:p>
      <w:pPr>
        <w:pStyle w:val="ListParagraph"/>
        <w:numPr>
          <w:ilvl w:val="0"/>
          <w:numId w:val="2"/>
        </w:numPr>
        <w:spacing w:after="60"/>
      </w:pPr>
      <w:r>
        <w:rPr>
          <w:rFonts w:ascii="Arial" w:cs="Arial" w:eastAsia="Arial" w:hAnsi="Arial"/>
          <w:sz w:val="22"/>
          <w:szCs w:val="22"/>
        </w:rPr>
        <w:t xml:space="preserve">Does not replace legal document storage (a DMS integration is a future item).</w:t>
      </w:r>
    </w:p>
    <w:p>
      <w:pPr>
        <w:pStyle w:val="ListParagraph"/>
        <w:numPr>
          <w:ilvl w:val="0"/>
          <w:numId w:val="2"/>
        </w:numPr>
        <w:spacing w:after="60"/>
      </w:pPr>
      <w:r>
        <w:rPr>
          <w:rFonts w:ascii="Arial" w:cs="Arial" w:eastAsia="Arial" w:hAnsi="Arial"/>
          <w:sz w:val="22"/>
          <w:szCs w:val="22"/>
        </w:rPr>
        <w:t xml:space="preserve">Does not manage cash movement or payments. Distribution assessment is informational — actual payment rails are external.</w:t>
      </w:r>
    </w:p>
    <w:p>
      <w:pPr>
        <w:pStyle w:val="ListParagraph"/>
        <w:numPr>
          <w:ilvl w:val="0"/>
          <w:numId w:val="2"/>
        </w:numPr>
        <w:spacing w:after="60"/>
      </w:pPr>
      <w:r>
        <w:rPr>
          <w:rFonts w:ascii="Arial" w:cs="Arial" w:eastAsia="Arial" w:hAnsi="Arial"/>
          <w:sz w:val="22"/>
          <w:szCs w:val="22"/>
        </w:rPr>
        <w:t xml:space="preserve">Does not replicate sponsor financial models. It ingests their outputs (forecasts, actuals).</w:t>
      </w:r>
    </w:p>
    <w:p>
      <w:pPr>
        <w:pStyle w:val="Heading2"/>
        <w:spacing w:after="120" w:before="240"/>
      </w:pPr>
      <w:r>
        <w:rPr>
          <w:rFonts w:ascii="Arial" w:cs="Arial" w:eastAsia="Arial" w:hAnsi="Arial"/>
          <w:b/>
          <w:bCs/>
          <w:color w:val="263849"/>
          <w:sz w:val="30"/>
          <w:szCs w:val="30"/>
        </w:rPr>
        <w:t xml:space="preserve">1.8 Key invariants</w:t>
      </w:r>
    </w:p>
    <w:p>
      <w:pPr>
        <w:pStyle w:val="ListParagraph"/>
        <w:numPr>
          <w:ilvl w:val="0"/>
          <w:numId w:val="2"/>
        </w:numPr>
        <w:spacing w:after="60"/>
      </w:pPr>
      <w:r>
        <w:rPr>
          <w:rFonts w:ascii="Arial" w:cs="Arial" w:eastAsia="Arial" w:hAnsi="Arial"/>
          <w:sz w:val="22"/>
          <w:szCs w:val="22"/>
        </w:rPr>
        <w:t xml:space="preserve">Every on-platform fact has a source_document_id (canonical tables) or a source_extractor='human' (manual entry).</w:t>
      </w:r>
    </w:p>
    <w:p>
      <w:pPr>
        <w:pStyle w:val="ListParagraph"/>
        <w:numPr>
          <w:ilvl w:val="0"/>
          <w:numId w:val="2"/>
        </w:numPr>
        <w:spacing w:after="60"/>
      </w:pPr>
      <w:r>
        <w:rPr>
          <w:rFonts w:ascii="Arial" w:cs="Arial" w:eastAsia="Arial" w:hAnsi="Arial"/>
          <w:sz w:val="22"/>
          <w:szCs w:val="22"/>
        </w:rPr>
        <w:t xml:space="preserve">Forecast rows are immutable once committed. Reforecasts create new versions.</w:t>
      </w:r>
    </w:p>
    <w:p>
      <w:pPr>
        <w:pStyle w:val="ListParagraph"/>
        <w:numPr>
          <w:ilvl w:val="0"/>
          <w:numId w:val="2"/>
        </w:numPr>
        <w:spacing w:after="60"/>
      </w:pPr>
      <w:r>
        <w:rPr>
          <w:rFonts w:ascii="Arial" w:cs="Arial" w:eastAsia="Arial" w:hAnsi="Arial"/>
          <w:sz w:val="22"/>
          <w:szCs w:val="22"/>
        </w:rPr>
        <w:t xml:space="preserve">Actual rows flow through approval_status proposed → approved; only approved rows feed engines.</w:t>
      </w:r>
    </w:p>
    <w:p>
      <w:pPr>
        <w:pStyle w:val="ListParagraph"/>
        <w:numPr>
          <w:ilvl w:val="0"/>
          <w:numId w:val="2"/>
        </w:numPr>
        <w:spacing w:after="60"/>
      </w:pPr>
      <w:r>
        <w:rPr>
          <w:rFonts w:ascii="Arial" w:cs="Arial" w:eastAsia="Arial" w:hAnsi="Arial"/>
          <w:sz w:val="22"/>
          <w:szCs w:val="22"/>
        </w:rPr>
        <w:t xml:space="preserve">Every deal has at least a management_case forecast before any variance analysis runs.</w:t>
      </w:r>
    </w:p>
    <w:p>
      <w:pPr>
        <w:pStyle w:val="ListParagraph"/>
        <w:numPr>
          <w:ilvl w:val="0"/>
          <w:numId w:val="2"/>
        </w:numPr>
        <w:spacing w:after="60"/>
      </w:pPr>
      <w:r>
        <w:rPr>
          <w:rFonts w:ascii="Arial" w:cs="Arial" w:eastAsia="Arial" w:hAnsi="Arial"/>
          <w:sz w:val="22"/>
          <w:szCs w:val="22"/>
        </w:rPr>
        <w:t xml:space="preserve">Grades are multi-metric (DSCR + collateral); single-metric grading is not supported.</w:t>
      </w:r>
    </w:p>
    <w:p>
      <w:pPr>
        <w:pStyle w:val="ListParagraph"/>
        <w:numPr>
          <w:ilvl w:val="0"/>
          <w:numId w:val="2"/>
        </w:numPr>
        <w:spacing w:after="60"/>
      </w:pPr>
      <w:r>
        <w:rPr>
          <w:rFonts w:ascii="Arial" w:cs="Arial" w:eastAsia="Arial" w:hAnsi="Arial"/>
          <w:sz w:val="22"/>
          <w:szCs w:val="22"/>
        </w:rPr>
        <w:t xml:space="preserve">Currency: deal-level endpoints are native; portfolio aggregates convert at spot via fx_rates.</w:t>
      </w:r>
    </w:p>
    <w:p>
      <w:pPr>
        <w:pStyle w:val="ListParagraph"/>
        <w:numPr>
          <w:ilvl w:val="0"/>
          <w:numId w:val="2"/>
        </w:numPr>
        <w:spacing w:after="60"/>
      </w:pPr>
      <w:r>
        <w:rPr>
          <w:rFonts w:ascii="Arial" w:cs="Arial" w:eastAsia="Arial" w:hAnsi="Arial"/>
          <w:sz w:val="22"/>
          <w:szCs w:val="22"/>
        </w:rPr>
        <w:t xml:space="preserve">Idempotent schema: init.sql + migrations.sql re-run cleanly on an existing database.</w:t>
      </w:r>
    </w:p>
    <w:p>
      <w:pPr>
        <w:pStyle w:val="Heading1"/>
        <w:pageBreakBefore/>
        <w:spacing w:after="180" w:before="240"/>
      </w:pPr>
      <w:r>
        <w:rPr>
          <w:rFonts w:ascii="Arial" w:cs="Arial" w:eastAsia="Arial" w:hAnsi="Arial"/>
          <w:b/>
          <w:bCs/>
          <w:color w:val="1F6FA5"/>
          <w:sz w:val="40"/>
          <w:szCs w:val="40"/>
        </w:rPr>
        <w:t xml:space="preserve">Part II — Data model</w:t>
      </w:r>
    </w:p>
    <w:p>
      <w:pPr>
        <w:pStyle w:val="Heading2"/>
        <w:spacing w:after="120" w:before="240"/>
      </w:pPr>
      <w:r>
        <w:rPr>
          <w:rFonts w:ascii="Arial" w:cs="Arial" w:eastAsia="Arial" w:hAnsi="Arial"/>
          <w:b/>
          <w:bCs/>
          <w:color w:val="263849"/>
          <w:sz w:val="30"/>
          <w:szCs w:val="30"/>
        </w:rPr>
        <w:t xml:space="preserve">2.1 Organisation</w:t>
      </w:r>
    </w:p>
    <w:p>
      <w:pPr>
        <w:spacing w:after="140" w:line="280"/>
        <w:jc w:val="both"/>
      </w:pPr>
      <w:r>
        <w:rPr>
          <w:rFonts w:ascii="Arial" w:cs="Arial" w:eastAsia="Arial" w:hAnsi="Arial"/>
          <w:sz w:val="22"/>
          <w:szCs w:val="22"/>
        </w:rPr>
        <w:t xml:space="preserve">The database comprises 98 tables organised into 17 families. Each family corresponds to a coherent domain — deals, capital structure, covenants, risk, financials, forecasts, obligations, amendments, snapshots, documents, portfolio holdings, FX, analytical outputs, workflow, reports, users, and reference data. Relationships are enforced with foreign keys where the cost is low; some high-cardinality reference joins are unconstrained for performance.</w:t>
      </w:r>
    </w:p>
    <w:p>
      <w:pPr>
        <w:spacing w:after="140" w:line="280"/>
        <w:jc w:val="both"/>
      </w:pPr>
      <w:r>
        <w:rPr>
          <w:rFonts w:ascii="Arial" w:cs="Arial" w:eastAsia="Arial" w:hAnsi="Arial"/>
          <w:sz w:val="22"/>
          <w:szCs w:val="22"/>
        </w:rPr>
        <w:t xml:space="preserve">All tables follow three conventions: (a) CREATE TABLE IF NOT EXISTS for idempotent boot; (b) at least one surrogate primary key (INTEGER or BIGSERIAL); (c) every deal-scoped table carries the source_* five-column provenance block.</w:t>
      </w:r>
    </w:p>
    <w:p>
      <w:pPr>
        <w:pStyle w:val="Heading2"/>
        <w:spacing w:after="120" w:before="240"/>
      </w:pPr>
      <w:r>
        <w:rPr>
          <w:rFonts w:ascii="Arial" w:cs="Arial" w:eastAsia="Arial" w:hAnsi="Arial"/>
          <w:b/>
          <w:bCs/>
          <w:color w:val="263849"/>
          <w:sz w:val="30"/>
          <w:szCs w:val="30"/>
        </w:rPr>
        <w:t xml:space="preserve">2.2 Conventions</w:t>
      </w:r>
    </w:p>
    <w:p>
      <w:pPr>
        <w:pStyle w:val="Heading3"/>
        <w:spacing w:after="80" w:before="180"/>
      </w:pPr>
      <w:r>
        <w:rPr>
          <w:rFonts w:ascii="Arial" w:cs="Arial" w:eastAsia="Arial" w:hAnsi="Arial"/>
          <w:b/>
          <w:bCs/>
          <w:color w:val="263849"/>
          <w:sz w:val="26"/>
          <w:szCs w:val="26"/>
        </w:rPr>
        <w:t xml:space="preserve">Naming</w:t>
      </w:r>
    </w:p>
    <w:p>
      <w:pPr>
        <w:pStyle w:val="ListParagraph"/>
        <w:numPr>
          <w:ilvl w:val="0"/>
          <w:numId w:val="2"/>
        </w:numPr>
        <w:spacing w:after="60"/>
      </w:pPr>
      <w:r>
        <w:rPr>
          <w:rFonts w:ascii="Arial" w:cs="Arial" w:eastAsia="Arial" w:hAnsi="Arial"/>
          <w:sz w:val="22"/>
          <w:szCs w:val="22"/>
        </w:rPr>
        <w:t xml:space="preserve">Table names are snake_case, plural for collections (deals, covenant_thresholds) and singular-ish for one-per-parent collections where context makes it natural.</w:t>
      </w:r>
    </w:p>
    <w:p>
      <w:pPr>
        <w:pStyle w:val="ListParagraph"/>
        <w:numPr>
          <w:ilvl w:val="0"/>
          <w:numId w:val="2"/>
        </w:numPr>
        <w:spacing w:after="60"/>
      </w:pPr>
      <w:r>
        <w:rPr>
          <w:rFonts w:ascii="Arial" w:cs="Arial" w:eastAsia="Arial" w:hAnsi="Arial"/>
          <w:sz w:val="22"/>
          <w:szCs w:val="22"/>
        </w:rPr>
        <w:t xml:space="preserve">Column names are snake_case.</w:t>
      </w:r>
    </w:p>
    <w:p>
      <w:pPr>
        <w:pStyle w:val="ListParagraph"/>
        <w:numPr>
          <w:ilvl w:val="0"/>
          <w:numId w:val="2"/>
        </w:numPr>
        <w:spacing w:after="60"/>
      </w:pPr>
      <w:r>
        <w:rPr>
          <w:rFonts w:ascii="Arial" w:cs="Arial" w:eastAsia="Arial" w:hAnsi="Arial"/>
          <w:sz w:val="22"/>
          <w:szCs w:val="22"/>
        </w:rPr>
        <w:t xml:space="preserve">Foreign keys: {referenced_table_singular}_id (deal_id, instrument_id, document_id).</w:t>
      </w:r>
    </w:p>
    <w:p>
      <w:pPr>
        <w:pStyle w:val="ListParagraph"/>
        <w:numPr>
          <w:ilvl w:val="0"/>
          <w:numId w:val="2"/>
        </w:numPr>
        <w:spacing w:after="60"/>
      </w:pPr>
      <w:r>
        <w:rPr>
          <w:rFonts w:ascii="Arial" w:cs="Arial" w:eastAsia="Arial" w:hAnsi="Arial"/>
          <w:sz w:val="22"/>
          <w:szCs w:val="22"/>
        </w:rPr>
        <w:t xml:space="preserve">Timestamp columns: created_at, updated_at, committed_at, approved_at, etc. All TIMESTAMPTZ stored in UTC.</w:t>
      </w:r>
    </w:p>
    <w:p>
      <w:pPr>
        <w:pStyle w:val="ListParagraph"/>
        <w:numPr>
          <w:ilvl w:val="0"/>
          <w:numId w:val="2"/>
        </w:numPr>
        <w:spacing w:after="60"/>
      </w:pPr>
      <w:r>
        <w:rPr>
          <w:rFonts w:ascii="Arial" w:cs="Arial" w:eastAsia="Arial" w:hAnsi="Arial"/>
          <w:sz w:val="22"/>
          <w:szCs w:val="22"/>
        </w:rPr>
        <w:t xml:space="preserve">Boolean columns: prefixed with is_ / has_ or short predicate (active, frozen, within_security_perimeter).</w:t>
      </w:r>
    </w:p>
    <w:p>
      <w:pPr>
        <w:pStyle w:val="ListParagraph"/>
        <w:numPr>
          <w:ilvl w:val="0"/>
          <w:numId w:val="2"/>
        </w:numPr>
        <w:spacing w:after="60"/>
      </w:pPr>
      <w:r>
        <w:rPr>
          <w:rFonts w:ascii="Arial" w:cs="Arial" w:eastAsia="Arial" w:hAnsi="Arial"/>
          <w:sz w:val="22"/>
          <w:szCs w:val="22"/>
        </w:rPr>
        <w:t xml:space="preserve">JSONB columns: plural and content-descriptive (assumptions_json, field_changes, evidence_citations).</w:t>
      </w:r>
    </w:p>
    <w:p>
      <w:pPr>
        <w:pStyle w:val="Heading3"/>
        <w:spacing w:after="80" w:before="180"/>
      </w:pPr>
      <w:r>
        <w:rPr>
          <w:rFonts w:ascii="Arial" w:cs="Arial" w:eastAsia="Arial" w:hAnsi="Arial"/>
          <w:b/>
          <w:bCs/>
          <w:color w:val="263849"/>
          <w:sz w:val="26"/>
          <w:szCs w:val="26"/>
        </w:rPr>
        <w:t xml:space="preserve">The source_* audit-trail block</w:t>
      </w:r>
    </w:p>
    <w:p>
      <w:pPr>
        <w:spacing w:after="140" w:line="280"/>
        <w:jc w:val="both"/>
      </w:pPr>
      <w:r>
        <w:rPr>
          <w:rFonts w:ascii="Arial" w:cs="Arial" w:eastAsia="Arial" w:hAnsi="Arial"/>
          <w:sz w:val="22"/>
          <w:szCs w:val="22"/>
        </w:rPr>
        <w:t xml:space="preserve">Seventeen deal-scoped tables carry this block. New deal-scoped tables must include it by default.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Semantics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FK into documents.id. NULL permitted for very early seed rows; production data should always populate.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source_page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1-indexed page or sheet number inside the document.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source_citation_offsets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 For PDFs: {char_start, char_end}. For spreadsheets: {sheet, cell_start, cell_end}. Enables rendering the exact passage in the proposals UI.</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source_confidence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DECIMAL(4,3), 0.0–1.0. NULL for human-entered rows. 1.0 for structured-spreadsheet-extracted rows. &lt;1.0 for AI-assisted extractions.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source_extractor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Values: 'human', 'topsheet_importer_v9', 'pdf_financial_model_v2', 'compliance_cert_parser_v1', etc.</w:t>
            </w:r>
          </w:p>
        </w:tc>
      </w:tr>
    </w:tbl>
    <w:p>
      <w:pPr>
        <w:pStyle w:val="Heading3"/>
        <w:spacing w:after="80" w:before="180"/>
      </w:pPr>
      <w:r>
        <w:rPr>
          <w:rFonts w:ascii="Arial" w:cs="Arial" w:eastAsia="Arial" w:hAnsi="Arial"/>
          <w:b/>
          <w:bCs/>
          <w:color w:val="263849"/>
          <w:sz w:val="26"/>
          <w:szCs w:val="26"/>
        </w:rPr>
        <w:t xml:space="preserve">Common columns</w:t>
      </w:r>
    </w:p>
    <w:p>
      <w:pPr>
        <w:pStyle w:val="ListParagraph"/>
        <w:numPr>
          <w:ilvl w:val="0"/>
          <w:numId w:val="2"/>
        </w:numPr>
        <w:spacing w:after="60"/>
      </w:pPr>
      <w:r>
        <w:rPr>
          <w:rFonts w:ascii="Arial" w:cs="Arial" w:eastAsia="Arial" w:hAnsi="Arial"/>
          <w:sz w:val="22"/>
          <w:szCs w:val="22"/>
        </w:rPr>
        <w:t xml:space="preserve">id BIGSERIAL PRIMARY KEY — surrogate PK on every table.</w:t>
      </w:r>
    </w:p>
    <w:p>
      <w:pPr>
        <w:pStyle w:val="ListParagraph"/>
        <w:numPr>
          <w:ilvl w:val="0"/>
          <w:numId w:val="2"/>
        </w:numPr>
        <w:spacing w:after="60"/>
      </w:pPr>
      <w:r>
        <w:rPr>
          <w:rFonts w:ascii="Arial" w:cs="Arial" w:eastAsia="Arial" w:hAnsi="Arial"/>
          <w:sz w:val="22"/>
          <w:szCs w:val="22"/>
        </w:rPr>
        <w:t xml:space="preserve">deal_id — FK on deal-scoped tables; ON DELETE CASCADE for child data.</w:t>
      </w:r>
    </w:p>
    <w:p>
      <w:pPr>
        <w:pStyle w:val="ListParagraph"/>
        <w:numPr>
          <w:ilvl w:val="0"/>
          <w:numId w:val="2"/>
        </w:numPr>
        <w:spacing w:after="60"/>
      </w:pPr>
      <w:r>
        <w:rPr>
          <w:rFonts w:ascii="Arial" w:cs="Arial" w:eastAsia="Arial" w:hAnsi="Arial"/>
          <w:sz w:val="22"/>
          <w:szCs w:val="22"/>
        </w:rPr>
        <w:t xml:space="preserve">created_at, updated_at TIMESTAMPTZ DEFAULT now().</w:t>
      </w:r>
    </w:p>
    <w:p>
      <w:pPr>
        <w:pStyle w:val="ListParagraph"/>
        <w:numPr>
          <w:ilvl w:val="0"/>
          <w:numId w:val="2"/>
        </w:numPr>
        <w:spacing w:after="60"/>
      </w:pPr>
      <w:r>
        <w:rPr>
          <w:rFonts w:ascii="Arial" w:cs="Arial" w:eastAsia="Arial" w:hAnsi="Arial"/>
          <w:sz w:val="22"/>
          <w:szCs w:val="22"/>
        </w:rPr>
        <w:t xml:space="preserve">created_by, updated_by — FK into app_users when present.</w:t>
      </w:r>
    </w:p>
    <w:p>
      <w:pPr>
        <w:pStyle w:val="ListParagraph"/>
        <w:numPr>
          <w:ilvl w:val="0"/>
          <w:numId w:val="2"/>
        </w:numPr>
        <w:spacing w:after="60"/>
      </w:pPr>
      <w:r>
        <w:rPr>
          <w:rFonts w:ascii="Arial" w:cs="Arial" w:eastAsia="Arial" w:hAnsi="Arial"/>
          <w:sz w:val="22"/>
          <w:szCs w:val="22"/>
        </w:rPr>
        <w:t xml:space="preserve">deleted_at — soft-delete flag; NULL = active. Engines ignore rows where deleted_at IS NOT NULL.</w:t>
      </w:r>
    </w:p>
    <w:p>
      <w:pPr>
        <w:pStyle w:val="Heading2"/>
        <w:spacing w:after="120" w:before="240"/>
      </w:pPr>
      <w:r>
        <w:rPr>
          <w:rFonts w:ascii="Arial" w:cs="Arial" w:eastAsia="Arial" w:hAnsi="Arial"/>
          <w:b/>
          <w:bCs/>
          <w:color w:val="263849"/>
          <w:sz w:val="30"/>
          <w:szCs w:val="30"/>
        </w:rPr>
        <w:t xml:space="preserve">2.3 Family: Deal core</w:t>
      </w:r>
    </w:p>
    <w:p>
      <w:pPr>
        <w:pStyle w:val="Heading3"/>
        <w:spacing w:after="80" w:before="180"/>
      </w:pPr>
      <w:r>
        <w:rPr>
          <w:rFonts w:ascii="Arial" w:cs="Arial" w:eastAsia="Arial" w:hAnsi="Arial"/>
          <w:b/>
          <w:bCs/>
          <w:color w:val="263849"/>
          <w:sz w:val="26"/>
          <w:szCs w:val="26"/>
        </w:rPr>
        <w:t xml:space="preserve">deals</w:t>
      </w:r>
    </w:p>
    <w:p>
      <w:pPr>
        <w:spacing w:after="140" w:line="280"/>
        <w:jc w:val="both"/>
      </w:pPr>
      <w:r>
        <w:rPr>
          <w:rFonts w:ascii="Arial" w:cs="Arial" w:eastAsia="Arial" w:hAnsi="Arial"/>
          <w:sz w:val="22"/>
          <w:szCs w:val="22"/>
        </w:rPr>
        <w:t xml:space="preserve">The anchor row. One per investment. The slug column is the URL-friendly public identifier.</w:t>
      </w:r>
    </w:p>
    <w:p>
      <w:pPr>
        <w:spacing w:after="80"/>
      </w:pPr>
      <w:r>
        <w:rPr>
          <w:rFonts w:ascii="Arial" w:cs="Arial" w:eastAsia="Arial" w:hAnsi="Arial"/>
          <w:b/>
          <w:bCs/>
          <w:sz w:val="22"/>
          <w:szCs w:val="22"/>
        </w:rPr>
        <w:t xml:space="preserve">Identity columns</w:t>
      </w:r>
    </w:p>
    <w:p>
      <w:pPr>
        <w:pStyle w:val="ListParagraph"/>
        <w:numPr>
          <w:ilvl w:val="0"/>
          <w:numId w:val="2"/>
        </w:numPr>
        <w:spacing w:after="60"/>
      </w:pPr>
      <w:r>
        <w:rPr>
          <w:rFonts w:ascii="Arial" w:cs="Arial" w:eastAsia="Arial" w:hAnsi="Arial"/>
          <w:sz w:val="22"/>
          <w:szCs w:val="22"/>
        </w:rPr>
        <w:t xml:space="preserve">id BIGSERIAL PRIMARY KEY</w:t>
      </w:r>
    </w:p>
    <w:p>
      <w:pPr>
        <w:pStyle w:val="ListParagraph"/>
        <w:numPr>
          <w:ilvl w:val="0"/>
          <w:numId w:val="2"/>
        </w:numPr>
        <w:spacing w:after="60"/>
      </w:pPr>
      <w:r>
        <w:rPr>
          <w:rFonts w:ascii="Arial" w:cs="Arial" w:eastAsia="Arial" w:hAnsi="Arial"/>
          <w:sz w:val="22"/>
          <w:szCs w:val="22"/>
        </w:rPr>
        <w:t xml:space="preserve">slug TEXT UNIQUE NOT NULL — kebab-case URL identifier (e.g. 'gatwick-airport')</w:t>
      </w:r>
    </w:p>
    <w:p>
      <w:pPr>
        <w:pStyle w:val="ListParagraph"/>
        <w:numPr>
          <w:ilvl w:val="0"/>
          <w:numId w:val="2"/>
        </w:numPr>
        <w:spacing w:after="60"/>
      </w:pPr>
      <w:r>
        <w:rPr>
          <w:rFonts w:ascii="Arial" w:cs="Arial" w:eastAsia="Arial" w:hAnsi="Arial"/>
          <w:sz w:val="22"/>
          <w:szCs w:val="22"/>
        </w:rPr>
        <w:t xml:space="preserve">deal_name TEXT NOT NULL</w:t>
      </w:r>
    </w:p>
    <w:p>
      <w:pPr>
        <w:pStyle w:val="ListParagraph"/>
        <w:numPr>
          <w:ilvl w:val="0"/>
          <w:numId w:val="2"/>
        </w:numPr>
        <w:spacing w:after="60"/>
      </w:pPr>
      <w:r>
        <w:rPr>
          <w:rFonts w:ascii="Arial" w:cs="Arial" w:eastAsia="Arial" w:hAnsi="Arial"/>
          <w:sz w:val="22"/>
          <w:szCs w:val="22"/>
        </w:rPr>
        <w:t xml:space="preserve">borrower_name TEXT</w:t>
      </w:r>
    </w:p>
    <w:p>
      <w:pPr>
        <w:pStyle w:val="ListParagraph"/>
        <w:numPr>
          <w:ilvl w:val="0"/>
          <w:numId w:val="2"/>
        </w:numPr>
        <w:spacing w:after="60"/>
      </w:pPr>
      <w:r>
        <w:rPr>
          <w:rFonts w:ascii="Arial" w:cs="Arial" w:eastAsia="Arial" w:hAnsi="Arial"/>
          <w:sz w:val="22"/>
          <w:szCs w:val="22"/>
        </w:rPr>
        <w:t xml:space="preserve">sponsor_name TEXT</w:t>
      </w:r>
    </w:p>
    <w:p>
      <w:pPr>
        <w:pStyle w:val="ListParagraph"/>
        <w:numPr>
          <w:ilvl w:val="0"/>
          <w:numId w:val="2"/>
        </w:numPr>
        <w:spacing w:after="60"/>
      </w:pPr>
      <w:r>
        <w:rPr>
          <w:rFonts w:ascii="Arial" w:cs="Arial" w:eastAsia="Arial" w:hAnsi="Arial"/>
          <w:sz w:val="22"/>
          <w:szCs w:val="22"/>
        </w:rPr>
        <w:t xml:space="preserve">originator TEXT — internal deal originator</w:t>
      </w:r>
    </w:p>
    <w:p>
      <w:pPr>
        <w:pStyle w:val="ListParagraph"/>
        <w:numPr>
          <w:ilvl w:val="0"/>
          <w:numId w:val="2"/>
        </w:numPr>
        <w:spacing w:after="60"/>
      </w:pPr>
      <w:r>
        <w:rPr>
          <w:rFonts w:ascii="Arial" w:cs="Arial" w:eastAsia="Arial" w:hAnsi="Arial"/>
          <w:sz w:val="22"/>
          <w:szCs w:val="22"/>
        </w:rPr>
        <w:t xml:space="preserve">agent TEXT, facility_agent TEXT</w:t>
      </w:r>
    </w:p>
    <w:p>
      <w:pPr>
        <w:pStyle w:val="ListParagraph"/>
        <w:numPr>
          <w:ilvl w:val="0"/>
          <w:numId w:val="2"/>
        </w:numPr>
        <w:spacing w:after="60"/>
      </w:pPr>
      <w:r>
        <w:rPr>
          <w:rFonts w:ascii="Arial" w:cs="Arial" w:eastAsia="Arial" w:hAnsi="Arial"/>
          <w:sz w:val="22"/>
          <w:szCs w:val="22"/>
        </w:rPr>
        <w:t xml:space="preserve">organisation_id BIGINT REFERENCES organisations(id)</w:t>
      </w:r>
    </w:p>
    <w:p>
      <w:pPr>
        <w:pStyle w:val="ListParagraph"/>
        <w:numPr>
          <w:ilvl w:val="0"/>
          <w:numId w:val="2"/>
        </w:numPr>
        <w:spacing w:after="60"/>
      </w:pPr>
      <w:r>
        <w:rPr>
          <w:rFonts w:ascii="Arial" w:cs="Arial" w:eastAsia="Arial" w:hAnsi="Arial"/>
          <w:sz w:val="22"/>
          <w:szCs w:val="22"/>
        </w:rPr>
        <w:t xml:space="preserve">portfolio_owner_id BIGINT REFERENCES portfolio_owners(id)</w:t>
      </w:r>
    </w:p>
    <w:p>
      <w:pPr>
        <w:spacing w:after="80"/>
      </w:pPr>
      <w:r>
        <w:rPr>
          <w:rFonts w:ascii="Arial" w:cs="Arial" w:eastAsia="Arial" w:hAnsi="Arial"/>
          <w:b/>
          <w:bCs/>
          <w:sz w:val="22"/>
          <w:szCs w:val="22"/>
        </w:rPr>
        <w:t xml:space="preserve">Categorisation</w:t>
      </w:r>
    </w:p>
    <w:p>
      <w:pPr>
        <w:pStyle w:val="ListParagraph"/>
        <w:numPr>
          <w:ilvl w:val="0"/>
          <w:numId w:val="2"/>
        </w:numPr>
        <w:spacing w:after="60"/>
      </w:pPr>
      <w:r>
        <w:rPr>
          <w:rFonts w:ascii="Arial" w:cs="Arial" w:eastAsia="Arial" w:hAnsi="Arial"/>
          <w:sz w:val="22"/>
          <w:szCs w:val="22"/>
        </w:rPr>
        <w:t xml:space="preserve">sector TEXT — one of data_centre, wind_farm, port, airport, toll_road, social_infrastructure, real_estate, clean_tech_hub, rail, solar_pv</w:t>
      </w:r>
    </w:p>
    <w:p>
      <w:pPr>
        <w:pStyle w:val="ListParagraph"/>
        <w:numPr>
          <w:ilvl w:val="0"/>
          <w:numId w:val="2"/>
        </w:numPr>
        <w:spacing w:after="60"/>
      </w:pPr>
      <w:r>
        <w:rPr>
          <w:rFonts w:ascii="Arial" w:cs="Arial" w:eastAsia="Arial" w:hAnsi="Arial"/>
          <w:sz w:val="22"/>
          <w:szCs w:val="22"/>
        </w:rPr>
        <w:t xml:space="preserve">sub_sector TEXT</w:t>
      </w:r>
    </w:p>
    <w:p>
      <w:pPr>
        <w:pStyle w:val="ListParagraph"/>
        <w:numPr>
          <w:ilvl w:val="0"/>
          <w:numId w:val="2"/>
        </w:numPr>
        <w:spacing w:after="60"/>
      </w:pPr>
      <w:r>
        <w:rPr>
          <w:rFonts w:ascii="Arial" w:cs="Arial" w:eastAsia="Arial" w:hAnsi="Arial"/>
          <w:sz w:val="22"/>
          <w:szCs w:val="22"/>
        </w:rPr>
        <w:t xml:space="preserve">asset_class TEXT</w:t>
      </w:r>
    </w:p>
    <w:p>
      <w:pPr>
        <w:pStyle w:val="ListParagraph"/>
        <w:numPr>
          <w:ilvl w:val="0"/>
          <w:numId w:val="2"/>
        </w:numPr>
        <w:spacing w:after="60"/>
      </w:pPr>
      <w:r>
        <w:rPr>
          <w:rFonts w:ascii="Arial" w:cs="Arial" w:eastAsia="Arial" w:hAnsi="Arial"/>
          <w:sz w:val="22"/>
          <w:szCs w:val="22"/>
        </w:rPr>
        <w:t xml:space="preserve">country TEXT — ISO 3166 alpha-2</w:t>
      </w:r>
    </w:p>
    <w:p>
      <w:pPr>
        <w:pStyle w:val="ListParagraph"/>
        <w:numPr>
          <w:ilvl w:val="0"/>
          <w:numId w:val="2"/>
        </w:numPr>
        <w:spacing w:after="60"/>
      </w:pPr>
      <w:r>
        <w:rPr>
          <w:rFonts w:ascii="Arial" w:cs="Arial" w:eastAsia="Arial" w:hAnsi="Arial"/>
          <w:sz w:val="22"/>
          <w:szCs w:val="22"/>
        </w:rPr>
        <w:t xml:space="preserve">currency TEXT — ISO 4217</w:t>
      </w:r>
    </w:p>
    <w:p>
      <w:pPr>
        <w:spacing w:after="80"/>
      </w:pPr>
      <w:r>
        <w:rPr>
          <w:rFonts w:ascii="Arial" w:cs="Arial" w:eastAsia="Arial" w:hAnsi="Arial"/>
          <w:b/>
          <w:bCs/>
          <w:sz w:val="22"/>
          <w:szCs w:val="22"/>
        </w:rPr>
        <w:t xml:space="preserve">Dates</w:t>
      </w:r>
    </w:p>
    <w:p>
      <w:pPr>
        <w:pStyle w:val="ListParagraph"/>
        <w:numPr>
          <w:ilvl w:val="0"/>
          <w:numId w:val="2"/>
        </w:numPr>
        <w:spacing w:after="60"/>
      </w:pPr>
      <w:r>
        <w:rPr>
          <w:rFonts w:ascii="Arial" w:cs="Arial" w:eastAsia="Arial" w:hAnsi="Arial"/>
          <w:sz w:val="22"/>
          <w:szCs w:val="22"/>
        </w:rPr>
        <w:t xml:space="preserve">close_date DATE</w:t>
      </w:r>
    </w:p>
    <w:p>
      <w:pPr>
        <w:pStyle w:val="ListParagraph"/>
        <w:numPr>
          <w:ilvl w:val="0"/>
          <w:numId w:val="2"/>
        </w:numPr>
        <w:spacing w:after="60"/>
      </w:pPr>
      <w:r>
        <w:rPr>
          <w:rFonts w:ascii="Arial" w:cs="Arial" w:eastAsia="Arial" w:hAnsi="Arial"/>
          <w:sz w:val="22"/>
          <w:szCs w:val="22"/>
        </w:rPr>
        <w:t xml:space="preserve">first_drawdown_date DATE</w:t>
      </w:r>
    </w:p>
    <w:p>
      <w:pPr>
        <w:pStyle w:val="ListParagraph"/>
        <w:numPr>
          <w:ilvl w:val="0"/>
          <w:numId w:val="2"/>
        </w:numPr>
        <w:spacing w:after="60"/>
      </w:pPr>
      <w:r>
        <w:rPr>
          <w:rFonts w:ascii="Arial" w:cs="Arial" w:eastAsia="Arial" w:hAnsi="Arial"/>
          <w:sz w:val="22"/>
          <w:szCs w:val="22"/>
        </w:rPr>
        <w:t xml:space="preserve">scheduled_maturity DATE</w:t>
      </w:r>
    </w:p>
    <w:p>
      <w:pPr>
        <w:pStyle w:val="ListParagraph"/>
        <w:numPr>
          <w:ilvl w:val="0"/>
          <w:numId w:val="2"/>
        </w:numPr>
        <w:spacing w:after="60"/>
      </w:pPr>
      <w:r>
        <w:rPr>
          <w:rFonts w:ascii="Arial" w:cs="Arial" w:eastAsia="Arial" w:hAnsi="Arial"/>
          <w:sz w:val="22"/>
          <w:szCs w:val="22"/>
        </w:rPr>
        <w:t xml:space="preserve">extension_options_json JSONB</w:t>
      </w:r>
    </w:p>
    <w:p>
      <w:pPr>
        <w:spacing w:after="80"/>
      </w:pPr>
      <w:r>
        <w:rPr>
          <w:rFonts w:ascii="Arial" w:cs="Arial" w:eastAsia="Arial" w:hAnsi="Arial"/>
          <w:b/>
          <w:bCs/>
          <w:sz w:val="22"/>
          <w:szCs w:val="22"/>
        </w:rPr>
        <w:t xml:space="preserve">Size</w:t>
      </w:r>
    </w:p>
    <w:p>
      <w:pPr>
        <w:pStyle w:val="ListParagraph"/>
        <w:numPr>
          <w:ilvl w:val="0"/>
          <w:numId w:val="2"/>
        </w:numPr>
        <w:spacing w:after="60"/>
      </w:pPr>
      <w:r>
        <w:rPr>
          <w:rFonts w:ascii="Arial" w:cs="Arial" w:eastAsia="Arial" w:hAnsi="Arial"/>
          <w:sz w:val="22"/>
          <w:szCs w:val="22"/>
        </w:rPr>
        <w:t xml:space="preserve">commitment_native NUMERIC(18,2)</w:t>
      </w:r>
    </w:p>
    <w:p>
      <w:pPr>
        <w:pStyle w:val="ListParagraph"/>
        <w:numPr>
          <w:ilvl w:val="0"/>
          <w:numId w:val="2"/>
        </w:numPr>
        <w:spacing w:after="60"/>
      </w:pPr>
      <w:r>
        <w:rPr>
          <w:rFonts w:ascii="Arial" w:cs="Arial" w:eastAsia="Arial" w:hAnsi="Arial"/>
          <w:sz w:val="22"/>
          <w:szCs w:val="22"/>
        </w:rPr>
        <w:t xml:space="preserve">drawn_native NUMERIC(18,2)</w:t>
      </w:r>
    </w:p>
    <w:p>
      <w:pPr>
        <w:pStyle w:val="ListParagraph"/>
        <w:numPr>
          <w:ilvl w:val="0"/>
          <w:numId w:val="2"/>
        </w:numPr>
        <w:spacing w:after="60"/>
      </w:pPr>
      <w:r>
        <w:rPr>
          <w:rFonts w:ascii="Arial" w:cs="Arial" w:eastAsia="Arial" w:hAnsi="Arial"/>
          <w:sz w:val="22"/>
          <w:szCs w:val="22"/>
        </w:rPr>
        <w:t xml:space="preserve">undrawn_native NUMERIC(18,2)</w:t>
      </w:r>
    </w:p>
    <w:p>
      <w:pPr>
        <w:spacing w:after="80"/>
      </w:pPr>
      <w:r>
        <w:rPr>
          <w:rFonts w:ascii="Arial" w:cs="Arial" w:eastAsia="Arial" w:hAnsi="Arial"/>
          <w:b/>
          <w:bCs/>
          <w:sz w:val="22"/>
          <w:szCs w:val="22"/>
        </w:rPr>
        <w:t xml:space="preserve">Valuation &amp; equity (v9 addition)</w:t>
      </w:r>
    </w:p>
    <w:p>
      <w:pPr>
        <w:pStyle w:val="ListParagraph"/>
        <w:numPr>
          <w:ilvl w:val="0"/>
          <w:numId w:val="2"/>
        </w:numPr>
        <w:spacing w:after="60"/>
      </w:pPr>
      <w:r>
        <w:rPr>
          <w:rFonts w:ascii="Arial" w:cs="Arial" w:eastAsia="Arial" w:hAnsi="Arial"/>
          <w:sz w:val="22"/>
          <w:szCs w:val="22"/>
        </w:rPr>
        <w:t xml:space="preserve">enterprise_value_native NUMERIC(18,2)</w:t>
      </w:r>
    </w:p>
    <w:p>
      <w:pPr>
        <w:pStyle w:val="ListParagraph"/>
        <w:numPr>
          <w:ilvl w:val="0"/>
          <w:numId w:val="2"/>
        </w:numPr>
        <w:spacing w:after="60"/>
      </w:pPr>
      <w:r>
        <w:rPr>
          <w:rFonts w:ascii="Arial" w:cs="Arial" w:eastAsia="Arial" w:hAnsi="Arial"/>
          <w:sz w:val="22"/>
          <w:szCs w:val="22"/>
        </w:rPr>
        <w:t xml:space="preserve">valuation_date DATE</w:t>
      </w:r>
    </w:p>
    <w:p>
      <w:pPr>
        <w:pStyle w:val="ListParagraph"/>
        <w:numPr>
          <w:ilvl w:val="0"/>
          <w:numId w:val="2"/>
        </w:numPr>
        <w:spacing w:after="60"/>
      </w:pPr>
      <w:r>
        <w:rPr>
          <w:rFonts w:ascii="Arial" w:cs="Arial" w:eastAsia="Arial" w:hAnsi="Arial"/>
          <w:sz w:val="22"/>
          <w:szCs w:val="22"/>
        </w:rPr>
        <w:t xml:space="preserve">valuation_method TEXT — DCF, comparables, income approach, etc.</w:t>
      </w:r>
    </w:p>
    <w:p>
      <w:pPr>
        <w:pStyle w:val="ListParagraph"/>
        <w:numPr>
          <w:ilvl w:val="0"/>
          <w:numId w:val="2"/>
        </w:numPr>
        <w:spacing w:after="60"/>
      </w:pPr>
      <w:r>
        <w:rPr>
          <w:rFonts w:ascii="Arial" w:cs="Arial" w:eastAsia="Arial" w:hAnsi="Arial"/>
          <w:sz w:val="22"/>
          <w:szCs w:val="22"/>
        </w:rPr>
        <w:t xml:space="preserve">valuation_entity TEXT — entity the EV is measured at</w:t>
      </w:r>
    </w:p>
    <w:p>
      <w:pPr>
        <w:pStyle w:val="ListParagraph"/>
        <w:numPr>
          <w:ilvl w:val="0"/>
          <w:numId w:val="2"/>
        </w:numPr>
        <w:spacing w:after="60"/>
      </w:pPr>
      <w:r>
        <w:rPr>
          <w:rFonts w:ascii="Arial" w:cs="Arial" w:eastAsia="Arial" w:hAnsi="Arial"/>
          <w:sz w:val="22"/>
          <w:szCs w:val="22"/>
        </w:rPr>
        <w:t xml:space="preserve">equity_invested_native NUMERIC(18,2)</w:t>
      </w:r>
    </w:p>
    <w:p>
      <w:pPr>
        <w:spacing w:after="80"/>
      </w:pPr>
      <w:r>
        <w:rPr>
          <w:rFonts w:ascii="Arial" w:cs="Arial" w:eastAsia="Arial" w:hAnsi="Arial"/>
          <w:b/>
          <w:bCs/>
          <w:sz w:val="22"/>
          <w:szCs w:val="22"/>
        </w:rPr>
        <w:t xml:space="preserve">Revenue-risk taxonomy</w:t>
      </w:r>
    </w:p>
    <w:p>
      <w:pPr>
        <w:pStyle w:val="ListParagraph"/>
        <w:numPr>
          <w:ilvl w:val="0"/>
          <w:numId w:val="2"/>
        </w:numPr>
        <w:spacing w:after="60"/>
      </w:pPr>
      <w:r>
        <w:rPr>
          <w:rFonts w:ascii="Arial" w:cs="Arial" w:eastAsia="Arial" w:hAnsi="Arial"/>
          <w:sz w:val="22"/>
          <w:szCs w:val="22"/>
        </w:rPr>
        <w:t xml:space="preserve">revenue_risk_category TEXT — contracted / availability / merchant / regulated / demand</w:t>
      </w:r>
    </w:p>
    <w:p>
      <w:pPr>
        <w:pStyle w:val="ListParagraph"/>
        <w:numPr>
          <w:ilvl w:val="0"/>
          <w:numId w:val="2"/>
        </w:numPr>
        <w:spacing w:after="60"/>
      </w:pPr>
      <w:r>
        <w:rPr>
          <w:rFonts w:ascii="Arial" w:cs="Arial" w:eastAsia="Arial" w:hAnsi="Arial"/>
          <w:sz w:val="22"/>
          <w:szCs w:val="22"/>
        </w:rPr>
        <w:t xml:space="preserve">offtaker_type TEXT</w:t>
      </w:r>
    </w:p>
    <w:p>
      <w:pPr>
        <w:pStyle w:val="ListParagraph"/>
        <w:numPr>
          <w:ilvl w:val="0"/>
          <w:numId w:val="2"/>
        </w:numPr>
        <w:spacing w:after="60"/>
      </w:pPr>
      <w:r>
        <w:rPr>
          <w:rFonts w:ascii="Arial" w:cs="Arial" w:eastAsia="Arial" w:hAnsi="Arial"/>
          <w:sz w:val="22"/>
          <w:szCs w:val="22"/>
        </w:rPr>
        <w:t xml:space="preserve">contract_coverage_pct NUMERIC(5,2)</w:t>
      </w:r>
    </w:p>
    <w:p>
      <w:pPr>
        <w:spacing w:after="80"/>
      </w:pPr>
      <w:r>
        <w:rPr>
          <w:rFonts w:ascii="Arial" w:cs="Arial" w:eastAsia="Arial" w:hAnsi="Arial"/>
          <w:b/>
          <w:bCs/>
          <w:sz w:val="22"/>
          <w:szCs w:val="22"/>
        </w:rPr>
        <w:t xml:space="preserve">Pricing &amp; rating</w:t>
      </w:r>
    </w:p>
    <w:p>
      <w:pPr>
        <w:pStyle w:val="ListParagraph"/>
        <w:numPr>
          <w:ilvl w:val="0"/>
          <w:numId w:val="2"/>
        </w:numPr>
        <w:spacing w:after="60"/>
      </w:pPr>
      <w:r>
        <w:rPr>
          <w:rFonts w:ascii="Arial" w:cs="Arial" w:eastAsia="Arial" w:hAnsi="Arial"/>
          <w:sz w:val="22"/>
          <w:szCs w:val="22"/>
        </w:rPr>
        <w:t xml:space="preserve">external_rating_moodys TEXT, external_rating_sp TEXT, external_rating_fitch TEXT</w:t>
      </w:r>
    </w:p>
    <w:p>
      <w:pPr>
        <w:pStyle w:val="ListParagraph"/>
        <w:numPr>
          <w:ilvl w:val="0"/>
          <w:numId w:val="2"/>
        </w:numPr>
        <w:spacing w:after="60"/>
      </w:pPr>
      <w:r>
        <w:rPr>
          <w:rFonts w:ascii="Arial" w:cs="Arial" w:eastAsia="Arial" w:hAnsi="Arial"/>
          <w:sz w:val="22"/>
          <w:szCs w:val="22"/>
        </w:rPr>
        <w:t xml:space="preserve">internal_credit_score TEXT — Moody's-scale internal rating</w:t>
      </w:r>
    </w:p>
    <w:p>
      <w:pPr>
        <w:pStyle w:val="ListParagraph"/>
        <w:numPr>
          <w:ilvl w:val="0"/>
          <w:numId w:val="2"/>
        </w:numPr>
        <w:spacing w:after="60"/>
      </w:pPr>
      <w:r>
        <w:rPr>
          <w:rFonts w:ascii="Arial" w:cs="Arial" w:eastAsia="Arial" w:hAnsi="Arial"/>
          <w:sz w:val="22"/>
          <w:szCs w:val="22"/>
        </w:rPr>
        <w:t xml:space="preserve">assigned_rating TEXT — platform consolidated view</w:t>
      </w:r>
    </w:p>
    <w:p>
      <w:pPr>
        <w:spacing w:after="80"/>
      </w:pPr>
      <w:r>
        <w:rPr>
          <w:rFonts w:ascii="Arial" w:cs="Arial" w:eastAsia="Arial" w:hAnsi="Arial"/>
          <w:b/>
          <w:bCs/>
          <w:sz w:val="22"/>
          <w:szCs w:val="22"/>
        </w:rPr>
        <w:t xml:space="preserve">Distribution mechanics (v8)</w:t>
      </w:r>
    </w:p>
    <w:p>
      <w:pPr>
        <w:pStyle w:val="ListParagraph"/>
        <w:numPr>
          <w:ilvl w:val="0"/>
          <w:numId w:val="2"/>
        </w:numPr>
        <w:spacing w:after="60"/>
      </w:pPr>
      <w:r>
        <w:rPr>
          <w:rFonts w:ascii="Arial" w:cs="Arial" w:eastAsia="Arial" w:hAnsi="Arial"/>
          <w:sz w:val="22"/>
          <w:szCs w:val="22"/>
        </w:rPr>
        <w:t xml:space="preserve">distribution_frequency TEXT — quarterly / semi-annual / annual</w:t>
      </w:r>
    </w:p>
    <w:p>
      <w:pPr>
        <w:pStyle w:val="ListParagraph"/>
        <w:numPr>
          <w:ilvl w:val="0"/>
          <w:numId w:val="2"/>
        </w:numPr>
        <w:spacing w:after="60"/>
      </w:pPr>
      <w:r>
        <w:rPr>
          <w:rFonts w:ascii="Arial" w:cs="Arial" w:eastAsia="Arial" w:hAnsi="Arial"/>
          <w:sz w:val="22"/>
          <w:szCs w:val="22"/>
        </w:rPr>
        <w:t xml:space="preserve">waterfall_description TEXT</w:t>
      </w:r>
    </w:p>
    <w:p>
      <w:pPr>
        <w:pStyle w:val="ListParagraph"/>
        <w:numPr>
          <w:ilvl w:val="0"/>
          <w:numId w:val="2"/>
        </w:numPr>
        <w:spacing w:after="60"/>
      </w:pPr>
      <w:r>
        <w:rPr>
          <w:rFonts w:ascii="Arial" w:cs="Arial" w:eastAsia="Arial" w:hAnsi="Arial"/>
          <w:sz w:val="22"/>
          <w:szCs w:val="22"/>
        </w:rPr>
        <w:t xml:space="preserve">excess_cash_sweep_pct NUMERIC(5,2)</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Waterfall structure is currently captured as free text in waterfall_description. Agreed action: introduce a new TopSheet section (and corresponding child table) that captures the ordered steps of the waterfall formally — operating costs, senior interest, senior principal, reserves, mezzanine, cash sweep, distributions. See Part X TopSheet for the proposed shape.</w:t>
      </w:r>
    </w:p>
    <w:p>
      <w:pPr>
        <w:spacing w:after="80"/>
      </w:pPr>
      <w:r>
        <w:rPr>
          <w:rFonts w:ascii="Arial" w:cs="Arial" w:eastAsia="Arial" w:hAnsi="Arial"/>
          <w:b/>
          <w:bCs/>
          <w:sz w:val="22"/>
          <w:szCs w:val="22"/>
        </w:rPr>
        <w:t xml:space="preserve">Narrative</w:t>
      </w:r>
    </w:p>
    <w:p>
      <w:pPr>
        <w:pStyle w:val="ListParagraph"/>
        <w:numPr>
          <w:ilvl w:val="0"/>
          <w:numId w:val="2"/>
        </w:numPr>
        <w:spacing w:after="60"/>
      </w:pPr>
      <w:r>
        <w:rPr>
          <w:rFonts w:ascii="Arial" w:cs="Arial" w:eastAsia="Arial" w:hAnsi="Arial"/>
          <w:sz w:val="22"/>
          <w:szCs w:val="22"/>
        </w:rPr>
        <w:t xml:space="preserve">investment_thesis TEXT</w:t>
      </w:r>
    </w:p>
    <w:p>
      <w:pPr>
        <w:pStyle w:val="ListParagraph"/>
        <w:numPr>
          <w:ilvl w:val="0"/>
          <w:numId w:val="2"/>
        </w:numPr>
        <w:spacing w:after="60"/>
      </w:pPr>
      <w:r>
        <w:rPr>
          <w:rFonts w:ascii="Arial" w:cs="Arial" w:eastAsia="Arial" w:hAnsi="Arial"/>
          <w:sz w:val="22"/>
          <w:szCs w:val="22"/>
        </w:rPr>
        <w:t xml:space="preserve">key_strengths TEXT</w:t>
      </w:r>
    </w:p>
    <w:p>
      <w:pPr>
        <w:pStyle w:val="ListParagraph"/>
        <w:numPr>
          <w:ilvl w:val="0"/>
          <w:numId w:val="2"/>
        </w:numPr>
        <w:spacing w:after="60"/>
      </w:pPr>
      <w:r>
        <w:rPr>
          <w:rFonts w:ascii="Arial" w:cs="Arial" w:eastAsia="Arial" w:hAnsi="Arial"/>
          <w:sz w:val="22"/>
          <w:szCs w:val="22"/>
        </w:rPr>
        <w:t xml:space="preserve">key_concerns TEXT</w:t>
      </w:r>
    </w:p>
    <w:p>
      <w:pPr>
        <w:pStyle w:val="ListParagraph"/>
        <w:numPr>
          <w:ilvl w:val="0"/>
          <w:numId w:val="2"/>
        </w:numPr>
        <w:spacing w:after="60"/>
      </w:pPr>
      <w:r>
        <w:rPr>
          <w:rFonts w:ascii="Arial" w:cs="Arial" w:eastAsia="Arial" w:hAnsi="Arial"/>
          <w:sz w:val="22"/>
          <w:szCs w:val="22"/>
        </w:rPr>
        <w:t xml:space="preserve">deal_summary TEXT</w:t>
      </w:r>
    </w:p>
    <w:p>
      <w:pPr>
        <w:spacing w:after="80"/>
      </w:pPr>
      <w:r>
        <w:rPr>
          <w:rFonts w:ascii="Arial" w:cs="Arial" w:eastAsia="Arial" w:hAnsi="Arial"/>
          <w:b/>
          <w:bCs/>
          <w:sz w:val="22"/>
          <w:szCs w:val="22"/>
        </w:rPr>
        <w:t xml:space="preserve">Status</w:t>
      </w:r>
    </w:p>
    <w:p>
      <w:pPr>
        <w:pStyle w:val="ListParagraph"/>
        <w:numPr>
          <w:ilvl w:val="0"/>
          <w:numId w:val="2"/>
        </w:numPr>
        <w:spacing w:after="60"/>
      </w:pPr>
      <w:r>
        <w:rPr>
          <w:rFonts w:ascii="Arial" w:cs="Arial" w:eastAsia="Arial" w:hAnsi="Arial"/>
          <w:sz w:val="22"/>
          <w:szCs w:val="22"/>
        </w:rPr>
        <w:t xml:space="preserve">grade INTEGER CHECK (grade BETWEEN 1 AND 4) — live computed grade</w:t>
      </w:r>
    </w:p>
    <w:p>
      <w:pPr>
        <w:pStyle w:val="ListParagraph"/>
        <w:numPr>
          <w:ilvl w:val="0"/>
          <w:numId w:val="2"/>
        </w:numPr>
        <w:spacing w:after="60"/>
      </w:pPr>
      <w:r>
        <w:rPr>
          <w:rFonts w:ascii="Arial" w:cs="Arial" w:eastAsia="Arial" w:hAnsi="Arial"/>
          <w:sz w:val="22"/>
          <w:szCs w:val="22"/>
        </w:rPr>
        <w:t xml:space="preserve">base_grade INTEGER — grade before any override</w:t>
      </w:r>
    </w:p>
    <w:p>
      <w:pPr>
        <w:pStyle w:val="ListParagraph"/>
        <w:numPr>
          <w:ilvl w:val="0"/>
          <w:numId w:val="2"/>
        </w:numPr>
        <w:spacing w:after="60"/>
      </w:pPr>
      <w:r>
        <w:rPr>
          <w:rFonts w:ascii="Arial" w:cs="Arial" w:eastAsia="Arial" w:hAnsi="Arial"/>
          <w:sz w:val="22"/>
          <w:szCs w:val="22"/>
        </w:rPr>
        <w:t xml:space="preserve">watchlist BOOLEAN DEFAULT false</w:t>
      </w:r>
    </w:p>
    <w:p>
      <w:pPr>
        <w:pStyle w:val="ListParagraph"/>
        <w:numPr>
          <w:ilvl w:val="0"/>
          <w:numId w:val="2"/>
        </w:numPr>
        <w:spacing w:after="60"/>
      </w:pPr>
      <w:r>
        <w:rPr>
          <w:rFonts w:ascii="Arial" w:cs="Arial" w:eastAsia="Arial" w:hAnsi="Arial"/>
          <w:sz w:val="22"/>
          <w:szCs w:val="22"/>
        </w:rPr>
        <w:t xml:space="preserve">on_hold BOOLEAN DEFAULT false</w:t>
      </w:r>
    </w:p>
    <w:p>
      <w:pPr>
        <w:pStyle w:val="ListParagraph"/>
        <w:numPr>
          <w:ilvl w:val="0"/>
          <w:numId w:val="2"/>
        </w:numPr>
        <w:spacing w:after="60"/>
      </w:pPr>
      <w:r>
        <w:rPr>
          <w:rFonts w:ascii="Arial" w:cs="Arial" w:eastAsia="Arial" w:hAnsi="Arial"/>
          <w:sz w:val="22"/>
          <w:szCs w:val="22"/>
        </w:rPr>
        <w:t xml:space="preserve">last_review_date DATE</w:t>
      </w:r>
    </w:p>
    <w:p>
      <w:pPr>
        <w:spacing w:after="80"/>
      </w:pPr>
      <w:r>
        <w:rPr>
          <w:rFonts w:ascii="Arial" w:cs="Arial" w:eastAsia="Arial" w:hAnsi="Arial"/>
          <w:b/>
          <w:bCs/>
          <w:sz w:val="22"/>
          <w:szCs w:val="22"/>
        </w:rPr>
        <w:t xml:space="preserve">Audit-trail</w:t>
      </w:r>
    </w:p>
    <w:p>
      <w:pPr>
        <w:pStyle w:val="ListParagraph"/>
        <w:numPr>
          <w:ilvl w:val="0"/>
          <w:numId w:val="2"/>
        </w:numPr>
        <w:spacing w:after="60"/>
      </w:pPr>
      <w:r>
        <w:rPr>
          <w:rFonts w:ascii="Arial" w:cs="Arial" w:eastAsia="Arial" w:hAnsi="Arial"/>
          <w:sz w:val="22"/>
          <w:szCs w:val="22"/>
        </w:rPr>
        <w:t xml:space="preserve">source_document_id, source_page, source_citation_offsets, source_confidence, source_extractor</w:t>
      </w:r>
    </w:p>
    <w:p>
      <w:pPr>
        <w:pStyle w:val="ListParagraph"/>
        <w:numPr>
          <w:ilvl w:val="0"/>
          <w:numId w:val="2"/>
        </w:numPr>
        <w:spacing w:after="60"/>
      </w:pPr>
      <w:r>
        <w:rPr>
          <w:rFonts w:ascii="Arial" w:cs="Arial" w:eastAsia="Arial" w:hAnsi="Arial"/>
          <w:sz w:val="22"/>
          <w:szCs w:val="22"/>
        </w:rPr>
        <w:t xml:space="preserve">created_at, updated_at, created_by, updated_by, deleted_at</w:t>
      </w:r>
    </w:p>
    <w:p>
      <w:pPr>
        <w:pStyle w:val="Heading3"/>
        <w:spacing w:after="80" w:before="180"/>
      </w:pPr>
      <w:r>
        <w:rPr>
          <w:rFonts w:ascii="Arial" w:cs="Arial" w:eastAsia="Arial" w:hAnsi="Arial"/>
          <w:b/>
          <w:bCs/>
          <w:color w:val="263849"/>
          <w:sz w:val="26"/>
          <w:szCs w:val="26"/>
        </w:rPr>
        <w:t xml:space="preserve">deal_jurisdiction_splits</w:t>
      </w:r>
    </w:p>
    <w:p>
      <w:pPr>
        <w:spacing w:after="140" w:line="280"/>
        <w:jc w:val="both"/>
      </w:pPr>
      <w:r>
        <w:rPr>
          <w:rFonts w:ascii="Arial" w:cs="Arial" w:eastAsia="Arial" w:hAnsi="Arial"/>
          <w:sz w:val="22"/>
          <w:szCs w:val="22"/>
        </w:rPr>
        <w:t xml:space="preserve">Per-country proportional exposure for multi-jurisdiction deals.</w:t>
      </w:r>
    </w:p>
    <w:p>
      <w:pPr>
        <w:pStyle w:val="ListParagraph"/>
        <w:numPr>
          <w:ilvl w:val="0"/>
          <w:numId w:val="2"/>
        </w:numPr>
        <w:spacing w:after="60"/>
      </w:pPr>
      <w:r>
        <w:rPr>
          <w:rFonts w:ascii="Arial" w:cs="Arial" w:eastAsia="Arial" w:hAnsi="Arial"/>
          <w:sz w:val="22"/>
          <w:szCs w:val="22"/>
        </w:rPr>
        <w:t xml:space="preserve">deal_id, country_code, revenue_pct, opex_pct, assets_pct</w:t>
      </w:r>
    </w:p>
    <w:p>
      <w:pPr>
        <w:pStyle w:val="ListParagraph"/>
        <w:numPr>
          <w:ilvl w:val="0"/>
          <w:numId w:val="2"/>
        </w:numPr>
        <w:spacing w:after="60"/>
      </w:pPr>
      <w:r>
        <w:rPr>
          <w:rFonts w:ascii="Arial" w:cs="Arial" w:eastAsia="Arial" w:hAnsi="Arial"/>
          <w:sz w:val="22"/>
          <w:szCs w:val="22"/>
        </w:rPr>
        <w:t xml:space="preserve">Constraint: revenue_pct across a deal must sum to 100; same for opex_pct and assets_pct</w:t>
      </w:r>
    </w:p>
    <w:p>
      <w:pPr>
        <w:pStyle w:val="Heading3"/>
        <w:spacing w:after="80" w:before="180"/>
      </w:pPr>
      <w:r>
        <w:rPr>
          <w:rFonts w:ascii="Arial" w:cs="Arial" w:eastAsia="Arial" w:hAnsi="Arial"/>
          <w:b/>
          <w:bCs/>
          <w:color w:val="263849"/>
          <w:sz w:val="26"/>
          <w:szCs w:val="26"/>
        </w:rPr>
        <w:t xml:space="preserve">corporate_entities</w:t>
      </w:r>
    </w:p>
    <w:p>
      <w:pPr>
        <w:spacing w:after="140" w:line="280"/>
        <w:jc w:val="both"/>
      </w:pPr>
      <w:r>
        <w:rPr>
          <w:rFonts w:ascii="Arial" w:cs="Arial" w:eastAsia="Arial" w:hAnsi="Arial"/>
          <w:sz w:val="22"/>
          <w:szCs w:val="22"/>
        </w:rPr>
        <w:t xml:space="preserve">Legal entities within a deal structure. One row per entity. Parent/child relationships captured via parent_entity_id self-FK.</w:t>
      </w:r>
    </w:p>
    <w:p>
      <w:pPr>
        <w:pStyle w:val="ListParagraph"/>
        <w:numPr>
          <w:ilvl w:val="0"/>
          <w:numId w:val="2"/>
        </w:numPr>
        <w:spacing w:after="60"/>
      </w:pPr>
      <w:r>
        <w:rPr>
          <w:rFonts w:ascii="Arial" w:cs="Arial" w:eastAsia="Arial" w:hAnsi="Arial"/>
          <w:sz w:val="22"/>
          <w:szCs w:val="22"/>
        </w:rPr>
        <w:t xml:space="preserve">id, deal_id, entity_slug, entity_name</w:t>
      </w:r>
    </w:p>
    <w:p>
      <w:pPr>
        <w:pStyle w:val="ListParagraph"/>
        <w:numPr>
          <w:ilvl w:val="0"/>
          <w:numId w:val="2"/>
        </w:numPr>
        <w:spacing w:after="60"/>
      </w:pPr>
      <w:r>
        <w:rPr>
          <w:rFonts w:ascii="Arial" w:cs="Arial" w:eastAsia="Arial" w:hAnsi="Arial"/>
          <w:sz w:val="22"/>
          <w:szCs w:val="22"/>
        </w:rPr>
        <w:t xml:space="preserve">entity_role TEXT — BorrowerCo / HoldCo / OpCo / Sponsor / Minority HoldCo / Intercompany Lender / Other</w:t>
      </w:r>
    </w:p>
    <w:p>
      <w:pPr>
        <w:pStyle w:val="ListParagraph"/>
        <w:numPr>
          <w:ilvl w:val="0"/>
          <w:numId w:val="2"/>
        </w:numPr>
        <w:spacing w:after="60"/>
      </w:pPr>
      <w:r>
        <w:rPr>
          <w:rFonts w:ascii="Arial" w:cs="Arial" w:eastAsia="Arial" w:hAnsi="Arial"/>
          <w:sz w:val="22"/>
          <w:szCs w:val="22"/>
        </w:rPr>
        <w:t xml:space="preserve">jurisdiction TEXT</w:t>
      </w:r>
    </w:p>
    <w:p>
      <w:pPr>
        <w:pStyle w:val="ListParagraph"/>
        <w:numPr>
          <w:ilvl w:val="0"/>
          <w:numId w:val="2"/>
        </w:numPr>
        <w:spacing w:after="60"/>
      </w:pPr>
      <w:r>
        <w:rPr>
          <w:rFonts w:ascii="Arial" w:cs="Arial" w:eastAsia="Arial" w:hAnsi="Arial"/>
          <w:sz w:val="22"/>
          <w:szCs w:val="22"/>
        </w:rPr>
        <w:t xml:space="preserve">parent_entity_id BIGINT REFERENCES corporate_entities(id)</w:t>
      </w:r>
    </w:p>
    <w:p>
      <w:pPr>
        <w:pStyle w:val="ListParagraph"/>
        <w:numPr>
          <w:ilvl w:val="0"/>
          <w:numId w:val="2"/>
        </w:numPr>
        <w:spacing w:after="60"/>
      </w:pPr>
      <w:r>
        <w:rPr>
          <w:rFonts w:ascii="Arial" w:cs="Arial" w:eastAsia="Arial" w:hAnsi="Arial"/>
          <w:sz w:val="22"/>
          <w:szCs w:val="22"/>
        </w:rPr>
        <w:t xml:space="preserve">ownership_pct NUMERIC(5,2) — direct ownership from the parent</w:t>
      </w:r>
    </w:p>
    <w:p>
      <w:pPr>
        <w:pStyle w:val="ListParagraph"/>
        <w:numPr>
          <w:ilvl w:val="0"/>
          <w:numId w:val="2"/>
        </w:numPr>
        <w:spacing w:after="60"/>
      </w:pPr>
      <w:r>
        <w:rPr>
          <w:rFonts w:ascii="Arial" w:cs="Arial" w:eastAsia="Arial" w:hAnsi="Arial"/>
          <w:sz w:val="22"/>
          <w:szCs w:val="22"/>
        </w:rPr>
        <w:t xml:space="preserve">ownership_type TEXT — common / preferred / hybrid</w:t>
      </w:r>
    </w:p>
    <w:p>
      <w:pPr>
        <w:pStyle w:val="ListParagraph"/>
        <w:numPr>
          <w:ilvl w:val="0"/>
          <w:numId w:val="2"/>
        </w:numPr>
        <w:spacing w:after="60"/>
      </w:pPr>
      <w:r>
        <w:rPr>
          <w:rFonts w:ascii="Arial" w:cs="Arial" w:eastAsia="Arial" w:hAnsi="Arial"/>
          <w:sz w:val="22"/>
          <w:szCs w:val="22"/>
        </w:rPr>
        <w:t xml:space="preserve">control_type TEXT — sole / joint / minority</w:t>
      </w:r>
    </w:p>
    <w:p>
      <w:pPr>
        <w:pStyle w:val="ListParagraph"/>
        <w:numPr>
          <w:ilvl w:val="0"/>
          <w:numId w:val="2"/>
        </w:numPr>
        <w:spacing w:after="60"/>
      </w:pPr>
      <w:r>
        <w:rPr>
          <w:rFonts w:ascii="Arial" w:cs="Arial" w:eastAsia="Arial" w:hAnsi="Arial"/>
          <w:sz w:val="22"/>
          <w:szCs w:val="22"/>
        </w:rPr>
        <w:t xml:space="preserve">consolidation_method TEXT — proportional / full / equity / none</w:t>
      </w:r>
    </w:p>
    <w:p>
      <w:pPr>
        <w:pStyle w:val="ListParagraph"/>
        <w:numPr>
          <w:ilvl w:val="0"/>
          <w:numId w:val="2"/>
        </w:numPr>
        <w:spacing w:after="60"/>
      </w:pPr>
      <w:r>
        <w:rPr>
          <w:rFonts w:ascii="Arial" w:cs="Arial" w:eastAsia="Arial" w:hAnsi="Arial"/>
          <w:sz w:val="22"/>
          <w:szCs w:val="22"/>
        </w:rPr>
        <w:t xml:space="preserve">within_security_perimeter BOOLEAN</w:t>
      </w:r>
    </w:p>
    <w:p>
      <w:pPr>
        <w:pStyle w:val="ListParagraph"/>
        <w:numPr>
          <w:ilvl w:val="0"/>
          <w:numId w:val="2"/>
        </w:numPr>
        <w:spacing w:after="60"/>
      </w:pPr>
      <w:r>
        <w:rPr>
          <w:rFonts w:ascii="Arial" w:cs="Arial" w:eastAsia="Arial" w:hAnsi="Arial"/>
          <w:sz w:val="22"/>
          <w:szCs w:val="22"/>
        </w:rPr>
        <w:t xml:space="preserve">ratio_level BOOLEAN — true if covenant ratios are tested at this entity</w:t>
      </w:r>
    </w:p>
    <w:p>
      <w:pPr>
        <w:pStyle w:val="ListParagraph"/>
        <w:numPr>
          <w:ilvl w:val="0"/>
          <w:numId w:val="2"/>
        </w:numPr>
        <w:spacing w:after="60"/>
      </w:pPr>
      <w:r>
        <w:rPr>
          <w:rFonts w:ascii="Arial" w:cs="Arial" w:eastAsia="Arial" w:hAnsi="Arial"/>
          <w:sz w:val="22"/>
          <w:szCs w:val="22"/>
        </w:rPr>
        <w:t xml:space="preserve">registered_address, tax_residence, auditor, legal_advisor</w:t>
      </w:r>
    </w:p>
    <w:p>
      <w:pPr>
        <w:pStyle w:val="ListParagraph"/>
        <w:numPr>
          <w:ilvl w:val="0"/>
          <w:numId w:val="2"/>
        </w:numPr>
        <w:spacing w:after="60"/>
      </w:pPr>
      <w:r>
        <w:rPr>
          <w:rFonts w:ascii="Arial" w:cs="Arial" w:eastAsia="Arial" w:hAnsi="Arial"/>
          <w:sz w:val="22"/>
          <w:szCs w:val="22"/>
        </w:rPr>
        <w:t xml:space="preserve">board_composition_json JSONB</w:t>
      </w:r>
    </w:p>
    <w:p>
      <w:pPr>
        <w:pStyle w:val="ListParagraph"/>
        <w:numPr>
          <w:ilvl w:val="0"/>
          <w:numId w:val="2"/>
        </w:numPr>
        <w:spacing w:after="60"/>
      </w:pPr>
      <w:r>
        <w:rPr>
          <w:rFonts w:ascii="Arial" w:cs="Arial" w:eastAsia="Arial" w:hAnsi="Arial"/>
          <w:sz w:val="22"/>
          <w:szCs w:val="22"/>
        </w:rPr>
        <w:t xml:space="preserve">source_* audit-trail, created_at, updated_at</w:t>
      </w:r>
    </w:p>
    <w:p>
      <w:pPr>
        <w:pStyle w:val="Heading3"/>
        <w:spacing w:after="80" w:before="180"/>
      </w:pPr>
      <w:r>
        <w:rPr>
          <w:rFonts w:ascii="Arial" w:cs="Arial" w:eastAsia="Arial" w:hAnsi="Arial"/>
          <w:b/>
          <w:bCs/>
          <w:color w:val="263849"/>
          <w:sz w:val="26"/>
          <w:szCs w:val="26"/>
        </w:rPr>
        <w:t xml:space="preserve">deal_counterparties</w:t>
      </w:r>
    </w:p>
    <w:p>
      <w:pPr>
        <w:spacing w:after="140" w:line="280"/>
        <w:jc w:val="both"/>
      </w:pPr>
      <w:r>
        <w:rPr>
          <w:rFonts w:ascii="Arial" w:cs="Arial" w:eastAsia="Arial" w:hAnsi="Arial"/>
          <w:sz w:val="22"/>
          <w:szCs w:val="22"/>
        </w:rPr>
        <w:t xml:space="preserve">Non-entity counterparties: EPC contractor, O&amp;M, offtaker, insurance, tax advisor, etc.</w:t>
      </w:r>
    </w:p>
    <w:p>
      <w:pPr>
        <w:pStyle w:val="ListParagraph"/>
        <w:numPr>
          <w:ilvl w:val="0"/>
          <w:numId w:val="2"/>
        </w:numPr>
        <w:spacing w:after="60"/>
      </w:pPr>
      <w:r>
        <w:rPr>
          <w:rFonts w:ascii="Arial" w:cs="Arial" w:eastAsia="Arial" w:hAnsi="Arial"/>
          <w:sz w:val="22"/>
          <w:szCs w:val="22"/>
        </w:rPr>
        <w:t xml:space="preserve">id, deal_id, counterparty_name, role</w:t>
      </w:r>
    </w:p>
    <w:p>
      <w:pPr>
        <w:pStyle w:val="ListParagraph"/>
        <w:numPr>
          <w:ilvl w:val="0"/>
          <w:numId w:val="2"/>
        </w:numPr>
        <w:spacing w:after="60"/>
      </w:pPr>
      <w:r>
        <w:rPr>
          <w:rFonts w:ascii="Arial" w:cs="Arial" w:eastAsia="Arial" w:hAnsi="Arial"/>
          <w:sz w:val="22"/>
          <w:szCs w:val="22"/>
        </w:rPr>
        <w:t xml:space="preserve">rating_agency, rating, rating_date</w:t>
      </w:r>
    </w:p>
    <w:p>
      <w:pPr>
        <w:pStyle w:val="ListParagraph"/>
        <w:numPr>
          <w:ilvl w:val="0"/>
          <w:numId w:val="2"/>
        </w:numPr>
        <w:spacing w:after="60"/>
      </w:pPr>
      <w:r>
        <w:rPr>
          <w:rFonts w:ascii="Arial" w:cs="Arial" w:eastAsia="Arial" w:hAnsi="Arial"/>
          <w:sz w:val="22"/>
          <w:szCs w:val="22"/>
        </w:rPr>
        <w:t xml:space="preserve">relationship_strength TEXT — strong / standard / at_risk</w:t>
      </w:r>
    </w:p>
    <w:p>
      <w:pPr>
        <w:pStyle w:val="ListParagraph"/>
        <w:numPr>
          <w:ilvl w:val="0"/>
          <w:numId w:val="2"/>
        </w:numPr>
        <w:spacing w:after="60"/>
      </w:pPr>
      <w:r>
        <w:rPr>
          <w:rFonts w:ascii="Arial" w:cs="Arial" w:eastAsia="Arial" w:hAnsi="Arial"/>
          <w:sz w:val="22"/>
          <w:szCs w:val="22"/>
        </w:rPr>
        <w:t xml:space="preserve">termination_risk_band TEXT</w:t>
      </w:r>
    </w:p>
    <w:p>
      <w:pPr>
        <w:pStyle w:val="ListParagraph"/>
        <w:numPr>
          <w:ilvl w:val="0"/>
          <w:numId w:val="2"/>
        </w:numPr>
        <w:spacing w:after="60"/>
      </w:pPr>
      <w:r>
        <w:rPr>
          <w:rFonts w:ascii="Arial" w:cs="Arial" w:eastAsia="Arial" w:hAnsi="Arial"/>
          <w:sz w:val="22"/>
          <w:szCs w:val="22"/>
        </w:rPr>
        <w:t xml:space="preserve">contract_value_native, contract_end_date</w:t>
      </w:r>
    </w:p>
    <w:p>
      <w:pPr>
        <w:pStyle w:val="ListParagraph"/>
        <w:numPr>
          <w:ilvl w:val="0"/>
          <w:numId w:val="2"/>
        </w:numPr>
        <w:spacing w:after="60"/>
      </w:pPr>
      <w:r>
        <w:rPr>
          <w:rFonts w:ascii="Arial" w:cs="Arial" w:eastAsia="Arial" w:hAnsi="Arial"/>
          <w:sz w:val="22"/>
          <w:szCs w:val="22"/>
        </w:rPr>
        <w:t xml:space="preserve">source_* audit-trail</w:t>
      </w:r>
    </w:p>
    <w:p>
      <w:pPr>
        <w:pStyle w:val="Heading2"/>
        <w:spacing w:after="120" w:before="240"/>
      </w:pPr>
      <w:r>
        <w:rPr>
          <w:rFonts w:ascii="Arial" w:cs="Arial" w:eastAsia="Arial" w:hAnsi="Arial"/>
          <w:b/>
          <w:bCs/>
          <w:color w:val="263849"/>
          <w:sz w:val="30"/>
          <w:szCs w:val="30"/>
        </w:rPr>
        <w:t xml:space="preserve">2.4 Family: Capital structure</w:t>
      </w:r>
    </w:p>
    <w:p>
      <w:pPr>
        <w:pStyle w:val="Heading3"/>
        <w:spacing w:after="80" w:before="180"/>
      </w:pPr>
      <w:r>
        <w:rPr>
          <w:rFonts w:ascii="Arial" w:cs="Arial" w:eastAsia="Arial" w:hAnsi="Arial"/>
          <w:b/>
          <w:bCs/>
          <w:color w:val="263849"/>
          <w:sz w:val="26"/>
          <w:szCs w:val="26"/>
        </w:rPr>
        <w:t xml:space="preserve">capital_structure_instruments</w:t>
      </w:r>
    </w:p>
    <w:p>
      <w:pPr>
        <w:spacing w:after="140" w:line="280"/>
        <w:jc w:val="both"/>
      </w:pPr>
      <w:r>
        <w:rPr>
          <w:rFonts w:ascii="Arial" w:cs="Arial" w:eastAsia="Arial" w:hAnsi="Arial"/>
          <w:sz w:val="22"/>
          <w:szCs w:val="22"/>
        </w:rPr>
        <w:t xml:space="preserve">One row per instrument (loan, note, bond, facility). 25 columns in v9.</w:t>
      </w:r>
    </w:p>
    <w:p>
      <w:pPr>
        <w:spacing w:after="80"/>
      </w:pPr>
      <w:r>
        <w:rPr>
          <w:rFonts w:ascii="Arial" w:cs="Arial" w:eastAsia="Arial" w:hAnsi="Arial"/>
          <w:b/>
          <w:bCs/>
          <w:sz w:val="22"/>
          <w:szCs w:val="22"/>
        </w:rPr>
        <w:t xml:space="preserve">Identity</w:t>
      </w:r>
    </w:p>
    <w:p>
      <w:pPr>
        <w:pStyle w:val="ListParagraph"/>
        <w:numPr>
          <w:ilvl w:val="0"/>
          <w:numId w:val="2"/>
        </w:numPr>
        <w:spacing w:after="60"/>
      </w:pPr>
      <w:r>
        <w:rPr>
          <w:rFonts w:ascii="Arial" w:cs="Arial" w:eastAsia="Arial" w:hAnsi="Arial"/>
          <w:sz w:val="22"/>
          <w:szCs w:val="22"/>
        </w:rPr>
        <w:t xml:space="preserve">id, deal_id, instrument_identifier, instrument_name</w:t>
      </w:r>
    </w:p>
    <w:p>
      <w:pPr>
        <w:pStyle w:val="ListParagraph"/>
        <w:numPr>
          <w:ilvl w:val="0"/>
          <w:numId w:val="2"/>
        </w:numPr>
        <w:spacing w:after="60"/>
      </w:pPr>
      <w:r>
        <w:rPr>
          <w:rFonts w:ascii="Arial" w:cs="Arial" w:eastAsia="Arial" w:hAnsi="Arial"/>
          <w:sz w:val="22"/>
          <w:szCs w:val="22"/>
        </w:rPr>
        <w:t xml:space="preserve">instrument_format TEXT — bond / note / loan / facility / revolving_credit / shareholder_loan / intercompany_loan</w:t>
      </w:r>
    </w:p>
    <w:p>
      <w:pPr>
        <w:spacing w:after="80"/>
      </w:pPr>
      <w:r>
        <w:rPr>
          <w:rFonts w:ascii="Arial" w:cs="Arial" w:eastAsia="Arial" w:hAnsi="Arial"/>
          <w:b/>
          <w:bCs/>
          <w:sz w:val="22"/>
          <w:szCs w:val="22"/>
        </w:rPr>
        <w:t xml:space="preserve">Amounts</w:t>
      </w:r>
    </w:p>
    <w:p>
      <w:pPr>
        <w:pStyle w:val="ListParagraph"/>
        <w:numPr>
          <w:ilvl w:val="0"/>
          <w:numId w:val="2"/>
        </w:numPr>
        <w:spacing w:after="60"/>
      </w:pPr>
      <w:r>
        <w:rPr>
          <w:rFonts w:ascii="Arial" w:cs="Arial" w:eastAsia="Arial" w:hAnsi="Arial"/>
          <w:sz w:val="22"/>
          <w:szCs w:val="22"/>
        </w:rPr>
        <w:t xml:space="preserve">commitment_native, drawn_native, undrawn_native, currency</w:t>
      </w:r>
    </w:p>
    <w:p>
      <w:pPr>
        <w:spacing w:after="80"/>
      </w:pPr>
      <w:r>
        <w:rPr>
          <w:rFonts w:ascii="Arial" w:cs="Arial" w:eastAsia="Arial" w:hAnsi="Arial"/>
          <w:b/>
          <w:bCs/>
          <w:sz w:val="22"/>
          <w:szCs w:val="22"/>
        </w:rPr>
        <w:t xml:space="preserve">Pricing (v9 decomposed)</w:t>
      </w:r>
    </w:p>
    <w:p>
      <w:pPr>
        <w:pStyle w:val="ListParagraph"/>
        <w:numPr>
          <w:ilvl w:val="0"/>
          <w:numId w:val="2"/>
        </w:numPr>
        <w:spacing w:after="60"/>
      </w:pPr>
      <w:r>
        <w:rPr>
          <w:rFonts w:ascii="Arial" w:cs="Arial" w:eastAsia="Arial" w:hAnsi="Arial"/>
          <w:sz w:val="22"/>
          <w:szCs w:val="22"/>
        </w:rPr>
        <w:t xml:space="preserve">coupon_bps INTEGER — all-in rate for fixed-rate</w:t>
      </w:r>
    </w:p>
    <w:p>
      <w:pPr>
        <w:pStyle w:val="ListParagraph"/>
        <w:numPr>
          <w:ilvl w:val="0"/>
          <w:numId w:val="2"/>
        </w:numPr>
        <w:spacing w:after="60"/>
      </w:pPr>
      <w:r>
        <w:rPr>
          <w:rFonts w:ascii="Arial" w:cs="Arial" w:eastAsia="Arial" w:hAnsi="Arial"/>
          <w:sz w:val="22"/>
          <w:szCs w:val="22"/>
        </w:rPr>
        <w:t xml:space="preserve">base_rate_at_issuance_bps INTEGER</w:t>
      </w:r>
    </w:p>
    <w:p>
      <w:pPr>
        <w:pStyle w:val="ListParagraph"/>
        <w:numPr>
          <w:ilvl w:val="0"/>
          <w:numId w:val="2"/>
        </w:numPr>
        <w:spacing w:after="60"/>
      </w:pPr>
      <w:r>
        <w:rPr>
          <w:rFonts w:ascii="Arial" w:cs="Arial" w:eastAsia="Arial" w:hAnsi="Arial"/>
          <w:sz w:val="22"/>
          <w:szCs w:val="22"/>
        </w:rPr>
        <w:t xml:space="preserve">spread_bps INTEGER</w:t>
      </w:r>
    </w:p>
    <w:p>
      <w:pPr>
        <w:pStyle w:val="ListParagraph"/>
        <w:numPr>
          <w:ilvl w:val="0"/>
          <w:numId w:val="2"/>
        </w:numPr>
        <w:spacing w:after="60"/>
      </w:pPr>
      <w:r>
        <w:rPr>
          <w:rFonts w:ascii="Arial" w:cs="Arial" w:eastAsia="Arial" w:hAnsi="Arial"/>
          <w:sz w:val="22"/>
          <w:szCs w:val="22"/>
        </w:rPr>
        <w:t xml:space="preserve">benchmark_spread_bps INTEGER</w:t>
      </w:r>
    </w:p>
    <w:p>
      <w:pPr>
        <w:pStyle w:val="ListParagraph"/>
        <w:numPr>
          <w:ilvl w:val="0"/>
          <w:numId w:val="2"/>
        </w:numPr>
        <w:spacing w:after="60"/>
      </w:pPr>
      <w:r>
        <w:rPr>
          <w:rFonts w:ascii="Arial" w:cs="Arial" w:eastAsia="Arial" w:hAnsi="Arial"/>
          <w:sz w:val="22"/>
          <w:szCs w:val="22"/>
        </w:rPr>
        <w:t xml:space="preserve">private_debt_premium_bps INTEGER GENERATED ALWAYS AS (spread_bps - benchmark_spread_bps) STORED</w:t>
      </w:r>
    </w:p>
    <w:p>
      <w:pPr>
        <w:pStyle w:val="ListParagraph"/>
        <w:numPr>
          <w:ilvl w:val="0"/>
          <w:numId w:val="2"/>
        </w:numPr>
        <w:spacing w:after="60"/>
      </w:pPr>
      <w:r>
        <w:rPr>
          <w:rFonts w:ascii="Arial" w:cs="Arial" w:eastAsia="Arial" w:hAnsi="Arial"/>
          <w:sz w:val="22"/>
          <w:szCs w:val="22"/>
        </w:rPr>
        <w:t xml:space="preserve">margin_bps INTEGER — legacy</w:t>
      </w:r>
    </w:p>
    <w:p>
      <w:pPr>
        <w:spacing w:after="80"/>
      </w:pPr>
      <w:r>
        <w:rPr>
          <w:rFonts w:ascii="Arial" w:cs="Arial" w:eastAsia="Arial" w:hAnsi="Arial"/>
          <w:b/>
          <w:bCs/>
          <w:sz w:val="22"/>
          <w:szCs w:val="22"/>
        </w:rPr>
        <w:t xml:space="preserve">Fees</w:t>
      </w:r>
    </w:p>
    <w:p>
      <w:pPr>
        <w:pStyle w:val="ListParagraph"/>
        <w:numPr>
          <w:ilvl w:val="0"/>
          <w:numId w:val="2"/>
        </w:numPr>
        <w:spacing w:after="60"/>
      </w:pPr>
      <w:r>
        <w:rPr>
          <w:rFonts w:ascii="Arial" w:cs="Arial" w:eastAsia="Arial" w:hAnsi="Arial"/>
          <w:sz w:val="22"/>
          <w:szCs w:val="22"/>
        </w:rPr>
        <w:t xml:space="preserve">upfront_fee_bps INTEGER</w:t>
      </w:r>
    </w:p>
    <w:p>
      <w:pPr>
        <w:pStyle w:val="ListParagraph"/>
        <w:numPr>
          <w:ilvl w:val="0"/>
          <w:numId w:val="2"/>
        </w:numPr>
        <w:spacing w:after="60"/>
      </w:pPr>
      <w:r>
        <w:rPr>
          <w:rFonts w:ascii="Arial" w:cs="Arial" w:eastAsia="Arial" w:hAnsi="Arial"/>
          <w:sz w:val="22"/>
          <w:szCs w:val="22"/>
        </w:rPr>
        <w:t xml:space="preserve">commitment_fee_bps INTEGER</w:t>
      </w:r>
    </w:p>
    <w:p>
      <w:pPr>
        <w:spacing w:after="80"/>
      </w:pPr>
      <w:r>
        <w:rPr>
          <w:rFonts w:ascii="Arial" w:cs="Arial" w:eastAsia="Arial" w:hAnsi="Arial"/>
          <w:b/>
          <w:bCs/>
          <w:sz w:val="22"/>
          <w:szCs w:val="22"/>
        </w:rPr>
        <w:t xml:space="preserve">Prepayment</w:t>
      </w:r>
    </w:p>
    <w:p>
      <w:pPr>
        <w:pStyle w:val="ListParagraph"/>
        <w:numPr>
          <w:ilvl w:val="0"/>
          <w:numId w:val="2"/>
        </w:numPr>
        <w:spacing w:after="60"/>
      </w:pPr>
      <w:r>
        <w:rPr>
          <w:rFonts w:ascii="Arial" w:cs="Arial" w:eastAsia="Arial" w:hAnsi="Arial"/>
          <w:sz w:val="22"/>
          <w:szCs w:val="22"/>
        </w:rPr>
        <w:t xml:space="preserve">prepayment_type TEXT — par / make_whole / non_call</w:t>
      </w:r>
    </w:p>
    <w:p>
      <w:pPr>
        <w:pStyle w:val="ListParagraph"/>
        <w:numPr>
          <w:ilvl w:val="0"/>
          <w:numId w:val="2"/>
        </w:numPr>
        <w:spacing w:after="60"/>
      </w:pPr>
      <w:r>
        <w:rPr>
          <w:rFonts w:ascii="Arial" w:cs="Arial" w:eastAsia="Arial" w:hAnsi="Arial"/>
          <w:sz w:val="22"/>
          <w:szCs w:val="22"/>
        </w:rPr>
        <w:t xml:space="preserve">non_call_end_date DATE</w:t>
      </w:r>
    </w:p>
    <w:p>
      <w:pPr>
        <w:spacing w:after="80"/>
      </w:pPr>
      <w:r>
        <w:rPr>
          <w:rFonts w:ascii="Arial" w:cs="Arial" w:eastAsia="Arial" w:hAnsi="Arial"/>
          <w:b/>
          <w:bCs/>
          <w:sz w:val="22"/>
          <w:szCs w:val="22"/>
        </w:rPr>
        <w:t xml:space="preserve">Yield</w:t>
      </w:r>
    </w:p>
    <w:p>
      <w:pPr>
        <w:pStyle w:val="ListParagraph"/>
        <w:numPr>
          <w:ilvl w:val="0"/>
          <w:numId w:val="2"/>
        </w:numPr>
        <w:spacing w:after="60"/>
      </w:pPr>
      <w:r>
        <w:rPr>
          <w:rFonts w:ascii="Arial" w:cs="Arial" w:eastAsia="Arial" w:hAnsi="Arial"/>
          <w:sz w:val="22"/>
          <w:szCs w:val="22"/>
        </w:rPr>
        <w:t xml:space="preserve">current_yield_to_maturity_pct NUMERIC(6,3)</w:t>
      </w:r>
    </w:p>
    <w:p>
      <w:pPr>
        <w:pStyle w:val="ListParagraph"/>
        <w:numPr>
          <w:ilvl w:val="0"/>
          <w:numId w:val="2"/>
        </w:numPr>
        <w:spacing w:after="60"/>
      </w:pPr>
      <w:r>
        <w:rPr>
          <w:rFonts w:ascii="Arial" w:cs="Arial" w:eastAsia="Arial" w:hAnsi="Arial"/>
          <w:sz w:val="22"/>
          <w:szCs w:val="22"/>
        </w:rPr>
        <w:t xml:space="preserve">yield_floor_pct NUMERIC(6,3)</w:t>
      </w:r>
    </w:p>
    <w:p>
      <w:pPr>
        <w:spacing w:after="80"/>
      </w:pPr>
      <w:r>
        <w:rPr>
          <w:rFonts w:ascii="Arial" w:cs="Arial" w:eastAsia="Arial" w:hAnsi="Arial"/>
          <w:b/>
          <w:bCs/>
          <w:sz w:val="22"/>
          <w:szCs w:val="22"/>
        </w:rPr>
        <w:t xml:space="preserve">Taxonomy (v8)</w:t>
      </w:r>
    </w:p>
    <w:p>
      <w:pPr>
        <w:pStyle w:val="ListParagraph"/>
        <w:numPr>
          <w:ilvl w:val="0"/>
          <w:numId w:val="2"/>
        </w:numPr>
        <w:spacing w:after="60"/>
      </w:pPr>
      <w:r>
        <w:rPr>
          <w:rFonts w:ascii="Arial" w:cs="Arial" w:eastAsia="Arial" w:hAnsi="Arial"/>
          <w:sz w:val="22"/>
          <w:szCs w:val="22"/>
        </w:rPr>
        <w:t xml:space="preserve">entity_level TEXT — references corporate_entities.entity_role</w:t>
      </w:r>
    </w:p>
    <w:p>
      <w:pPr>
        <w:pStyle w:val="ListParagraph"/>
        <w:numPr>
          <w:ilvl w:val="0"/>
          <w:numId w:val="2"/>
        </w:numPr>
        <w:spacing w:after="60"/>
      </w:pPr>
      <w:r>
        <w:rPr>
          <w:rFonts w:ascii="Arial" w:cs="Arial" w:eastAsia="Arial" w:hAnsi="Arial"/>
          <w:sz w:val="22"/>
          <w:szCs w:val="22"/>
        </w:rPr>
        <w:t xml:space="preserve">entity_name TEXT — denormalised for display</w:t>
      </w:r>
    </w:p>
    <w:p>
      <w:pPr>
        <w:pStyle w:val="ListParagraph"/>
        <w:numPr>
          <w:ilvl w:val="0"/>
          <w:numId w:val="2"/>
        </w:numPr>
        <w:spacing w:after="60"/>
      </w:pPr>
      <w:r>
        <w:rPr>
          <w:rFonts w:ascii="Arial" w:cs="Arial" w:eastAsia="Arial" w:hAnsi="Arial"/>
          <w:sz w:val="22"/>
          <w:szCs w:val="22"/>
        </w:rPr>
        <w:t xml:space="preserve">ownership_pct NUMERIC(5,2)</w:t>
      </w:r>
    </w:p>
    <w:p>
      <w:pPr>
        <w:pStyle w:val="ListParagraph"/>
        <w:numPr>
          <w:ilvl w:val="0"/>
          <w:numId w:val="2"/>
        </w:numPr>
        <w:spacing w:after="60"/>
      </w:pPr>
      <w:r>
        <w:rPr>
          <w:rFonts w:ascii="Arial" w:cs="Arial" w:eastAsia="Arial" w:hAnsi="Arial"/>
          <w:sz w:val="22"/>
          <w:szCs w:val="22"/>
        </w:rPr>
        <w:t xml:space="preserve">structural_seniority INTEGER</w:t>
      </w:r>
    </w:p>
    <w:p>
      <w:pPr>
        <w:pStyle w:val="ListParagraph"/>
        <w:numPr>
          <w:ilvl w:val="0"/>
          <w:numId w:val="2"/>
        </w:numPr>
        <w:spacing w:after="60"/>
      </w:pPr>
      <w:r>
        <w:rPr>
          <w:rFonts w:ascii="Arial" w:cs="Arial" w:eastAsia="Arial" w:hAnsi="Arial"/>
          <w:sz w:val="22"/>
          <w:szCs w:val="22"/>
        </w:rPr>
        <w:t xml:space="preserve">ratio_consolidation_level TEXT</w:t>
      </w:r>
    </w:p>
    <w:p>
      <w:pPr>
        <w:pStyle w:val="ListParagraph"/>
        <w:numPr>
          <w:ilvl w:val="0"/>
          <w:numId w:val="2"/>
        </w:numPr>
        <w:spacing w:after="60"/>
      </w:pPr>
      <w:r>
        <w:rPr>
          <w:rFonts w:ascii="Arial" w:cs="Arial" w:eastAsia="Arial" w:hAnsi="Arial"/>
          <w:sz w:val="22"/>
          <w:szCs w:val="22"/>
        </w:rPr>
        <w:t xml:space="preserve">intercompany_lender TEXT</w:t>
      </w:r>
    </w:p>
    <w:p>
      <w:pPr>
        <w:pStyle w:val="ListParagraph"/>
        <w:numPr>
          <w:ilvl w:val="0"/>
          <w:numId w:val="2"/>
        </w:numPr>
        <w:spacing w:after="60"/>
      </w:pPr>
      <w:r>
        <w:rPr>
          <w:rFonts w:ascii="Arial" w:cs="Arial" w:eastAsia="Arial" w:hAnsi="Arial"/>
          <w:sz w:val="22"/>
          <w:szCs w:val="22"/>
        </w:rPr>
        <w:t xml:space="preserve">subordination_agreement TEXT</w:t>
      </w:r>
    </w:p>
    <w:p>
      <w:pPr>
        <w:pStyle w:val="ListParagraph"/>
        <w:numPr>
          <w:ilvl w:val="0"/>
          <w:numId w:val="2"/>
        </w:numPr>
        <w:spacing w:after="60"/>
      </w:pPr>
      <w:r>
        <w:rPr>
          <w:rFonts w:ascii="Arial" w:cs="Arial" w:eastAsia="Arial" w:hAnsi="Arial"/>
          <w:sz w:val="22"/>
          <w:szCs w:val="22"/>
        </w:rPr>
        <w:t xml:space="preserve">cashflow_priority_rank INTEGER — auto-assigned by engine; manual overrides respected</w:t>
      </w:r>
    </w:p>
    <w:p>
      <w:pPr>
        <w:spacing w:after="80"/>
      </w:pPr>
      <w:r>
        <w:rPr>
          <w:rFonts w:ascii="Arial" w:cs="Arial" w:eastAsia="Arial" w:hAnsi="Arial"/>
          <w:b/>
          <w:bCs/>
          <w:sz w:val="22"/>
          <w:szCs w:val="22"/>
        </w:rPr>
        <w:t xml:space="preserve">Pledged shares (v9 — NAV-style debt)</w:t>
      </w:r>
    </w:p>
    <w:p>
      <w:pPr>
        <w:pStyle w:val="ListParagraph"/>
        <w:numPr>
          <w:ilvl w:val="0"/>
          <w:numId w:val="2"/>
        </w:numPr>
        <w:spacing w:after="60"/>
      </w:pPr>
      <w:r>
        <w:rPr>
          <w:rFonts w:ascii="Arial" w:cs="Arial" w:eastAsia="Arial" w:hAnsi="Arial"/>
          <w:sz w:val="22"/>
          <w:szCs w:val="22"/>
        </w:rPr>
        <w:t xml:space="preserve">pledged_share_entity TEXT</w:t>
      </w:r>
    </w:p>
    <w:p>
      <w:pPr>
        <w:pStyle w:val="ListParagraph"/>
        <w:numPr>
          <w:ilvl w:val="0"/>
          <w:numId w:val="2"/>
        </w:numPr>
        <w:spacing w:after="60"/>
      </w:pPr>
      <w:r>
        <w:rPr>
          <w:rFonts w:ascii="Arial" w:cs="Arial" w:eastAsia="Arial" w:hAnsi="Arial"/>
          <w:sz w:val="22"/>
          <w:szCs w:val="22"/>
        </w:rPr>
        <w:t xml:space="preserve">pledged_share_pct NUMERIC(5,2) — use for grossed-up consolidation</w:t>
      </w:r>
    </w:p>
    <w:p>
      <w:pPr>
        <w:spacing w:after="80"/>
      </w:pPr>
      <w:r>
        <w:rPr>
          <w:rFonts w:ascii="Arial" w:cs="Arial" w:eastAsia="Arial" w:hAnsi="Arial"/>
          <w:b/>
          <w:bCs/>
          <w:sz w:val="22"/>
          <w:szCs w:val="22"/>
        </w:rPr>
        <w:t xml:space="preserve">Audit</w:t>
      </w:r>
    </w:p>
    <w:p>
      <w:pPr>
        <w:pStyle w:val="ListParagraph"/>
        <w:numPr>
          <w:ilvl w:val="0"/>
          <w:numId w:val="2"/>
        </w:numPr>
        <w:spacing w:after="60"/>
      </w:pPr>
      <w:r>
        <w:rPr>
          <w:rFonts w:ascii="Arial" w:cs="Arial" w:eastAsia="Arial" w:hAnsi="Arial"/>
          <w:sz w:val="22"/>
          <w:szCs w:val="22"/>
        </w:rPr>
        <w:t xml:space="preserve">source_* block, created_at, updated_at</w:t>
      </w:r>
    </w:p>
    <w:p>
      <w:pPr>
        <w:pStyle w:val="Heading3"/>
        <w:spacing w:after="80" w:before="180"/>
      </w:pPr>
      <w:r>
        <w:rPr>
          <w:rFonts w:ascii="Arial" w:cs="Arial" w:eastAsia="Arial" w:hAnsi="Arial"/>
          <w:b/>
          <w:bCs/>
          <w:color w:val="263849"/>
          <w:sz w:val="26"/>
          <w:szCs w:val="26"/>
        </w:rPr>
        <w:t xml:space="preserve">capital_structure_margin_ratchets</w:t>
      </w:r>
    </w:p>
    <w:p>
      <w:pPr>
        <w:spacing w:after="140" w:line="280"/>
        <w:jc w:val="both"/>
      </w:pPr>
      <w:r>
        <w:rPr>
          <w:rFonts w:ascii="Arial" w:cs="Arial" w:eastAsia="Arial" w:hAnsi="Arial"/>
          <w:sz w:val="22"/>
          <w:szCs w:val="22"/>
        </w:rPr>
        <w:t xml:space="preserve">Child rows of capital_structure_instruments. One row per ratchet step. Supports leverage-based, DSCR-based, and ESG-SPT-based ratchets.</w:t>
      </w:r>
    </w:p>
    <w:p>
      <w:pPr>
        <w:pStyle w:val="ListParagraph"/>
        <w:numPr>
          <w:ilvl w:val="0"/>
          <w:numId w:val="2"/>
        </w:numPr>
        <w:spacing w:after="60"/>
      </w:pPr>
      <w:r>
        <w:rPr>
          <w:rFonts w:ascii="Arial" w:cs="Arial" w:eastAsia="Arial" w:hAnsi="Arial"/>
          <w:sz w:val="22"/>
          <w:szCs w:val="22"/>
        </w:rPr>
        <w:t xml:space="preserve">id, instrument_id, ratchet_name, step_key, step_order</w:t>
      </w:r>
    </w:p>
    <w:p>
      <w:pPr>
        <w:pStyle w:val="ListParagraph"/>
        <w:numPr>
          <w:ilvl w:val="0"/>
          <w:numId w:val="2"/>
        </w:numPr>
        <w:spacing w:after="60"/>
      </w:pPr>
      <w:r>
        <w:rPr>
          <w:rFonts w:ascii="Arial" w:cs="Arial" w:eastAsia="Arial" w:hAnsi="Arial"/>
          <w:sz w:val="22"/>
          <w:szCs w:val="22"/>
        </w:rPr>
        <w:t xml:space="preserve">ratchet_type TEXT — leverage / dscr / esg_spt / custom</w:t>
      </w:r>
    </w:p>
    <w:p>
      <w:pPr>
        <w:pStyle w:val="ListParagraph"/>
        <w:numPr>
          <w:ilvl w:val="0"/>
          <w:numId w:val="2"/>
        </w:numPr>
        <w:spacing w:after="60"/>
      </w:pPr>
      <w:r>
        <w:rPr>
          <w:rFonts w:ascii="Arial" w:cs="Arial" w:eastAsia="Arial" w:hAnsi="Arial"/>
          <w:sz w:val="22"/>
          <w:szCs w:val="22"/>
        </w:rPr>
        <w:t xml:space="preserve">trigger_metric TEXT — metric key (e.g. net_debt_ebitda, carbon_intensity_gco2_kwh)</w:t>
      </w:r>
    </w:p>
    <w:p>
      <w:pPr>
        <w:pStyle w:val="ListParagraph"/>
        <w:numPr>
          <w:ilvl w:val="0"/>
          <w:numId w:val="2"/>
        </w:numPr>
        <w:spacing w:after="60"/>
      </w:pPr>
      <w:r>
        <w:rPr>
          <w:rFonts w:ascii="Arial" w:cs="Arial" w:eastAsia="Arial" w:hAnsi="Arial"/>
          <w:sz w:val="22"/>
          <w:szCs w:val="22"/>
        </w:rPr>
        <w:t xml:space="preserve">operator TEXT — lte / lt / gte / gt / eq / range</w:t>
      </w:r>
    </w:p>
    <w:p>
      <w:pPr>
        <w:pStyle w:val="ListParagraph"/>
        <w:numPr>
          <w:ilvl w:val="0"/>
          <w:numId w:val="2"/>
        </w:numPr>
        <w:spacing w:after="60"/>
      </w:pPr>
      <w:r>
        <w:rPr>
          <w:rFonts w:ascii="Arial" w:cs="Arial" w:eastAsia="Arial" w:hAnsi="Arial"/>
          <w:sz w:val="22"/>
          <w:szCs w:val="22"/>
        </w:rPr>
        <w:t xml:space="preserve">threshold_value NUMERIC</w:t>
      </w:r>
    </w:p>
    <w:p>
      <w:pPr>
        <w:pStyle w:val="ListParagraph"/>
        <w:numPr>
          <w:ilvl w:val="0"/>
          <w:numId w:val="2"/>
        </w:numPr>
        <w:spacing w:after="60"/>
      </w:pPr>
      <w:r>
        <w:rPr>
          <w:rFonts w:ascii="Arial" w:cs="Arial" w:eastAsia="Arial" w:hAnsi="Arial"/>
          <w:sz w:val="22"/>
          <w:szCs w:val="22"/>
        </w:rPr>
        <w:t xml:space="preserve">threshold_value_upper NUMERIC — for range operator</w:t>
      </w:r>
    </w:p>
    <w:p>
      <w:pPr>
        <w:pStyle w:val="ListParagraph"/>
        <w:numPr>
          <w:ilvl w:val="0"/>
          <w:numId w:val="2"/>
        </w:numPr>
        <w:spacing w:after="60"/>
      </w:pPr>
      <w:r>
        <w:rPr>
          <w:rFonts w:ascii="Arial" w:cs="Arial" w:eastAsia="Arial" w:hAnsi="Arial"/>
          <w:sz w:val="22"/>
          <w:szCs w:val="22"/>
        </w:rPr>
        <w:t xml:space="preserve">step_coupon_bps INTEGER — new coupon when this step fires</w:t>
      </w:r>
    </w:p>
    <w:p>
      <w:pPr>
        <w:pStyle w:val="ListParagraph"/>
        <w:numPr>
          <w:ilvl w:val="0"/>
          <w:numId w:val="2"/>
        </w:numPr>
        <w:spacing w:after="60"/>
      </w:pPr>
      <w:r>
        <w:rPr>
          <w:rFonts w:ascii="Arial" w:cs="Arial" w:eastAsia="Arial" w:hAnsi="Arial"/>
          <w:sz w:val="22"/>
          <w:szCs w:val="22"/>
        </w:rPr>
        <w:t xml:space="preserve">cure_period_days INTEGER</w:t>
      </w:r>
    </w:p>
    <w:p>
      <w:pPr>
        <w:pStyle w:val="ListParagraph"/>
        <w:numPr>
          <w:ilvl w:val="0"/>
          <w:numId w:val="2"/>
        </w:numPr>
        <w:spacing w:after="60"/>
      </w:pPr>
      <w:r>
        <w:rPr>
          <w:rFonts w:ascii="Arial" w:cs="Arial" w:eastAsia="Arial" w:hAnsi="Arial"/>
          <w:sz w:val="22"/>
          <w:szCs w:val="22"/>
        </w:rPr>
        <w:t xml:space="preserve">effective_date DATE</w:t>
      </w:r>
    </w:p>
    <w:p>
      <w:pPr>
        <w:pStyle w:val="ListParagraph"/>
        <w:numPr>
          <w:ilvl w:val="0"/>
          <w:numId w:val="2"/>
        </w:numPr>
        <w:spacing w:after="60"/>
      </w:pPr>
      <w:r>
        <w:rPr>
          <w:rFonts w:ascii="Arial" w:cs="Arial" w:eastAsia="Arial" w:hAnsi="Arial"/>
          <w:sz w:val="22"/>
          <w:szCs w:val="22"/>
        </w:rPr>
        <w:t xml:space="preserve">expiry_date DATE</w:t>
      </w:r>
    </w:p>
    <w:p>
      <w:pPr>
        <w:pStyle w:val="ListParagraph"/>
        <w:numPr>
          <w:ilvl w:val="0"/>
          <w:numId w:val="2"/>
        </w:numPr>
        <w:spacing w:after="60"/>
      </w:pPr>
      <w:r>
        <w:rPr>
          <w:rFonts w:ascii="Arial" w:cs="Arial" w:eastAsia="Arial" w:hAnsi="Arial"/>
          <w:sz w:val="22"/>
          <w:szCs w:val="22"/>
        </w:rPr>
        <w:t xml:space="preserve">kpi_key TEXT — populated for ESG SPT ratchets</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Ratchet step evaluation — cure-period smoothing, back-to-back step movement rules, and missed-SPT-year treatment are not yet specified. Part VIII engines sets out the agreed behaviour at a narrative level, but exact pseudocode is outstanding.</w:t>
      </w:r>
    </w:p>
    <w:p>
      <w:pPr>
        <w:pStyle w:val="Heading3"/>
        <w:spacing w:after="80" w:before="180"/>
      </w:pPr>
      <w:r>
        <w:rPr>
          <w:rFonts w:ascii="Arial" w:cs="Arial" w:eastAsia="Arial" w:hAnsi="Arial"/>
          <w:b/>
          <w:bCs/>
          <w:color w:val="263849"/>
          <w:sz w:val="26"/>
          <w:szCs w:val="26"/>
        </w:rPr>
        <w:t xml:space="preserve">capital_structure_margin_ratchet_history</w:t>
      </w:r>
    </w:p>
    <w:p>
      <w:pPr>
        <w:spacing w:after="140" w:line="280"/>
        <w:jc w:val="both"/>
      </w:pPr>
      <w:r>
        <w:rPr>
          <w:rFonts w:ascii="Arial" w:cs="Arial" w:eastAsia="Arial" w:hAnsi="Arial"/>
          <w:sz w:val="22"/>
          <w:szCs w:val="22"/>
        </w:rPr>
        <w:t xml:space="preserve">Append-only audit log of ratchet step movements. One row per step-firing event.</w:t>
      </w:r>
    </w:p>
    <w:p>
      <w:pPr>
        <w:pStyle w:val="ListParagraph"/>
        <w:numPr>
          <w:ilvl w:val="0"/>
          <w:numId w:val="2"/>
        </w:numPr>
        <w:spacing w:after="60"/>
      </w:pPr>
      <w:r>
        <w:rPr>
          <w:rFonts w:ascii="Arial" w:cs="Arial" w:eastAsia="Arial" w:hAnsi="Arial"/>
          <w:sz w:val="22"/>
          <w:szCs w:val="22"/>
        </w:rPr>
        <w:t xml:space="preserve">id, ratchet_id, prior_step_key, new_step_key</w:t>
      </w:r>
    </w:p>
    <w:p>
      <w:pPr>
        <w:pStyle w:val="ListParagraph"/>
        <w:numPr>
          <w:ilvl w:val="0"/>
          <w:numId w:val="2"/>
        </w:numPr>
        <w:spacing w:after="60"/>
      </w:pPr>
      <w:r>
        <w:rPr>
          <w:rFonts w:ascii="Arial" w:cs="Arial" w:eastAsia="Arial" w:hAnsi="Arial"/>
          <w:sz w:val="22"/>
          <w:szCs w:val="22"/>
        </w:rPr>
        <w:t xml:space="preserve">fired_at TIMESTAMPTZ</w:t>
      </w:r>
    </w:p>
    <w:p>
      <w:pPr>
        <w:pStyle w:val="ListParagraph"/>
        <w:numPr>
          <w:ilvl w:val="0"/>
          <w:numId w:val="2"/>
        </w:numPr>
        <w:spacing w:after="60"/>
      </w:pPr>
      <w:r>
        <w:rPr>
          <w:rFonts w:ascii="Arial" w:cs="Arial" w:eastAsia="Arial" w:hAnsi="Arial"/>
          <w:sz w:val="22"/>
          <w:szCs w:val="22"/>
        </w:rPr>
        <w:t xml:space="preserve">trigger_metric_value NUMERIC — the observed value that fired the step</w:t>
      </w:r>
    </w:p>
    <w:p>
      <w:pPr>
        <w:pStyle w:val="ListParagraph"/>
        <w:numPr>
          <w:ilvl w:val="0"/>
          <w:numId w:val="2"/>
        </w:numPr>
        <w:spacing w:after="60"/>
      </w:pPr>
      <w:r>
        <w:rPr>
          <w:rFonts w:ascii="Arial" w:cs="Arial" w:eastAsia="Arial" w:hAnsi="Arial"/>
          <w:sz w:val="22"/>
          <w:szCs w:val="22"/>
        </w:rPr>
        <w:t xml:space="preserve">reason TEXT</w:t>
      </w:r>
    </w:p>
    <w:p>
      <w:pPr>
        <w:pStyle w:val="ListParagraph"/>
        <w:numPr>
          <w:ilvl w:val="0"/>
          <w:numId w:val="2"/>
        </w:numPr>
        <w:spacing w:after="60"/>
      </w:pPr>
      <w:r>
        <w:rPr>
          <w:rFonts w:ascii="Arial" w:cs="Arial" w:eastAsia="Arial" w:hAnsi="Arial"/>
          <w:sz w:val="22"/>
          <w:szCs w:val="22"/>
        </w:rPr>
        <w:t xml:space="preserve">source_* block</w:t>
      </w:r>
    </w:p>
    <w:p>
      <w:pPr>
        <w:pStyle w:val="Heading3"/>
        <w:spacing w:after="80" w:before="180"/>
      </w:pPr>
      <w:r>
        <w:rPr>
          <w:rFonts w:ascii="Arial" w:cs="Arial" w:eastAsia="Arial" w:hAnsi="Arial"/>
          <w:b/>
          <w:bCs/>
          <w:color w:val="263849"/>
          <w:sz w:val="26"/>
          <w:szCs w:val="26"/>
        </w:rPr>
        <w:t xml:space="preserve">account_instrument_allocations</w:t>
      </w:r>
    </w:p>
    <w:p>
      <w:pPr>
        <w:spacing w:after="140" w:line="280"/>
        <w:jc w:val="both"/>
      </w:pPr>
      <w:r>
        <w:rPr>
          <w:rFonts w:ascii="Arial" w:cs="Arial" w:eastAsia="Arial" w:hAnsi="Arial"/>
          <w:sz w:val="22"/>
          <w:szCs w:val="22"/>
        </w:rPr>
        <w:t xml:space="preserve">Links account holdings to specific instruments. Supports multi-tranche holdings.</w:t>
      </w:r>
    </w:p>
    <w:p>
      <w:pPr>
        <w:pStyle w:val="ListParagraph"/>
        <w:numPr>
          <w:ilvl w:val="0"/>
          <w:numId w:val="2"/>
        </w:numPr>
        <w:spacing w:after="60"/>
      </w:pPr>
      <w:r>
        <w:rPr>
          <w:rFonts w:ascii="Arial" w:cs="Arial" w:eastAsia="Arial" w:hAnsi="Arial"/>
          <w:sz w:val="22"/>
          <w:szCs w:val="22"/>
        </w:rPr>
        <w:t xml:space="preserve">id, account_id, instrument_id, holding_amount_native, holding_amount_reporting, allocation_date</w:t>
      </w:r>
    </w:p>
    <w:p>
      <w:pPr>
        <w:pStyle w:val="Heading2"/>
        <w:spacing w:after="120" w:before="240"/>
      </w:pPr>
      <w:r>
        <w:rPr>
          <w:rFonts w:ascii="Arial" w:cs="Arial" w:eastAsia="Arial" w:hAnsi="Arial"/>
          <w:b/>
          <w:bCs/>
          <w:color w:val="263849"/>
          <w:sz w:val="30"/>
          <w:szCs w:val="30"/>
        </w:rPr>
        <w:t xml:space="preserve">2.5 Family: Covenants, distributions, and EOD</w:t>
      </w:r>
    </w:p>
    <w:p>
      <w:pPr>
        <w:pStyle w:val="Heading3"/>
        <w:spacing w:after="80" w:before="180"/>
      </w:pPr>
      <w:r>
        <w:rPr>
          <w:rFonts w:ascii="Arial" w:cs="Arial" w:eastAsia="Arial" w:hAnsi="Arial"/>
          <w:b/>
          <w:bCs/>
          <w:color w:val="263849"/>
          <w:sz w:val="26"/>
          <w:szCs w:val="26"/>
        </w:rPr>
        <w:t xml:space="preserve">covenant_thresholds</w:t>
      </w:r>
    </w:p>
    <w:p>
      <w:pPr>
        <w:spacing w:after="140" w:line="280"/>
        <w:jc w:val="both"/>
      </w:pPr>
      <w:r>
        <w:rPr>
          <w:rFonts w:ascii="Arial" w:cs="Arial" w:eastAsia="Arial" w:hAnsi="Arial"/>
          <w:sz w:val="22"/>
          <w:szCs w:val="22"/>
        </w:rPr>
        <w:t xml:space="preserve">One row per covenant on a deal. Thresholds are immutable per row — amendments create new rows and retire old (active=false + deal_amendment_id set).</w:t>
      </w:r>
    </w:p>
    <w:p>
      <w:pPr>
        <w:pStyle w:val="ListParagraph"/>
        <w:numPr>
          <w:ilvl w:val="0"/>
          <w:numId w:val="2"/>
        </w:numPr>
        <w:spacing w:after="60"/>
      </w:pPr>
      <w:r>
        <w:rPr>
          <w:rFonts w:ascii="Arial" w:cs="Arial" w:eastAsia="Arial" w:hAnsi="Arial"/>
          <w:sz w:val="22"/>
          <w:szCs w:val="22"/>
        </w:rPr>
        <w:t xml:space="preserve">id, deal_id</w:t>
      </w:r>
    </w:p>
    <w:p>
      <w:pPr>
        <w:pStyle w:val="ListParagraph"/>
        <w:numPr>
          <w:ilvl w:val="0"/>
          <w:numId w:val="2"/>
        </w:numPr>
        <w:spacing w:after="60"/>
      </w:pPr>
      <w:r>
        <w:rPr>
          <w:rFonts w:ascii="Arial" w:cs="Arial" w:eastAsia="Arial" w:hAnsi="Arial"/>
          <w:sz w:val="22"/>
          <w:szCs w:val="22"/>
        </w:rPr>
        <w:t xml:space="preserve">covenant_name TEXT</w:t>
      </w:r>
    </w:p>
    <w:p>
      <w:pPr>
        <w:pStyle w:val="ListParagraph"/>
        <w:numPr>
          <w:ilvl w:val="0"/>
          <w:numId w:val="2"/>
        </w:numPr>
        <w:spacing w:after="60"/>
      </w:pPr>
      <w:r>
        <w:rPr>
          <w:rFonts w:ascii="Arial" w:cs="Arial" w:eastAsia="Arial" w:hAnsi="Arial"/>
          <w:sz w:val="22"/>
          <w:szCs w:val="22"/>
        </w:rPr>
        <w:t xml:space="preserve">metric_key TEXT — references a defined metric in the metric-formula registry (e.g. 'dscr_historic', 'llcr', 'ltv', 'net_debt_ebitda')</w:t>
      </w:r>
    </w:p>
    <w:p>
      <w:pPr>
        <w:pStyle w:val="ListParagraph"/>
        <w:numPr>
          <w:ilvl w:val="0"/>
          <w:numId w:val="2"/>
        </w:numPr>
        <w:spacing w:after="60"/>
      </w:pPr>
      <w:r>
        <w:rPr>
          <w:rFonts w:ascii="Arial" w:cs="Arial" w:eastAsia="Arial" w:hAnsi="Arial"/>
          <w:sz w:val="22"/>
          <w:szCs w:val="22"/>
        </w:rPr>
        <w:t xml:space="preserve">ratio_level TEXT — entity level at which this ratio is tested (v8 addition)</w:t>
      </w:r>
    </w:p>
    <w:p>
      <w:pPr>
        <w:pStyle w:val="ListParagraph"/>
        <w:numPr>
          <w:ilvl w:val="0"/>
          <w:numId w:val="2"/>
        </w:numPr>
        <w:spacing w:after="60"/>
      </w:pPr>
      <w:r>
        <w:rPr>
          <w:rFonts w:ascii="Arial" w:cs="Arial" w:eastAsia="Arial" w:hAnsi="Arial"/>
          <w:sz w:val="22"/>
          <w:szCs w:val="22"/>
        </w:rPr>
        <w:t xml:space="preserve">test_frequency TEXT — monthly / quarterly / semi_annual / annual / continuous</w:t>
      </w:r>
    </w:p>
    <w:p>
      <w:pPr>
        <w:pStyle w:val="ListParagraph"/>
        <w:numPr>
          <w:ilvl w:val="0"/>
          <w:numId w:val="2"/>
        </w:numPr>
        <w:spacing w:after="60"/>
      </w:pPr>
      <w:r>
        <w:rPr>
          <w:rFonts w:ascii="Arial" w:cs="Arial" w:eastAsia="Arial" w:hAnsi="Arial"/>
          <w:sz w:val="22"/>
          <w:szCs w:val="22"/>
        </w:rPr>
        <w:t xml:space="preserve">lockup_level NUMERIC(10,4)</w:t>
      </w:r>
    </w:p>
    <w:p>
      <w:pPr>
        <w:pStyle w:val="ListParagraph"/>
        <w:numPr>
          <w:ilvl w:val="0"/>
          <w:numId w:val="2"/>
        </w:numPr>
        <w:spacing w:after="60"/>
      </w:pPr>
      <w:r>
        <w:rPr>
          <w:rFonts w:ascii="Arial" w:cs="Arial" w:eastAsia="Arial" w:hAnsi="Arial"/>
          <w:sz w:val="22"/>
          <w:szCs w:val="22"/>
        </w:rPr>
        <w:t xml:space="preserve">trigger_level NUMERIC(10,4)</w:t>
      </w:r>
    </w:p>
    <w:p>
      <w:pPr>
        <w:pStyle w:val="ListParagraph"/>
        <w:numPr>
          <w:ilvl w:val="0"/>
          <w:numId w:val="2"/>
        </w:numPr>
        <w:spacing w:after="60"/>
      </w:pPr>
      <w:r>
        <w:rPr>
          <w:rFonts w:ascii="Arial" w:cs="Arial" w:eastAsia="Arial" w:hAnsi="Arial"/>
          <w:sz w:val="22"/>
          <w:szCs w:val="22"/>
        </w:rPr>
        <w:t xml:space="preserve">direction_of_breach TEXT — 'below' for DSCR-type, 'above' for LTV-type</w:t>
      </w:r>
    </w:p>
    <w:p>
      <w:pPr>
        <w:pStyle w:val="ListParagraph"/>
        <w:numPr>
          <w:ilvl w:val="0"/>
          <w:numId w:val="2"/>
        </w:numPr>
        <w:spacing w:after="60"/>
      </w:pPr>
      <w:r>
        <w:rPr>
          <w:rFonts w:ascii="Arial" w:cs="Arial" w:eastAsia="Arial" w:hAnsi="Arial"/>
          <w:sz w:val="22"/>
          <w:szCs w:val="22"/>
        </w:rPr>
        <w:t xml:space="preserve">measurement_window TEXT — e.g. 'last_4_quarters', 'current_period', 'rolling_12m'</w:t>
      </w:r>
    </w:p>
    <w:p>
      <w:pPr>
        <w:pStyle w:val="ListParagraph"/>
        <w:numPr>
          <w:ilvl w:val="0"/>
          <w:numId w:val="2"/>
        </w:numPr>
        <w:spacing w:after="60"/>
      </w:pPr>
      <w:r>
        <w:rPr>
          <w:rFonts w:ascii="Arial" w:cs="Arial" w:eastAsia="Arial" w:hAnsi="Arial"/>
          <w:sz w:val="22"/>
          <w:szCs w:val="22"/>
        </w:rPr>
        <w:t xml:space="preserve">cure_period_days INTEGER</w:t>
      </w:r>
    </w:p>
    <w:p>
      <w:pPr>
        <w:pStyle w:val="ListParagraph"/>
        <w:numPr>
          <w:ilvl w:val="0"/>
          <w:numId w:val="2"/>
        </w:numPr>
        <w:spacing w:after="60"/>
      </w:pPr>
      <w:r>
        <w:rPr>
          <w:rFonts w:ascii="Arial" w:cs="Arial" w:eastAsia="Arial" w:hAnsi="Arial"/>
          <w:sz w:val="22"/>
          <w:szCs w:val="22"/>
        </w:rPr>
        <w:t xml:space="preserve">cure_mechanism TEXT — equity_cure / cash_cure / reserve_cure / time_cure / step_in</w:t>
      </w:r>
    </w:p>
    <w:p>
      <w:pPr>
        <w:pStyle w:val="ListParagraph"/>
        <w:numPr>
          <w:ilvl w:val="0"/>
          <w:numId w:val="2"/>
        </w:numPr>
        <w:spacing w:after="60"/>
      </w:pPr>
      <w:r>
        <w:rPr>
          <w:rFonts w:ascii="Arial" w:cs="Arial" w:eastAsia="Arial" w:hAnsi="Arial"/>
          <w:sz w:val="22"/>
          <w:szCs w:val="22"/>
        </w:rPr>
        <w:t xml:space="preserve">cure_cap_per_year INTEGER, cure_cap_per_tenor INTEGER — permitted equity cures</w:t>
      </w:r>
    </w:p>
    <w:p>
      <w:pPr>
        <w:pStyle w:val="ListParagraph"/>
        <w:numPr>
          <w:ilvl w:val="0"/>
          <w:numId w:val="2"/>
        </w:numPr>
        <w:spacing w:after="60"/>
      </w:pPr>
      <w:r>
        <w:rPr>
          <w:rFonts w:ascii="Arial" w:cs="Arial" w:eastAsia="Arial" w:hAnsi="Arial"/>
          <w:sz w:val="22"/>
          <w:szCs w:val="22"/>
        </w:rPr>
        <w:t xml:space="preserve">active BOOLEAN DEFAULT true</w:t>
      </w:r>
    </w:p>
    <w:p>
      <w:pPr>
        <w:pStyle w:val="ListParagraph"/>
        <w:numPr>
          <w:ilvl w:val="0"/>
          <w:numId w:val="2"/>
        </w:numPr>
        <w:spacing w:after="60"/>
      </w:pPr>
      <w:r>
        <w:rPr>
          <w:rFonts w:ascii="Arial" w:cs="Arial" w:eastAsia="Arial" w:hAnsi="Arial"/>
          <w:sz w:val="22"/>
          <w:szCs w:val="22"/>
        </w:rPr>
        <w:t xml:space="preserve">deal_amendment_id BIGINT REFERENCES deal_amendments(id) — set when this row was created/retired by an amendment</w:t>
      </w:r>
    </w:p>
    <w:p>
      <w:pPr>
        <w:pStyle w:val="ListParagraph"/>
        <w:numPr>
          <w:ilvl w:val="0"/>
          <w:numId w:val="2"/>
        </w:numPr>
        <w:spacing w:after="60"/>
      </w:pPr>
      <w:r>
        <w:rPr>
          <w:rFonts w:ascii="Arial" w:cs="Arial" w:eastAsia="Arial" w:hAnsi="Arial"/>
          <w:sz w:val="22"/>
          <w:szCs w:val="22"/>
        </w:rPr>
        <w:t xml:space="preserve">source_* audit-trail</w:t>
      </w:r>
    </w:p>
    <w:p>
      <w:pPr>
        <w:pStyle w:val="Heading3"/>
        <w:spacing w:after="80" w:before="180"/>
      </w:pPr>
      <w:r>
        <w:rPr>
          <w:rFonts w:ascii="Arial" w:cs="Arial" w:eastAsia="Arial" w:hAnsi="Arial"/>
          <w:b/>
          <w:bCs/>
          <w:color w:val="263849"/>
          <w:sz w:val="26"/>
          <w:szCs w:val="26"/>
        </w:rPr>
        <w:t xml:space="preserve">covenant_tests</w:t>
      </w:r>
    </w:p>
    <w:p>
      <w:pPr>
        <w:spacing w:after="140" w:line="280"/>
        <w:jc w:val="both"/>
      </w:pPr>
      <w:r>
        <w:rPr>
          <w:rFonts w:ascii="Arial" w:cs="Arial" w:eastAsia="Arial" w:hAnsi="Arial"/>
          <w:sz w:val="22"/>
          <w:szCs w:val="22"/>
        </w:rPr>
        <w:t xml:space="preserve">Append-only test log. One row per covenant per test date. Immutable.</w:t>
      </w:r>
    </w:p>
    <w:p>
      <w:pPr>
        <w:pStyle w:val="ListParagraph"/>
        <w:numPr>
          <w:ilvl w:val="0"/>
          <w:numId w:val="2"/>
        </w:numPr>
        <w:spacing w:after="60"/>
      </w:pPr>
      <w:r>
        <w:rPr>
          <w:rFonts w:ascii="Arial" w:cs="Arial" w:eastAsia="Arial" w:hAnsi="Arial"/>
          <w:sz w:val="22"/>
          <w:szCs w:val="22"/>
        </w:rPr>
        <w:t xml:space="preserve">id, covenant_id, deal_id, period_id</w:t>
      </w:r>
    </w:p>
    <w:p>
      <w:pPr>
        <w:pStyle w:val="ListParagraph"/>
        <w:numPr>
          <w:ilvl w:val="0"/>
          <w:numId w:val="2"/>
        </w:numPr>
        <w:spacing w:after="60"/>
      </w:pPr>
      <w:r>
        <w:rPr>
          <w:rFonts w:ascii="Arial" w:cs="Arial" w:eastAsia="Arial" w:hAnsi="Arial"/>
          <w:sz w:val="22"/>
          <w:szCs w:val="22"/>
        </w:rPr>
        <w:t xml:space="preserve">test_date DATE</w:t>
      </w:r>
    </w:p>
    <w:p>
      <w:pPr>
        <w:pStyle w:val="ListParagraph"/>
        <w:numPr>
          <w:ilvl w:val="0"/>
          <w:numId w:val="2"/>
        </w:numPr>
        <w:spacing w:after="60"/>
      </w:pPr>
      <w:r>
        <w:rPr>
          <w:rFonts w:ascii="Arial" w:cs="Arial" w:eastAsia="Arial" w:hAnsi="Arial"/>
          <w:sz w:val="22"/>
          <w:szCs w:val="22"/>
        </w:rPr>
        <w:t xml:space="preserve">actual_value NUMERIC(10,4)</w:t>
      </w:r>
    </w:p>
    <w:p>
      <w:pPr>
        <w:pStyle w:val="ListParagraph"/>
        <w:numPr>
          <w:ilvl w:val="0"/>
          <w:numId w:val="2"/>
        </w:numPr>
        <w:spacing w:after="60"/>
      </w:pPr>
      <w:r>
        <w:rPr>
          <w:rFonts w:ascii="Arial" w:cs="Arial" w:eastAsia="Arial" w:hAnsi="Arial"/>
          <w:sz w:val="22"/>
          <w:szCs w:val="22"/>
        </w:rPr>
        <w:t xml:space="preserve">lockup_level NUMERIC(10,4), trigger_level NUMERIC(10,4) — frozen at test time</w:t>
      </w:r>
    </w:p>
    <w:p>
      <w:pPr>
        <w:pStyle w:val="ListParagraph"/>
        <w:numPr>
          <w:ilvl w:val="0"/>
          <w:numId w:val="2"/>
        </w:numPr>
        <w:spacing w:after="60"/>
      </w:pPr>
      <w:r>
        <w:rPr>
          <w:rFonts w:ascii="Arial" w:cs="Arial" w:eastAsia="Arial" w:hAnsi="Arial"/>
          <w:sz w:val="22"/>
          <w:szCs w:val="22"/>
        </w:rPr>
        <w:t xml:space="preserve">headroom_pct NUMERIC(6,2) — distance from trigger</w:t>
      </w:r>
    </w:p>
    <w:p>
      <w:pPr>
        <w:pStyle w:val="ListParagraph"/>
        <w:numPr>
          <w:ilvl w:val="0"/>
          <w:numId w:val="2"/>
        </w:numPr>
        <w:spacing w:after="60"/>
      </w:pPr>
      <w:r>
        <w:rPr>
          <w:rFonts w:ascii="Arial" w:cs="Arial" w:eastAsia="Arial" w:hAnsi="Arial"/>
          <w:sz w:val="22"/>
          <w:szCs w:val="22"/>
        </w:rPr>
        <w:t xml:space="preserve">result TEXT CHECK (result IN ('performing','lockup','trigger','default'))</w:t>
      </w:r>
    </w:p>
    <w:p>
      <w:pPr>
        <w:pStyle w:val="ListParagraph"/>
        <w:numPr>
          <w:ilvl w:val="0"/>
          <w:numId w:val="2"/>
        </w:numPr>
        <w:spacing w:after="60"/>
      </w:pPr>
      <w:r>
        <w:rPr>
          <w:rFonts w:ascii="Arial" w:cs="Arial" w:eastAsia="Arial" w:hAnsi="Arial"/>
          <w:sz w:val="22"/>
          <w:szCs w:val="22"/>
        </w:rPr>
        <w:t xml:space="preserve">cure_status TEXT — none / cure_window_active / cured / cure_expired</w:t>
      </w:r>
    </w:p>
    <w:p>
      <w:pPr>
        <w:pStyle w:val="ListParagraph"/>
        <w:numPr>
          <w:ilvl w:val="0"/>
          <w:numId w:val="2"/>
        </w:numPr>
        <w:spacing w:after="60"/>
      </w:pPr>
      <w:r>
        <w:rPr>
          <w:rFonts w:ascii="Arial" w:cs="Arial" w:eastAsia="Arial" w:hAnsi="Arial"/>
          <w:sz w:val="22"/>
          <w:szCs w:val="22"/>
        </w:rPr>
        <w:t xml:space="preserve">rationale TEXT — narrative</w:t>
      </w:r>
    </w:p>
    <w:p>
      <w:pPr>
        <w:pStyle w:val="ListParagraph"/>
        <w:numPr>
          <w:ilvl w:val="0"/>
          <w:numId w:val="2"/>
        </w:numPr>
        <w:spacing w:after="60"/>
      </w:pPr>
      <w:r>
        <w:rPr>
          <w:rFonts w:ascii="Arial" w:cs="Arial" w:eastAsia="Arial" w:hAnsi="Arial"/>
          <w:sz w:val="22"/>
          <w:szCs w:val="22"/>
        </w:rPr>
        <w:t xml:space="preserve">source_* audit-trail</w:t>
      </w:r>
    </w:p>
    <w:p>
      <w:pPr>
        <w:pStyle w:val="Heading3"/>
        <w:spacing w:after="80" w:before="180"/>
      </w:pPr>
      <w:r>
        <w:rPr>
          <w:rFonts w:ascii="Arial" w:cs="Arial" w:eastAsia="Arial" w:hAnsi="Arial"/>
          <w:b/>
          <w:bCs/>
          <w:color w:val="263849"/>
          <w:sz w:val="26"/>
          <w:szCs w:val="26"/>
        </w:rPr>
        <w:t xml:space="preserve">deal_distribution_conditions</w:t>
      </w:r>
    </w:p>
    <w:p>
      <w:pPr>
        <w:spacing w:after="140" w:line="280"/>
        <w:jc w:val="both"/>
      </w:pPr>
      <w:r>
        <w:rPr>
          <w:rFonts w:ascii="Arial" w:cs="Arial" w:eastAsia="Arial" w:hAnsi="Arial"/>
          <w:sz w:val="22"/>
          <w:szCs w:val="22"/>
        </w:rPr>
        <w:t xml:space="preserve">Gates evaluated by the Distribution Assessment Engine. Each row is one condition.</w:t>
      </w:r>
    </w:p>
    <w:p>
      <w:pPr>
        <w:pStyle w:val="ListParagraph"/>
        <w:numPr>
          <w:ilvl w:val="0"/>
          <w:numId w:val="2"/>
        </w:numPr>
        <w:spacing w:after="60"/>
      </w:pPr>
      <w:r>
        <w:rPr>
          <w:rFonts w:ascii="Arial" w:cs="Arial" w:eastAsia="Arial" w:hAnsi="Arial"/>
          <w:sz w:val="22"/>
          <w:szCs w:val="22"/>
        </w:rPr>
        <w:t xml:space="preserve">id, deal_id</w:t>
      </w:r>
    </w:p>
    <w:p>
      <w:pPr>
        <w:pStyle w:val="ListParagraph"/>
        <w:numPr>
          <w:ilvl w:val="0"/>
          <w:numId w:val="2"/>
        </w:numPr>
        <w:spacing w:after="60"/>
      </w:pPr>
      <w:r>
        <w:rPr>
          <w:rFonts w:ascii="Arial" w:cs="Arial" w:eastAsia="Arial" w:hAnsi="Arial"/>
          <w:sz w:val="22"/>
          <w:szCs w:val="22"/>
        </w:rPr>
        <w:t xml:space="preserve">condition_name TEXT</w:t>
      </w:r>
    </w:p>
    <w:p>
      <w:pPr>
        <w:pStyle w:val="ListParagraph"/>
        <w:numPr>
          <w:ilvl w:val="0"/>
          <w:numId w:val="2"/>
        </w:numPr>
        <w:spacing w:after="60"/>
      </w:pPr>
      <w:r>
        <w:rPr>
          <w:rFonts w:ascii="Arial" w:cs="Arial" w:eastAsia="Arial" w:hAnsi="Arial"/>
          <w:sz w:val="22"/>
          <w:szCs w:val="22"/>
        </w:rPr>
        <w:t xml:space="preserve">condition_type TEXT — financial_covenant / reserve_funded / obligation_current / eod_clear / amendment_post_condition / custom</w:t>
      </w:r>
    </w:p>
    <w:p>
      <w:pPr>
        <w:pStyle w:val="ListParagraph"/>
        <w:numPr>
          <w:ilvl w:val="0"/>
          <w:numId w:val="2"/>
        </w:numPr>
        <w:spacing w:after="60"/>
      </w:pPr>
      <w:r>
        <w:rPr>
          <w:rFonts w:ascii="Arial" w:cs="Arial" w:eastAsia="Arial" w:hAnsi="Arial"/>
          <w:sz w:val="22"/>
          <w:szCs w:val="22"/>
        </w:rPr>
        <w:t xml:space="preserve">evaluator_hint TEXT — either a covenant_id ref, reserve_account_id ref, or a Python-callable key in the evaluator registry</w:t>
      </w:r>
    </w:p>
    <w:p>
      <w:pPr>
        <w:pStyle w:val="ListParagraph"/>
        <w:numPr>
          <w:ilvl w:val="0"/>
          <w:numId w:val="2"/>
        </w:numPr>
        <w:spacing w:after="60"/>
      </w:pPr>
      <w:r>
        <w:rPr>
          <w:rFonts w:ascii="Arial" w:cs="Arial" w:eastAsia="Arial" w:hAnsi="Arial"/>
          <w:sz w:val="22"/>
          <w:szCs w:val="22"/>
        </w:rPr>
        <w:t xml:space="preserve">threshold_value NUMERIC</w:t>
      </w:r>
    </w:p>
    <w:p>
      <w:pPr>
        <w:pStyle w:val="ListParagraph"/>
        <w:numPr>
          <w:ilvl w:val="0"/>
          <w:numId w:val="2"/>
        </w:numPr>
        <w:spacing w:after="60"/>
      </w:pPr>
      <w:r>
        <w:rPr>
          <w:rFonts w:ascii="Arial" w:cs="Arial" w:eastAsia="Arial" w:hAnsi="Arial"/>
          <w:sz w:val="22"/>
          <w:szCs w:val="22"/>
        </w:rPr>
        <w:t xml:space="preserve">severity TEXT — blocker / advisory</w:t>
      </w:r>
    </w:p>
    <w:p>
      <w:pPr>
        <w:pStyle w:val="ListParagraph"/>
        <w:numPr>
          <w:ilvl w:val="0"/>
          <w:numId w:val="2"/>
        </w:numPr>
        <w:spacing w:after="60"/>
      </w:pPr>
      <w:r>
        <w:rPr>
          <w:rFonts w:ascii="Arial" w:cs="Arial" w:eastAsia="Arial" w:hAnsi="Arial"/>
          <w:sz w:val="22"/>
          <w:szCs w:val="22"/>
        </w:rPr>
        <w:t xml:space="preserve">active BOOLEAN</w:t>
      </w:r>
    </w:p>
    <w:p>
      <w:pPr>
        <w:pStyle w:val="Heading3"/>
        <w:spacing w:after="80" w:before="180"/>
      </w:pPr>
      <w:r>
        <w:rPr>
          <w:rFonts w:ascii="Arial" w:cs="Arial" w:eastAsia="Arial" w:hAnsi="Arial"/>
          <w:b/>
          <w:bCs/>
          <w:color w:val="263849"/>
          <w:sz w:val="26"/>
          <w:szCs w:val="26"/>
        </w:rPr>
        <w:t xml:space="preserve">distribution_assessments</w:t>
      </w:r>
    </w:p>
    <w:p>
      <w:pPr>
        <w:spacing w:after="140" w:line="280"/>
        <w:jc w:val="both"/>
      </w:pPr>
      <w:r>
        <w:rPr>
          <w:rFonts w:ascii="Arial" w:cs="Arial" w:eastAsia="Arial" w:hAnsi="Arial"/>
          <w:sz w:val="22"/>
          <w:szCs w:val="22"/>
        </w:rPr>
        <w:t xml:space="preserve">One row per assessment run. Append-only.</w:t>
      </w:r>
    </w:p>
    <w:p>
      <w:pPr>
        <w:pStyle w:val="ListParagraph"/>
        <w:numPr>
          <w:ilvl w:val="0"/>
          <w:numId w:val="2"/>
        </w:numPr>
        <w:spacing w:after="60"/>
      </w:pPr>
      <w:r>
        <w:rPr>
          <w:rFonts w:ascii="Arial" w:cs="Arial" w:eastAsia="Arial" w:hAnsi="Arial"/>
          <w:sz w:val="22"/>
          <w:szCs w:val="22"/>
        </w:rPr>
        <w:t xml:space="preserve">id, deal_id, assessment_date</w:t>
      </w:r>
    </w:p>
    <w:p>
      <w:pPr>
        <w:pStyle w:val="ListParagraph"/>
        <w:numPr>
          <w:ilvl w:val="0"/>
          <w:numId w:val="2"/>
        </w:numPr>
        <w:spacing w:after="60"/>
      </w:pPr>
      <w:r>
        <w:rPr>
          <w:rFonts w:ascii="Arial" w:cs="Arial" w:eastAsia="Arial" w:hAnsi="Arial"/>
          <w:sz w:val="22"/>
          <w:szCs w:val="22"/>
        </w:rPr>
        <w:t xml:space="preserve">status TEXT CHECK (status IN ('allowed','review_required','restricted','blocked'))</w:t>
      </w:r>
    </w:p>
    <w:p>
      <w:pPr>
        <w:pStyle w:val="ListParagraph"/>
        <w:numPr>
          <w:ilvl w:val="0"/>
          <w:numId w:val="2"/>
        </w:numPr>
        <w:spacing w:after="60"/>
      </w:pPr>
      <w:r>
        <w:rPr>
          <w:rFonts w:ascii="Arial" w:cs="Arial" w:eastAsia="Arial" w:hAnsi="Arial"/>
          <w:sz w:val="22"/>
          <w:szCs w:val="22"/>
        </w:rPr>
        <w:t xml:space="preserve">blocker_count INTEGER</w:t>
      </w:r>
    </w:p>
    <w:p>
      <w:pPr>
        <w:pStyle w:val="ListParagraph"/>
        <w:numPr>
          <w:ilvl w:val="0"/>
          <w:numId w:val="2"/>
        </w:numPr>
        <w:spacing w:after="60"/>
      </w:pPr>
      <w:r>
        <w:rPr>
          <w:rFonts w:ascii="Arial" w:cs="Arial" w:eastAsia="Arial" w:hAnsi="Arial"/>
          <w:sz w:val="22"/>
          <w:szCs w:val="22"/>
        </w:rPr>
        <w:t xml:space="preserve">blockers JSONB — array of {condition_id, condition_name, status, rationale}</w:t>
      </w:r>
    </w:p>
    <w:p>
      <w:pPr>
        <w:pStyle w:val="ListParagraph"/>
        <w:numPr>
          <w:ilvl w:val="0"/>
          <w:numId w:val="2"/>
        </w:numPr>
        <w:spacing w:after="60"/>
      </w:pPr>
      <w:r>
        <w:rPr>
          <w:rFonts w:ascii="Arial" w:cs="Arial" w:eastAsia="Arial" w:hAnsi="Arial"/>
          <w:sz w:val="22"/>
          <w:szCs w:val="22"/>
        </w:rPr>
        <w:t xml:space="preserve">rationale TEXT</w:t>
      </w:r>
    </w:p>
    <w:p>
      <w:pPr>
        <w:pStyle w:val="Heading3"/>
        <w:spacing w:after="80" w:before="180"/>
      </w:pPr>
      <w:r>
        <w:rPr>
          <w:rFonts w:ascii="Arial" w:cs="Arial" w:eastAsia="Arial" w:hAnsi="Arial"/>
          <w:b/>
          <w:bCs/>
          <w:color w:val="263849"/>
          <w:sz w:val="26"/>
          <w:szCs w:val="26"/>
        </w:rPr>
        <w:t xml:space="preserve">deal_eod_register</w:t>
      </w:r>
    </w:p>
    <w:p>
      <w:pPr>
        <w:spacing w:after="140" w:line="280"/>
        <w:jc w:val="both"/>
      </w:pPr>
      <w:r>
        <w:rPr>
          <w:rFonts w:ascii="Arial" w:cs="Arial" w:eastAsia="Arial" w:hAnsi="Arial"/>
          <w:sz w:val="22"/>
          <w:szCs w:val="22"/>
        </w:rPr>
        <w:t xml:space="preserve">Contractual definitions of events of default. Used by the Distribution Assessment and Covenant engines.</w:t>
      </w:r>
    </w:p>
    <w:p>
      <w:pPr>
        <w:pStyle w:val="ListParagraph"/>
        <w:numPr>
          <w:ilvl w:val="0"/>
          <w:numId w:val="2"/>
        </w:numPr>
        <w:spacing w:after="60"/>
      </w:pPr>
      <w:r>
        <w:rPr>
          <w:rFonts w:ascii="Arial" w:cs="Arial" w:eastAsia="Arial" w:hAnsi="Arial"/>
          <w:sz w:val="22"/>
          <w:szCs w:val="22"/>
        </w:rPr>
        <w:t xml:space="preserve">id, deal_id, eod_name, eod_type, description, cure_period_days, severity, active</w:t>
      </w:r>
    </w:p>
    <w:p>
      <w:pPr>
        <w:pStyle w:val="Heading3"/>
        <w:spacing w:after="80" w:before="180"/>
      </w:pPr>
      <w:r>
        <w:rPr>
          <w:rFonts w:ascii="Arial" w:cs="Arial" w:eastAsia="Arial" w:hAnsi="Arial"/>
          <w:b/>
          <w:bCs/>
          <w:color w:val="263849"/>
          <w:sz w:val="26"/>
          <w:szCs w:val="26"/>
        </w:rPr>
        <w:t xml:space="preserve">deal_trigger_events</w:t>
      </w:r>
    </w:p>
    <w:p>
      <w:pPr>
        <w:spacing w:after="140" w:line="280"/>
        <w:jc w:val="both"/>
      </w:pPr>
      <w:r>
        <w:rPr>
          <w:rFonts w:ascii="Arial" w:cs="Arial" w:eastAsia="Arial" w:hAnsi="Arial"/>
          <w:sz w:val="22"/>
          <w:szCs w:val="22"/>
        </w:rPr>
        <w:t xml:space="preserve">Append-only log of triggers that have fired on a deal — covenant breaches, cross-defaults, MAC events.</w:t>
      </w:r>
    </w:p>
    <w:p>
      <w:pPr>
        <w:pStyle w:val="ListParagraph"/>
        <w:numPr>
          <w:ilvl w:val="0"/>
          <w:numId w:val="2"/>
        </w:numPr>
        <w:spacing w:after="60"/>
      </w:pPr>
      <w:r>
        <w:rPr>
          <w:rFonts w:ascii="Arial" w:cs="Arial" w:eastAsia="Arial" w:hAnsi="Arial"/>
          <w:sz w:val="22"/>
          <w:szCs w:val="22"/>
        </w:rPr>
        <w:t xml:space="preserve">id, deal_id, trigger_date, trigger_type, source_covenant_id, description, status, resolved_at</w:t>
      </w:r>
    </w:p>
    <w:p>
      <w:pPr>
        <w:pStyle w:val="Heading2"/>
        <w:spacing w:after="120" w:before="240"/>
      </w:pPr>
      <w:r>
        <w:rPr>
          <w:rFonts w:ascii="Arial" w:cs="Arial" w:eastAsia="Arial" w:hAnsi="Arial"/>
          <w:b/>
          <w:bCs/>
          <w:color w:val="263849"/>
          <w:sz w:val="30"/>
          <w:szCs w:val="30"/>
        </w:rPr>
        <w:t xml:space="preserve">2.6 Family: Risk</w:t>
      </w:r>
    </w:p>
    <w:p>
      <w:pPr>
        <w:pStyle w:val="Heading3"/>
        <w:spacing w:after="80" w:before="180"/>
      </w:pPr>
      <w:r>
        <w:rPr>
          <w:rFonts w:ascii="Arial" w:cs="Arial" w:eastAsia="Arial" w:hAnsi="Arial"/>
          <w:b/>
          <w:bCs/>
          <w:color w:val="263849"/>
          <w:sz w:val="26"/>
          <w:szCs w:val="26"/>
        </w:rPr>
        <w:t xml:space="preserve">risk_taxonomy</w:t>
      </w:r>
    </w:p>
    <w:p>
      <w:pPr>
        <w:spacing w:after="140" w:line="280"/>
        <w:jc w:val="both"/>
      </w:pPr>
      <w:r>
        <w:rPr>
          <w:rFonts w:ascii="Arial" w:cs="Arial" w:eastAsia="Arial" w:hAnsi="Arial"/>
          <w:sz w:val="22"/>
          <w:szCs w:val="22"/>
        </w:rPr>
        <w:t xml:space="preserve">Hierarchical risk tree. ~80 seeded nodes. Self-referential via parent_id.</w:t>
      </w:r>
    </w:p>
    <w:p>
      <w:pPr>
        <w:pStyle w:val="ListParagraph"/>
        <w:numPr>
          <w:ilvl w:val="0"/>
          <w:numId w:val="2"/>
        </w:numPr>
        <w:spacing w:after="60"/>
      </w:pPr>
      <w:r>
        <w:rPr>
          <w:rFonts w:ascii="Arial" w:cs="Arial" w:eastAsia="Arial" w:hAnsi="Arial"/>
          <w:sz w:val="22"/>
          <w:szCs w:val="22"/>
        </w:rPr>
        <w:t xml:space="preserve">id, code, label, parent_id, family, depth, description</w:t>
      </w:r>
    </w:p>
    <w:p>
      <w:pPr>
        <w:pStyle w:val="Heading3"/>
        <w:spacing w:after="80" w:before="180"/>
      </w:pPr>
      <w:r>
        <w:rPr>
          <w:rFonts w:ascii="Arial" w:cs="Arial" w:eastAsia="Arial" w:hAnsi="Arial"/>
          <w:b/>
          <w:bCs/>
          <w:color w:val="263849"/>
          <w:sz w:val="26"/>
          <w:szCs w:val="26"/>
        </w:rPr>
        <w:t xml:space="preserve">deal_risk_register</w:t>
      </w:r>
    </w:p>
    <w:p>
      <w:pPr>
        <w:spacing w:after="140" w:line="280"/>
        <w:jc w:val="both"/>
      </w:pPr>
      <w:r>
        <w:rPr>
          <w:rFonts w:ascii="Arial" w:cs="Arial" w:eastAsia="Arial" w:hAnsi="Arial"/>
          <w:sz w:val="22"/>
          <w:szCs w:val="22"/>
        </w:rPr>
        <w:t xml:space="preserve">Per-deal identified risks.</w:t>
      </w:r>
    </w:p>
    <w:p>
      <w:pPr>
        <w:pStyle w:val="ListParagraph"/>
        <w:numPr>
          <w:ilvl w:val="0"/>
          <w:numId w:val="2"/>
        </w:numPr>
        <w:spacing w:after="60"/>
      </w:pPr>
      <w:r>
        <w:rPr>
          <w:rFonts w:ascii="Arial" w:cs="Arial" w:eastAsia="Arial" w:hAnsi="Arial"/>
          <w:sz w:val="22"/>
          <w:szCs w:val="22"/>
        </w:rPr>
        <w:t xml:space="preserve">id, deal_id, risk_title, taxonomy_id REFERENCES risk_taxonomy(id)</w:t>
      </w:r>
    </w:p>
    <w:p>
      <w:pPr>
        <w:pStyle w:val="ListParagraph"/>
        <w:numPr>
          <w:ilvl w:val="0"/>
          <w:numId w:val="2"/>
        </w:numPr>
        <w:spacing w:after="60"/>
      </w:pPr>
      <w:r>
        <w:rPr>
          <w:rFonts w:ascii="Arial" w:cs="Arial" w:eastAsia="Arial" w:hAnsi="Arial"/>
          <w:sz w:val="22"/>
          <w:szCs w:val="22"/>
        </w:rPr>
        <w:t xml:space="preserve">likelihood TEXT — rare / unlikely / possible / likely / almost_certain (or numeric 1-5)</w:t>
      </w:r>
    </w:p>
    <w:p>
      <w:pPr>
        <w:pStyle w:val="ListParagraph"/>
        <w:numPr>
          <w:ilvl w:val="0"/>
          <w:numId w:val="2"/>
        </w:numPr>
        <w:spacing w:after="60"/>
      </w:pPr>
      <w:r>
        <w:rPr>
          <w:rFonts w:ascii="Arial" w:cs="Arial" w:eastAsia="Arial" w:hAnsi="Arial"/>
          <w:sz w:val="22"/>
          <w:szCs w:val="22"/>
        </w:rPr>
        <w:t xml:space="preserve">severity TEXT — negligible / minor / moderate / major / severe (or numeric 1-5)</w:t>
      </w:r>
    </w:p>
    <w:p>
      <w:pPr>
        <w:pStyle w:val="ListParagraph"/>
        <w:numPr>
          <w:ilvl w:val="0"/>
          <w:numId w:val="2"/>
        </w:numPr>
        <w:spacing w:after="60"/>
      </w:pPr>
      <w:r>
        <w:rPr>
          <w:rFonts w:ascii="Arial" w:cs="Arial" w:eastAsia="Arial" w:hAnsi="Arial"/>
          <w:sz w:val="22"/>
          <w:szCs w:val="22"/>
        </w:rPr>
        <w:t xml:space="preserve">likelihood_numeric INTEGER, severity_numeric INTEGER — coerced values</w:t>
      </w:r>
    </w:p>
    <w:p>
      <w:pPr>
        <w:pStyle w:val="ListParagraph"/>
        <w:numPr>
          <w:ilvl w:val="0"/>
          <w:numId w:val="2"/>
        </w:numPr>
        <w:spacing w:after="60"/>
      </w:pPr>
      <w:r>
        <w:rPr>
          <w:rFonts w:ascii="Arial" w:cs="Arial" w:eastAsia="Arial" w:hAnsi="Arial"/>
          <w:sz w:val="22"/>
          <w:szCs w:val="22"/>
        </w:rPr>
        <w:t xml:space="preserve">mitigants TEXT</w:t>
      </w:r>
    </w:p>
    <w:p>
      <w:pPr>
        <w:pStyle w:val="ListParagraph"/>
        <w:numPr>
          <w:ilvl w:val="0"/>
          <w:numId w:val="2"/>
        </w:numPr>
        <w:spacing w:after="60"/>
      </w:pPr>
      <w:r>
        <w:rPr>
          <w:rFonts w:ascii="Arial" w:cs="Arial" w:eastAsia="Arial" w:hAnsi="Arial"/>
          <w:sz w:val="22"/>
          <w:szCs w:val="22"/>
        </w:rPr>
        <w:t xml:space="preserve">direction_of_impact TEXT — revenue_down / cost_up / capex_up / valuation_down / covenant_breach / other</w:t>
      </w:r>
    </w:p>
    <w:p>
      <w:pPr>
        <w:pStyle w:val="ListParagraph"/>
        <w:numPr>
          <w:ilvl w:val="0"/>
          <w:numId w:val="2"/>
        </w:numPr>
        <w:spacing w:after="60"/>
      </w:pPr>
      <w:r>
        <w:rPr>
          <w:rFonts w:ascii="Arial" w:cs="Arial" w:eastAsia="Arial" w:hAnsi="Arial"/>
          <w:sz w:val="22"/>
          <w:szCs w:val="22"/>
        </w:rPr>
        <w:t xml:space="preserve">affected_kpi_keys TEXT[] — array of sector_kpi_* keys</w:t>
      </w:r>
    </w:p>
    <w:p>
      <w:pPr>
        <w:pStyle w:val="ListParagraph"/>
        <w:numPr>
          <w:ilvl w:val="0"/>
          <w:numId w:val="2"/>
        </w:numPr>
        <w:spacing w:after="60"/>
      </w:pPr>
      <w:r>
        <w:rPr>
          <w:rFonts w:ascii="Arial" w:cs="Arial" w:eastAsia="Arial" w:hAnsi="Arial"/>
          <w:sz w:val="22"/>
          <w:szCs w:val="22"/>
        </w:rPr>
        <w:t xml:space="preserve">generated_narrative TEXT — produced by Risk Narrative Generator</w:t>
      </w:r>
    </w:p>
    <w:p>
      <w:pPr>
        <w:pStyle w:val="ListParagraph"/>
        <w:numPr>
          <w:ilvl w:val="0"/>
          <w:numId w:val="2"/>
        </w:numPr>
        <w:spacing w:after="60"/>
      </w:pPr>
      <w:r>
        <w:rPr>
          <w:rFonts w:ascii="Arial" w:cs="Arial" w:eastAsia="Arial" w:hAnsi="Arial"/>
          <w:sz w:val="22"/>
          <w:szCs w:val="22"/>
        </w:rPr>
        <w:t xml:space="preserve">status TEXT — identified / being_monitored / mitigated / crystallised / retired</w:t>
      </w:r>
    </w:p>
    <w:p>
      <w:pPr>
        <w:pStyle w:val="ListParagraph"/>
        <w:numPr>
          <w:ilvl w:val="0"/>
          <w:numId w:val="2"/>
        </w:numPr>
        <w:spacing w:after="60"/>
      </w:pPr>
      <w:r>
        <w:rPr>
          <w:rFonts w:ascii="Arial" w:cs="Arial" w:eastAsia="Arial" w:hAnsi="Arial"/>
          <w:sz w:val="22"/>
          <w:szCs w:val="22"/>
        </w:rPr>
        <w:t xml:space="preserve">source_* audit-trail</w:t>
      </w:r>
    </w:p>
    <w:p>
      <w:pPr>
        <w:pStyle w:val="Heading3"/>
        <w:spacing w:after="80" w:before="180"/>
      </w:pPr>
      <w:r>
        <w:rPr>
          <w:rFonts w:ascii="Arial" w:cs="Arial" w:eastAsia="Arial" w:hAnsi="Arial"/>
          <w:b/>
          <w:bCs/>
          <w:color w:val="263849"/>
          <w:sz w:val="26"/>
          <w:szCs w:val="26"/>
        </w:rPr>
        <w:t xml:space="preserve">deal_risk_register_history</w:t>
      </w:r>
    </w:p>
    <w:p>
      <w:pPr>
        <w:spacing w:after="140" w:line="280"/>
        <w:jc w:val="both"/>
      </w:pPr>
      <w:r>
        <w:rPr>
          <w:rFonts w:ascii="Arial" w:cs="Arial" w:eastAsia="Arial" w:hAnsi="Arial"/>
          <w:sz w:val="22"/>
          <w:szCs w:val="22"/>
        </w:rPr>
        <w:t xml:space="preserve">Immutable audit log of every change to deal_risk_register.</w:t>
      </w:r>
    </w:p>
    <w:p>
      <w:pPr>
        <w:pStyle w:val="ListParagraph"/>
        <w:numPr>
          <w:ilvl w:val="0"/>
          <w:numId w:val="2"/>
        </w:numPr>
        <w:spacing w:after="60"/>
      </w:pPr>
      <w:r>
        <w:rPr>
          <w:rFonts w:ascii="Arial" w:cs="Arial" w:eastAsia="Arial" w:hAnsi="Arial"/>
          <w:sz w:val="22"/>
          <w:szCs w:val="22"/>
        </w:rPr>
        <w:t xml:space="preserve">id, risk_id, changed_at, changed_by, field_name, old_value, new_value</w:t>
      </w:r>
    </w:p>
    <w:p>
      <w:pPr>
        <w:pStyle w:val="Heading3"/>
        <w:spacing w:after="80" w:before="180"/>
      </w:pPr>
      <w:r>
        <w:rPr>
          <w:rFonts w:ascii="Arial" w:cs="Arial" w:eastAsia="Arial" w:hAnsi="Arial"/>
          <w:b/>
          <w:bCs/>
          <w:color w:val="263849"/>
          <w:sz w:val="26"/>
          <w:szCs w:val="26"/>
        </w:rPr>
        <w:t xml:space="preserve">risk_register_entries</w:t>
      </w:r>
    </w:p>
    <w:p>
      <w:pPr>
        <w:spacing w:after="140" w:line="280"/>
        <w:jc w:val="both"/>
      </w:pPr>
      <w:r>
        <w:rPr>
          <w:rFonts w:ascii="Arial" w:cs="Arial" w:eastAsia="Arial" w:hAnsi="Arial"/>
          <w:sz w:val="22"/>
          <w:szCs w:val="22"/>
        </w:rPr>
        <w:t xml:space="preserve">Extended risk annotations used for reports. Cross-references deal_risk_register.</w:t>
      </w:r>
    </w:p>
    <w:p>
      <w:pPr>
        <w:pStyle w:val="ListParagraph"/>
        <w:numPr>
          <w:ilvl w:val="0"/>
          <w:numId w:val="2"/>
        </w:numPr>
        <w:spacing w:after="60"/>
      </w:pPr>
      <w:r>
        <w:rPr>
          <w:rFonts w:ascii="Arial" w:cs="Arial" w:eastAsia="Arial" w:hAnsi="Arial"/>
          <w:sz w:val="22"/>
          <w:szCs w:val="22"/>
        </w:rPr>
        <w:t xml:space="preserve">id, deal_risk_register_id, period_id, narrative_version, commentary</w:t>
      </w:r>
    </w:p>
    <w:p>
      <w:pPr>
        <w:pStyle w:val="Heading2"/>
        <w:spacing w:after="120" w:before="240"/>
      </w:pPr>
      <w:r>
        <w:rPr>
          <w:rFonts w:ascii="Arial" w:cs="Arial" w:eastAsia="Arial" w:hAnsi="Arial"/>
          <w:b/>
          <w:bCs/>
          <w:color w:val="263849"/>
          <w:sz w:val="30"/>
          <w:szCs w:val="30"/>
        </w:rPr>
        <w:t xml:space="preserve">2.7 Family: Financial reporting</w:t>
      </w:r>
    </w:p>
    <w:p>
      <w:pPr>
        <w:pStyle w:val="Heading3"/>
        <w:spacing w:after="80" w:before="180"/>
      </w:pPr>
      <w:r>
        <w:rPr>
          <w:rFonts w:ascii="Arial" w:cs="Arial" w:eastAsia="Arial" w:hAnsi="Arial"/>
          <w:b/>
          <w:bCs/>
          <w:color w:val="263849"/>
          <w:sz w:val="26"/>
          <w:szCs w:val="26"/>
        </w:rPr>
        <w:t xml:space="preserve">deal_reporting_schedule</w:t>
      </w:r>
    </w:p>
    <w:p>
      <w:pPr>
        <w:spacing w:after="140" w:line="280"/>
        <w:jc w:val="both"/>
      </w:pPr>
      <w:r>
        <w:rPr>
          <w:rFonts w:ascii="Arial" w:cs="Arial" w:eastAsia="Arial" w:hAnsi="Arial"/>
          <w:sz w:val="22"/>
          <w:szCs w:val="22"/>
        </w:rPr>
        <w:t xml:space="preserve">The calendar definition for each deal. Extends over the life of the investment plus any forecast horizon.</w:t>
      </w:r>
    </w:p>
    <w:p>
      <w:pPr>
        <w:pStyle w:val="ListParagraph"/>
        <w:numPr>
          <w:ilvl w:val="0"/>
          <w:numId w:val="2"/>
        </w:numPr>
        <w:spacing w:after="60"/>
      </w:pPr>
      <w:r>
        <w:rPr>
          <w:rFonts w:ascii="Arial" w:cs="Arial" w:eastAsia="Arial" w:hAnsi="Arial"/>
          <w:sz w:val="22"/>
          <w:szCs w:val="22"/>
        </w:rPr>
        <w:t xml:space="preserve">id, deal_id, schedule_name, period_length TEXT, first_period_start DATE, reporting_lag_days INTEGER</w:t>
      </w:r>
    </w:p>
    <w:p>
      <w:pPr>
        <w:pStyle w:val="ListParagraph"/>
        <w:numPr>
          <w:ilvl w:val="0"/>
          <w:numId w:val="2"/>
        </w:numPr>
        <w:spacing w:after="60"/>
      </w:pPr>
      <w:r>
        <w:rPr>
          <w:rFonts w:ascii="Arial" w:cs="Arial" w:eastAsia="Arial" w:hAnsi="Arial"/>
          <w:sz w:val="22"/>
          <w:szCs w:val="22"/>
        </w:rPr>
        <w:t xml:space="preserve">forecast_horizon_periods INTEGER — how many forward periods to materialise into deal_reporting_periods</w:t>
      </w:r>
    </w:p>
    <w:p>
      <w:pPr>
        <w:pStyle w:val="Heading3"/>
        <w:spacing w:after="80" w:before="180"/>
      </w:pPr>
      <w:r>
        <w:rPr>
          <w:rFonts w:ascii="Arial" w:cs="Arial" w:eastAsia="Arial" w:hAnsi="Arial"/>
          <w:b/>
          <w:bCs/>
          <w:color w:val="263849"/>
          <w:sz w:val="26"/>
          <w:szCs w:val="26"/>
        </w:rPr>
        <w:t xml:space="preserve">deal_reporting_periods</w:t>
      </w:r>
    </w:p>
    <w:p>
      <w:pPr>
        <w:spacing w:after="140" w:line="280"/>
        <w:jc w:val="both"/>
      </w:pPr>
      <w:r>
        <w:rPr>
          <w:rFonts w:ascii="Arial" w:cs="Arial" w:eastAsia="Arial" w:hAnsi="Arial"/>
          <w:sz w:val="22"/>
          <w:szCs w:val="22"/>
        </w:rPr>
        <w:t xml:space="preserve">Materialised period slots. Generated at onboarding from deal_reporting_schedule and extended on reforecast.</w:t>
      </w:r>
    </w:p>
    <w:p>
      <w:pPr>
        <w:pStyle w:val="ListParagraph"/>
        <w:numPr>
          <w:ilvl w:val="0"/>
          <w:numId w:val="2"/>
        </w:numPr>
        <w:spacing w:after="60"/>
      </w:pPr>
      <w:r>
        <w:rPr>
          <w:rFonts w:ascii="Arial" w:cs="Arial" w:eastAsia="Arial" w:hAnsi="Arial"/>
          <w:sz w:val="22"/>
          <w:szCs w:val="22"/>
        </w:rPr>
        <w:t xml:space="preserve">id, deal_id, period_start DATE, period_end DATE, period_flag TEXT</w:t>
      </w:r>
    </w:p>
    <w:p>
      <w:pPr>
        <w:pStyle w:val="ListParagraph"/>
        <w:numPr>
          <w:ilvl w:val="0"/>
          <w:numId w:val="2"/>
        </w:numPr>
        <w:spacing w:after="60"/>
      </w:pPr>
      <w:r>
        <w:rPr>
          <w:rFonts w:ascii="Arial" w:cs="Arial" w:eastAsia="Arial" w:hAnsi="Arial"/>
          <w:sz w:val="22"/>
          <w:szCs w:val="22"/>
        </w:rPr>
        <w:t xml:space="preserve">period_type TEXT CHECK (period_type IN ('historical','current','forecast'))</w:t>
      </w:r>
    </w:p>
    <w:p>
      <w:pPr>
        <w:pStyle w:val="ListParagraph"/>
        <w:numPr>
          <w:ilvl w:val="0"/>
          <w:numId w:val="2"/>
        </w:numPr>
        <w:spacing w:after="60"/>
      </w:pPr>
      <w:r>
        <w:rPr>
          <w:rFonts w:ascii="Arial" w:cs="Arial" w:eastAsia="Arial" w:hAnsi="Arial"/>
          <w:sz w:val="22"/>
          <w:szCs w:val="22"/>
        </w:rPr>
        <w:t xml:space="preserve">report_due_date DATE — accounting for reporting_lag_days</w:t>
      </w:r>
    </w:p>
    <w:p>
      <w:pPr>
        <w:pStyle w:val="ListParagraph"/>
        <w:numPr>
          <w:ilvl w:val="0"/>
          <w:numId w:val="2"/>
        </w:numPr>
        <w:spacing w:after="60"/>
      </w:pPr>
      <w:r>
        <w:rPr>
          <w:rFonts w:ascii="Arial" w:cs="Arial" w:eastAsia="Arial" w:hAnsi="Arial"/>
          <w:sz w:val="22"/>
          <w:szCs w:val="22"/>
        </w:rPr>
        <w:t xml:space="preserve">report_received_date DATE</w:t>
      </w:r>
    </w:p>
    <w:p>
      <w:pPr>
        <w:pStyle w:val="ListParagraph"/>
        <w:numPr>
          <w:ilvl w:val="0"/>
          <w:numId w:val="2"/>
        </w:numPr>
        <w:spacing w:after="60"/>
      </w:pPr>
      <w:r>
        <w:rPr>
          <w:rFonts w:ascii="Arial" w:cs="Arial" w:eastAsia="Arial" w:hAnsi="Arial"/>
          <w:sz w:val="22"/>
          <w:szCs w:val="22"/>
        </w:rPr>
        <w:t xml:space="preserve">reporting_currency TEXT</w:t>
      </w:r>
    </w:p>
    <w:p>
      <w:pPr>
        <w:pStyle w:val="Heading3"/>
        <w:spacing w:after="80" w:before="180"/>
      </w:pPr>
      <w:r>
        <w:rPr>
          <w:rFonts w:ascii="Arial" w:cs="Arial" w:eastAsia="Arial" w:hAnsi="Arial"/>
          <w:b/>
          <w:bCs/>
          <w:color w:val="263849"/>
          <w:sz w:val="26"/>
          <w:szCs w:val="26"/>
        </w:rPr>
        <w:t xml:space="preserve">line_item_definitions</w:t>
      </w:r>
    </w:p>
    <w:p>
      <w:pPr>
        <w:spacing w:after="140" w:line="280"/>
        <w:jc w:val="both"/>
      </w:pPr>
      <w:r>
        <w:rPr>
          <w:rFonts w:ascii="Arial" w:cs="Arial" w:eastAsia="Arial" w:hAnsi="Arial"/>
          <w:sz w:val="22"/>
          <w:szCs w:val="22"/>
        </w:rPr>
        <w:t xml:space="preserve">The chart of accounts. 181 rows total. Shared across all deals; overridden per-deal via deal_line_item_labels.</w:t>
      </w:r>
    </w:p>
    <w:p>
      <w:pPr>
        <w:pStyle w:val="ListParagraph"/>
        <w:numPr>
          <w:ilvl w:val="0"/>
          <w:numId w:val="2"/>
        </w:numPr>
        <w:spacing w:after="60"/>
      </w:pPr>
      <w:r>
        <w:rPr>
          <w:rFonts w:ascii="Arial" w:cs="Arial" w:eastAsia="Arial" w:hAnsi="Arial"/>
          <w:sz w:val="22"/>
          <w:szCs w:val="22"/>
        </w:rPr>
        <w:t xml:space="preserve">id, line_key TEXT UNIQUE, canonical_label TEXT</w:t>
      </w:r>
    </w:p>
    <w:p>
      <w:pPr>
        <w:pStyle w:val="ListParagraph"/>
        <w:numPr>
          <w:ilvl w:val="0"/>
          <w:numId w:val="2"/>
        </w:numPr>
        <w:spacing w:after="60"/>
      </w:pPr>
      <w:r>
        <w:rPr>
          <w:rFonts w:ascii="Arial" w:cs="Arial" w:eastAsia="Arial" w:hAnsi="Arial"/>
          <w:sz w:val="22"/>
          <w:szCs w:val="22"/>
        </w:rPr>
        <w:t xml:space="preserve">category TEXT — revenue / opex / ebitda_build / working_capital / debt_service / reserves / balance_sheet / covenant / moodys_ratio / kpi / sector_kpi</w:t>
      </w:r>
    </w:p>
    <w:p>
      <w:pPr>
        <w:pStyle w:val="ListParagraph"/>
        <w:numPr>
          <w:ilvl w:val="0"/>
          <w:numId w:val="2"/>
        </w:numPr>
        <w:spacing w:after="60"/>
      </w:pPr>
      <w:r>
        <w:rPr>
          <w:rFonts w:ascii="Arial" w:cs="Arial" w:eastAsia="Arial" w:hAnsi="Arial"/>
          <w:sz w:val="22"/>
          <w:szCs w:val="22"/>
        </w:rPr>
        <w:t xml:space="preserve">direction_of_good TEXT — higher_is_better / lower_is_better / neutral</w:t>
      </w:r>
    </w:p>
    <w:p>
      <w:pPr>
        <w:pStyle w:val="ListParagraph"/>
        <w:numPr>
          <w:ilvl w:val="0"/>
          <w:numId w:val="2"/>
        </w:numPr>
        <w:spacing w:after="60"/>
      </w:pPr>
      <w:r>
        <w:rPr>
          <w:rFonts w:ascii="Arial" w:cs="Arial" w:eastAsia="Arial" w:hAnsi="Arial"/>
          <w:sz w:val="22"/>
          <w:szCs w:val="22"/>
        </w:rPr>
        <w:t xml:space="preserve">display_order INTEGER</w:t>
      </w:r>
    </w:p>
    <w:p>
      <w:pPr>
        <w:pStyle w:val="ListParagraph"/>
        <w:numPr>
          <w:ilvl w:val="0"/>
          <w:numId w:val="2"/>
        </w:numPr>
        <w:spacing w:after="60"/>
      </w:pPr>
      <w:r>
        <w:rPr>
          <w:rFonts w:ascii="Arial" w:cs="Arial" w:eastAsia="Arial" w:hAnsi="Arial"/>
          <w:sz w:val="22"/>
          <w:szCs w:val="22"/>
        </w:rPr>
        <w:t xml:space="preserve">unit TEXT — currency / pct / ratio / count / mwh / tonnes / passengers / etc.</w:t>
      </w:r>
    </w:p>
    <w:p>
      <w:pPr>
        <w:pStyle w:val="ListParagraph"/>
        <w:numPr>
          <w:ilvl w:val="0"/>
          <w:numId w:val="2"/>
        </w:numPr>
        <w:spacing w:after="60"/>
      </w:pPr>
      <w:r>
        <w:rPr>
          <w:rFonts w:ascii="Arial" w:cs="Arial" w:eastAsia="Arial" w:hAnsi="Arial"/>
          <w:sz w:val="22"/>
          <w:szCs w:val="22"/>
        </w:rPr>
        <w:t xml:space="preserve">computed BOOLEAN — true if derived rather than entered</w:t>
      </w:r>
    </w:p>
    <w:p>
      <w:pPr>
        <w:pStyle w:val="ListParagraph"/>
        <w:numPr>
          <w:ilvl w:val="0"/>
          <w:numId w:val="2"/>
        </w:numPr>
        <w:spacing w:after="60"/>
      </w:pPr>
      <w:r>
        <w:rPr>
          <w:rFonts w:ascii="Arial" w:cs="Arial" w:eastAsia="Arial" w:hAnsi="Arial"/>
          <w:sz w:val="22"/>
          <w:szCs w:val="22"/>
        </w:rPr>
        <w:t xml:space="preserve">formula_hint TEXT — informational; actual formula lives in server metric-registry</w:t>
      </w:r>
    </w:p>
    <w:p>
      <w:pPr>
        <w:pBdr>
          <w:left w:val="single" w:color="1F6FA5" w:sz="16" w:space="10"/>
        </w:pBdr>
        <w:spacing w:after="160" w:before="80"/>
        <w:ind w:left="200"/>
      </w:pPr>
      <w:r>
        <w:rPr>
          <w:rFonts w:ascii="Arial" w:cs="Arial" w:eastAsia="Arial" w:hAnsi="Arial"/>
          <w:i/>
          <w:iCs/>
          <w:color w:val="56718A"/>
          <w:sz w:val="22"/>
          <w:szCs w:val="22"/>
        </w:rPr>
        <w:t xml:space="preserve">Line items live at the global level. Per-deal variation (which lines apply, what labels to show) is captured separately in deal_line_item_labels.</w:t>
      </w:r>
    </w:p>
    <w:p>
      <w:pPr>
        <w:pStyle w:val="Heading3"/>
        <w:spacing w:after="80" w:before="180"/>
      </w:pPr>
      <w:r>
        <w:rPr>
          <w:rFonts w:ascii="Arial" w:cs="Arial" w:eastAsia="Arial" w:hAnsi="Arial"/>
          <w:b/>
          <w:bCs/>
          <w:color w:val="263849"/>
          <w:sz w:val="26"/>
          <w:szCs w:val="26"/>
        </w:rPr>
        <w:t xml:space="preserve">deal_line_item_labels</w:t>
      </w:r>
    </w:p>
    <w:p>
      <w:pPr>
        <w:spacing w:after="140" w:line="280"/>
        <w:jc w:val="both"/>
      </w:pPr>
      <w:r>
        <w:rPr>
          <w:rFonts w:ascii="Arial" w:cs="Arial" w:eastAsia="Arial" w:hAnsi="Arial"/>
          <w:sz w:val="22"/>
          <w:szCs w:val="22"/>
        </w:rPr>
        <w:t xml:space="preserve">Per-deal overrides of display labels and ordering for specific line items.</w:t>
      </w:r>
    </w:p>
    <w:p>
      <w:pPr>
        <w:pStyle w:val="ListParagraph"/>
        <w:numPr>
          <w:ilvl w:val="0"/>
          <w:numId w:val="2"/>
        </w:numPr>
        <w:spacing w:after="60"/>
      </w:pPr>
      <w:r>
        <w:rPr>
          <w:rFonts w:ascii="Arial" w:cs="Arial" w:eastAsia="Arial" w:hAnsi="Arial"/>
          <w:sz w:val="22"/>
          <w:szCs w:val="22"/>
        </w:rPr>
        <w:t xml:space="preserve">id, deal_id, line_key, display_label, display_order, shown_in_overview BOOLEAN</w:t>
      </w:r>
    </w:p>
    <w:p>
      <w:pPr>
        <w:pStyle w:val="Heading3"/>
        <w:spacing w:after="80" w:before="180"/>
      </w:pPr>
      <w:r>
        <w:rPr>
          <w:rFonts w:ascii="Arial" w:cs="Arial" w:eastAsia="Arial" w:hAnsi="Arial"/>
          <w:b/>
          <w:bCs/>
          <w:color w:val="263849"/>
          <w:sz w:val="26"/>
          <w:szCs w:val="26"/>
        </w:rPr>
        <w:t xml:space="preserve">period_financial_items</w:t>
      </w:r>
    </w:p>
    <w:p>
      <w:pPr>
        <w:spacing w:after="140" w:line="280"/>
        <w:jc w:val="both"/>
      </w:pPr>
      <w:r>
        <w:rPr>
          <w:rFonts w:ascii="Arial" w:cs="Arial" w:eastAsia="Arial" w:hAnsi="Arial"/>
          <w:sz w:val="22"/>
          <w:szCs w:val="22"/>
        </w:rPr>
        <w:t xml:space="preserve">The main actuals table. One row per (period_id, line_key) with numeric value in the deal's native currency.</w:t>
      </w:r>
    </w:p>
    <w:p>
      <w:pPr>
        <w:pStyle w:val="ListParagraph"/>
        <w:numPr>
          <w:ilvl w:val="0"/>
          <w:numId w:val="2"/>
        </w:numPr>
        <w:spacing w:after="60"/>
      </w:pPr>
      <w:r>
        <w:rPr>
          <w:rFonts w:ascii="Arial" w:cs="Arial" w:eastAsia="Arial" w:hAnsi="Arial"/>
          <w:sz w:val="22"/>
          <w:szCs w:val="22"/>
        </w:rPr>
        <w:t xml:space="preserve">id, deal_id, period_id, line_key, value NUMERIC(18,4)</w:t>
      </w:r>
    </w:p>
    <w:p>
      <w:pPr>
        <w:pStyle w:val="ListParagraph"/>
        <w:numPr>
          <w:ilvl w:val="0"/>
          <w:numId w:val="2"/>
        </w:numPr>
        <w:spacing w:after="60"/>
      </w:pPr>
      <w:r>
        <w:rPr>
          <w:rFonts w:ascii="Arial" w:cs="Arial" w:eastAsia="Arial" w:hAnsi="Arial"/>
          <w:sz w:val="22"/>
          <w:szCs w:val="22"/>
        </w:rPr>
        <w:t xml:space="preserve">approval_status TEXT CHECK (approval_status IN ('proposed','approved','superseded','rejected'))</w:t>
      </w:r>
    </w:p>
    <w:p>
      <w:pPr>
        <w:pStyle w:val="ListParagraph"/>
        <w:numPr>
          <w:ilvl w:val="0"/>
          <w:numId w:val="2"/>
        </w:numPr>
        <w:spacing w:after="60"/>
      </w:pPr>
      <w:r>
        <w:rPr>
          <w:rFonts w:ascii="Arial" w:cs="Arial" w:eastAsia="Arial" w:hAnsi="Arial"/>
          <w:sz w:val="22"/>
          <w:szCs w:val="22"/>
        </w:rPr>
        <w:t xml:space="preserve">approved_value NUMERIC(18,4) — final value after analyst approval (may differ from proposed value)</w:t>
      </w:r>
    </w:p>
    <w:p>
      <w:pPr>
        <w:pStyle w:val="ListParagraph"/>
        <w:numPr>
          <w:ilvl w:val="0"/>
          <w:numId w:val="2"/>
        </w:numPr>
        <w:spacing w:after="60"/>
      </w:pPr>
      <w:r>
        <w:rPr>
          <w:rFonts w:ascii="Arial" w:cs="Arial" w:eastAsia="Arial" w:hAnsi="Arial"/>
          <w:sz w:val="22"/>
          <w:szCs w:val="22"/>
        </w:rPr>
        <w:t xml:space="preserve">approved_at TIMESTAMPTZ, approved_by BIGINT REFERENCES app_users(id)</w:t>
      </w:r>
    </w:p>
    <w:p>
      <w:pPr>
        <w:pStyle w:val="ListParagraph"/>
        <w:numPr>
          <w:ilvl w:val="0"/>
          <w:numId w:val="2"/>
        </w:numPr>
        <w:spacing w:after="60"/>
      </w:pPr>
      <w:r>
        <w:rPr>
          <w:rFonts w:ascii="Arial" w:cs="Arial" w:eastAsia="Arial" w:hAnsi="Arial"/>
          <w:sz w:val="22"/>
          <w:szCs w:val="22"/>
        </w:rPr>
        <w:t xml:space="preserve">proposal_id BIGINT REFERENCES incoming_document_proposals(id)</w:t>
      </w:r>
    </w:p>
    <w:p>
      <w:pPr>
        <w:pStyle w:val="ListParagraph"/>
        <w:numPr>
          <w:ilvl w:val="0"/>
          <w:numId w:val="2"/>
        </w:numPr>
        <w:spacing w:after="60"/>
      </w:pPr>
      <w:r>
        <w:rPr>
          <w:rFonts w:ascii="Arial" w:cs="Arial" w:eastAsia="Arial" w:hAnsi="Arial"/>
          <w:sz w:val="22"/>
          <w:szCs w:val="22"/>
        </w:rPr>
        <w:t xml:space="preserve">source_* audit-trail</w:t>
      </w:r>
    </w:p>
    <w:p>
      <w:pPr>
        <w:pStyle w:val="ListParagraph"/>
        <w:numPr>
          <w:ilvl w:val="0"/>
          <w:numId w:val="2"/>
        </w:numPr>
        <w:spacing w:after="60"/>
      </w:pPr>
      <w:r>
        <w:rPr>
          <w:rFonts w:ascii="Arial" w:cs="Arial" w:eastAsia="Arial" w:hAnsi="Arial"/>
          <w:sz w:val="22"/>
          <w:szCs w:val="22"/>
        </w:rPr>
        <w:t xml:space="preserve">UNIQUE (deal_id, period_id, line_key) WHERE approval_status != 'superseded' — only one active row per cell</w:t>
      </w:r>
    </w:p>
    <w:p>
      <w:pPr>
        <w:pStyle w:val="Heading3"/>
        <w:spacing w:after="80" w:before="180"/>
      </w:pPr>
      <w:r>
        <w:rPr>
          <w:rFonts w:ascii="Arial" w:cs="Arial" w:eastAsia="Arial" w:hAnsi="Arial"/>
          <w:b/>
          <w:bCs/>
          <w:color w:val="263849"/>
          <w:sz w:val="26"/>
          <w:szCs w:val="26"/>
        </w:rPr>
        <w:t xml:space="preserve">actual_periods</w:t>
      </w:r>
    </w:p>
    <w:p>
      <w:pPr>
        <w:spacing w:after="140" w:line="280"/>
        <w:jc w:val="both"/>
      </w:pPr>
      <w:r>
        <w:rPr>
          <w:rFonts w:ascii="Arial" w:cs="Arial" w:eastAsia="Arial" w:hAnsi="Arial"/>
          <w:sz w:val="22"/>
          <w:szCs w:val="22"/>
        </w:rPr>
        <w:t xml:space="preserve">Metadata on each closed actual period. Joined onto period_financial_items to show which periods have been fully committed.</w:t>
      </w:r>
    </w:p>
    <w:p>
      <w:pPr>
        <w:pStyle w:val="ListParagraph"/>
        <w:numPr>
          <w:ilvl w:val="0"/>
          <w:numId w:val="2"/>
        </w:numPr>
        <w:spacing w:after="60"/>
      </w:pPr>
      <w:r>
        <w:rPr>
          <w:rFonts w:ascii="Arial" w:cs="Arial" w:eastAsia="Arial" w:hAnsi="Arial"/>
          <w:sz w:val="22"/>
          <w:szCs w:val="22"/>
        </w:rPr>
        <w:t xml:space="preserve">id, deal_id, period_id, closed_at, closed_by, commentary</w:t>
      </w:r>
    </w:p>
    <w:p>
      <w:pPr>
        <w:pStyle w:val="Heading3"/>
        <w:spacing w:after="80" w:before="180"/>
      </w:pPr>
      <w:r>
        <w:rPr>
          <w:rFonts w:ascii="Arial" w:cs="Arial" w:eastAsia="Arial" w:hAnsi="Arial"/>
          <w:b/>
          <w:bCs/>
          <w:color w:val="263849"/>
          <w:sz w:val="26"/>
          <w:szCs w:val="26"/>
        </w:rPr>
        <w:t xml:space="preserve">financial_periods</w:t>
      </w:r>
    </w:p>
    <w:p>
      <w:pPr>
        <w:spacing w:after="140" w:line="280"/>
        <w:jc w:val="both"/>
      </w:pPr>
      <w:r>
        <w:rPr>
          <w:rFonts w:ascii="Arial" w:cs="Arial" w:eastAsia="Arial" w:hAnsi="Arial"/>
          <w:sz w:val="22"/>
          <w:szCs w:val="22"/>
        </w:rPr>
        <w:t xml:space="preserve">Legacy view-like table — kept for backwards compatibility with older migrations. Readers should prefer deal_reporting_periods.</w:t>
      </w:r>
    </w:p>
    <w:p>
      <w:pPr>
        <w:pStyle w:val="Heading3"/>
        <w:spacing w:after="80" w:before="180"/>
      </w:pPr>
      <w:r>
        <w:rPr>
          <w:rFonts w:ascii="Arial" w:cs="Arial" w:eastAsia="Arial" w:hAnsi="Arial"/>
          <w:b/>
          <w:bCs/>
          <w:color w:val="263849"/>
          <w:sz w:val="26"/>
          <w:szCs w:val="26"/>
        </w:rPr>
        <w:t xml:space="preserve">financial_variances</w:t>
      </w:r>
    </w:p>
    <w:p>
      <w:pPr>
        <w:spacing w:after="140" w:line="280"/>
        <w:jc w:val="both"/>
      </w:pPr>
      <w:r>
        <w:rPr>
          <w:rFonts w:ascii="Arial" w:cs="Arial" w:eastAsia="Arial" w:hAnsi="Arial"/>
          <w:sz w:val="22"/>
          <w:szCs w:val="22"/>
        </w:rPr>
        <w:t xml:space="preserve">Output of the Variance Engine. One row per (line_key, period) comparing actual vs management case forecast.</w:t>
      </w:r>
    </w:p>
    <w:p>
      <w:pPr>
        <w:pStyle w:val="ListParagraph"/>
        <w:numPr>
          <w:ilvl w:val="0"/>
          <w:numId w:val="2"/>
        </w:numPr>
        <w:spacing w:after="60"/>
      </w:pPr>
      <w:r>
        <w:rPr>
          <w:rFonts w:ascii="Arial" w:cs="Arial" w:eastAsia="Arial" w:hAnsi="Arial"/>
          <w:sz w:val="22"/>
          <w:szCs w:val="22"/>
        </w:rPr>
        <w:t xml:space="preserve">id, deal_id, period_id, line_key</w:t>
      </w:r>
    </w:p>
    <w:p>
      <w:pPr>
        <w:pStyle w:val="ListParagraph"/>
        <w:numPr>
          <w:ilvl w:val="0"/>
          <w:numId w:val="2"/>
        </w:numPr>
        <w:spacing w:after="60"/>
      </w:pPr>
      <w:r>
        <w:rPr>
          <w:rFonts w:ascii="Arial" w:cs="Arial" w:eastAsia="Arial" w:hAnsi="Arial"/>
          <w:sz w:val="22"/>
          <w:szCs w:val="22"/>
        </w:rPr>
        <w:t xml:space="preserve">actual_value NUMERIC, forecast_value NUMERIC</w:t>
      </w:r>
    </w:p>
    <w:p>
      <w:pPr>
        <w:pStyle w:val="ListParagraph"/>
        <w:numPr>
          <w:ilvl w:val="0"/>
          <w:numId w:val="2"/>
        </w:numPr>
        <w:spacing w:after="60"/>
      </w:pPr>
      <w:r>
        <w:rPr>
          <w:rFonts w:ascii="Arial" w:cs="Arial" w:eastAsia="Arial" w:hAnsi="Arial"/>
          <w:sz w:val="22"/>
          <w:szCs w:val="22"/>
        </w:rPr>
        <w:t xml:space="preserve">variance_abs NUMERIC, variance_pct NUMERIC(6,2)</w:t>
      </w:r>
    </w:p>
    <w:p>
      <w:pPr>
        <w:pStyle w:val="ListParagraph"/>
        <w:numPr>
          <w:ilvl w:val="0"/>
          <w:numId w:val="2"/>
        </w:numPr>
        <w:spacing w:after="60"/>
      </w:pPr>
      <w:r>
        <w:rPr>
          <w:rFonts w:ascii="Arial" w:cs="Arial" w:eastAsia="Arial" w:hAnsi="Arial"/>
          <w:sz w:val="22"/>
          <w:szCs w:val="22"/>
        </w:rPr>
        <w:t xml:space="preserve">direction TEXT — favourable / unfavourable / neutral</w:t>
      </w:r>
    </w:p>
    <w:p>
      <w:pPr>
        <w:pStyle w:val="ListParagraph"/>
        <w:numPr>
          <w:ilvl w:val="0"/>
          <w:numId w:val="2"/>
        </w:numPr>
        <w:spacing w:after="60"/>
      </w:pPr>
      <w:r>
        <w:rPr>
          <w:rFonts w:ascii="Arial" w:cs="Arial" w:eastAsia="Arial" w:hAnsi="Arial"/>
          <w:sz w:val="22"/>
          <w:szCs w:val="22"/>
        </w:rPr>
        <w:t xml:space="preserve">materiality TEXT — immaterial / moderate / material</w:t>
      </w:r>
    </w:p>
    <w:p>
      <w:pPr>
        <w:pStyle w:val="Heading2"/>
        <w:spacing w:after="120" w:before="240"/>
      </w:pPr>
      <w:r>
        <w:rPr>
          <w:rFonts w:ascii="Arial" w:cs="Arial" w:eastAsia="Arial" w:hAnsi="Arial"/>
          <w:b/>
          <w:bCs/>
          <w:color w:val="263849"/>
          <w:sz w:val="30"/>
          <w:szCs w:val="30"/>
        </w:rPr>
        <w:t xml:space="preserve">2.8 Family: Forecasts and KPI scenarios</w:t>
      </w:r>
    </w:p>
    <w:p>
      <w:pPr>
        <w:pStyle w:val="Heading3"/>
        <w:spacing w:after="80" w:before="180"/>
      </w:pPr>
      <w:r>
        <w:rPr>
          <w:rFonts w:ascii="Arial" w:cs="Arial" w:eastAsia="Arial" w:hAnsi="Arial"/>
          <w:b/>
          <w:bCs/>
          <w:color w:val="263849"/>
          <w:sz w:val="26"/>
          <w:szCs w:val="26"/>
        </w:rPr>
        <w:t xml:space="preserve">forecast_cases</w:t>
      </w:r>
    </w:p>
    <w:p>
      <w:pPr>
        <w:spacing w:after="140" w:line="280"/>
        <w:jc w:val="both"/>
      </w:pPr>
      <w:r>
        <w:rPr>
          <w:rFonts w:ascii="Arial" w:cs="Arial" w:eastAsia="Arial" w:hAnsi="Arial"/>
          <w:sz w:val="22"/>
          <w:szCs w:val="22"/>
        </w:rPr>
        <w:t xml:space="preserve">A named forecast scenario on a deal. Multiple cases per deal — management, lender, combined_downside are the core three; single_variant_stress cases are added where the IC identifies a material risk.</w:t>
      </w:r>
    </w:p>
    <w:p>
      <w:pPr>
        <w:pStyle w:val="ListParagraph"/>
        <w:numPr>
          <w:ilvl w:val="0"/>
          <w:numId w:val="2"/>
        </w:numPr>
        <w:spacing w:after="60"/>
      </w:pPr>
      <w:r>
        <w:rPr>
          <w:rFonts w:ascii="Arial" w:cs="Arial" w:eastAsia="Arial" w:hAnsi="Arial"/>
          <w:sz w:val="22"/>
          <w:szCs w:val="22"/>
        </w:rPr>
        <w:t xml:space="preserve">id, deal_id, case_key TEXT, case_name TEXT</w:t>
      </w:r>
    </w:p>
    <w:p>
      <w:pPr>
        <w:pStyle w:val="ListParagraph"/>
        <w:numPr>
          <w:ilvl w:val="0"/>
          <w:numId w:val="2"/>
        </w:numPr>
        <w:spacing w:after="60"/>
      </w:pPr>
      <w:r>
        <w:rPr>
          <w:rFonts w:ascii="Arial" w:cs="Arial" w:eastAsia="Arial" w:hAnsi="Arial"/>
          <w:sz w:val="22"/>
          <w:szCs w:val="22"/>
        </w:rPr>
        <w:t xml:space="preserve">case_type TEXT — legacy column preserved for backwards compat</w:t>
      </w:r>
    </w:p>
    <w:p>
      <w:pPr>
        <w:pStyle w:val="ListParagraph"/>
        <w:numPr>
          <w:ilvl w:val="0"/>
          <w:numId w:val="2"/>
        </w:numPr>
        <w:spacing w:after="60"/>
      </w:pPr>
      <w:r>
        <w:rPr>
          <w:rFonts w:ascii="Arial" w:cs="Arial" w:eastAsia="Arial" w:hAnsi="Arial"/>
          <w:sz w:val="22"/>
          <w:szCs w:val="22"/>
        </w:rPr>
        <w:t xml:space="preserve">scenario_kind TEXT CHECK (scenario_kind IN ('management_case','credit_case','lender_case','combined_downside','single_variant_stress','custom'))</w:t>
      </w:r>
    </w:p>
    <w:p>
      <w:pPr>
        <w:pStyle w:val="ListParagraph"/>
        <w:numPr>
          <w:ilvl w:val="0"/>
          <w:numId w:val="2"/>
        </w:numPr>
        <w:spacing w:after="60"/>
      </w:pPr>
      <w:r>
        <w:rPr>
          <w:rFonts w:ascii="Arial" w:cs="Arial" w:eastAsia="Arial" w:hAnsi="Arial"/>
          <w:sz w:val="22"/>
          <w:szCs w:val="22"/>
        </w:rPr>
        <w:t xml:space="preserve">driving_risk_id INTEGER REFERENCES deal_risk_register(id) ON DELETE SET NULL — populated for single_variant_stress</w:t>
      </w:r>
    </w:p>
    <w:p>
      <w:pPr>
        <w:pStyle w:val="ListParagraph"/>
        <w:numPr>
          <w:ilvl w:val="0"/>
          <w:numId w:val="2"/>
        </w:numPr>
        <w:spacing w:after="60"/>
      </w:pPr>
      <w:r>
        <w:rPr>
          <w:rFonts w:ascii="Arial" w:cs="Arial" w:eastAsia="Arial" w:hAnsi="Arial"/>
          <w:sz w:val="22"/>
          <w:szCs w:val="22"/>
        </w:rPr>
        <w:t xml:space="preserve">stress_label TEXT — descriptive e.g. 'Pandemic passenger shock'</w:t>
      </w:r>
    </w:p>
    <w:p>
      <w:pPr>
        <w:pStyle w:val="ListParagraph"/>
        <w:numPr>
          <w:ilvl w:val="0"/>
          <w:numId w:val="2"/>
        </w:numPr>
        <w:spacing w:after="60"/>
      </w:pPr>
      <w:r>
        <w:rPr>
          <w:rFonts w:ascii="Arial" w:cs="Arial" w:eastAsia="Arial" w:hAnsi="Arial"/>
          <w:sz w:val="22"/>
          <w:szCs w:val="22"/>
        </w:rPr>
        <w:t xml:space="preserve">notes TEXT</w:t>
      </w:r>
    </w:p>
    <w:p>
      <w:pPr>
        <w:pStyle w:val="ListParagraph"/>
        <w:numPr>
          <w:ilvl w:val="0"/>
          <w:numId w:val="2"/>
        </w:numPr>
        <w:spacing w:after="60"/>
      </w:pPr>
      <w:r>
        <w:rPr>
          <w:rFonts w:ascii="Arial" w:cs="Arial" w:eastAsia="Arial" w:hAnsi="Arial"/>
          <w:sz w:val="22"/>
          <w:szCs w:val="22"/>
        </w:rPr>
        <w:t xml:space="preserve">source_* audit-trail</w:t>
      </w:r>
    </w:p>
    <w:p>
      <w:pPr>
        <w:pStyle w:val="Heading3"/>
        <w:spacing w:after="80" w:before="180"/>
      </w:pPr>
      <w:r>
        <w:rPr>
          <w:rFonts w:ascii="Arial" w:cs="Arial" w:eastAsia="Arial" w:hAnsi="Arial"/>
          <w:b/>
          <w:bCs/>
          <w:color w:val="263849"/>
          <w:sz w:val="26"/>
          <w:szCs w:val="26"/>
        </w:rPr>
        <w:t xml:space="preserve">forecast_case_versions</w:t>
      </w:r>
    </w:p>
    <w:p>
      <w:pPr>
        <w:spacing w:after="140" w:line="280"/>
        <w:jc w:val="both"/>
      </w:pPr>
      <w:r>
        <w:rPr>
          <w:rFonts w:ascii="Arial" w:cs="Arial" w:eastAsia="Arial" w:hAnsi="Arial"/>
          <w:sz w:val="22"/>
          <w:szCs w:val="22"/>
        </w:rPr>
        <w:t xml:space="preserve">One row per committed version of a forecast case. Immutable after is_active flips to false on the supersessor's creation.</w:t>
      </w:r>
    </w:p>
    <w:p>
      <w:pPr>
        <w:pStyle w:val="ListParagraph"/>
        <w:numPr>
          <w:ilvl w:val="0"/>
          <w:numId w:val="2"/>
        </w:numPr>
        <w:spacing w:after="60"/>
      </w:pPr>
      <w:r>
        <w:rPr>
          <w:rFonts w:ascii="Arial" w:cs="Arial" w:eastAsia="Arial" w:hAnsi="Arial"/>
          <w:sz w:val="22"/>
          <w:szCs w:val="22"/>
        </w:rPr>
        <w:t xml:space="preserve">id, forecast_case_id, version_number INTEGER</w:t>
      </w:r>
    </w:p>
    <w:p>
      <w:pPr>
        <w:pStyle w:val="ListParagraph"/>
        <w:numPr>
          <w:ilvl w:val="0"/>
          <w:numId w:val="2"/>
        </w:numPr>
        <w:spacing w:after="60"/>
      </w:pPr>
      <w:r>
        <w:rPr>
          <w:rFonts w:ascii="Arial" w:cs="Arial" w:eastAsia="Arial" w:hAnsi="Arial"/>
          <w:sz w:val="22"/>
          <w:szCs w:val="22"/>
        </w:rPr>
        <w:t xml:space="preserve">is_active BOOLEAN — exactly one active version per case</w:t>
      </w:r>
    </w:p>
    <w:p>
      <w:pPr>
        <w:pStyle w:val="ListParagraph"/>
        <w:numPr>
          <w:ilvl w:val="0"/>
          <w:numId w:val="2"/>
        </w:numPr>
        <w:spacing w:after="60"/>
      </w:pPr>
      <w:r>
        <w:rPr>
          <w:rFonts w:ascii="Arial" w:cs="Arial" w:eastAsia="Arial" w:hAnsi="Arial"/>
          <w:sz w:val="22"/>
          <w:szCs w:val="22"/>
        </w:rPr>
        <w:t xml:space="preserve">approved_by, approved_at</w:t>
      </w:r>
    </w:p>
    <w:p>
      <w:pPr>
        <w:pStyle w:val="ListParagraph"/>
        <w:numPr>
          <w:ilvl w:val="0"/>
          <w:numId w:val="2"/>
        </w:numPr>
        <w:spacing w:after="60"/>
      </w:pPr>
      <w:r>
        <w:rPr>
          <w:rFonts w:ascii="Arial" w:cs="Arial" w:eastAsia="Arial" w:hAnsi="Arial"/>
          <w:sz w:val="22"/>
          <w:szCs w:val="22"/>
        </w:rPr>
        <w:t xml:space="preserve">forecast_model_metadata_id BIGINT</w:t>
      </w:r>
    </w:p>
    <w:p>
      <w:pPr>
        <w:pStyle w:val="ListParagraph"/>
        <w:numPr>
          <w:ilvl w:val="0"/>
          <w:numId w:val="2"/>
        </w:numPr>
        <w:spacing w:after="60"/>
      </w:pPr>
      <w:r>
        <w:rPr>
          <w:rFonts w:ascii="Arial" w:cs="Arial" w:eastAsia="Arial" w:hAnsi="Arial"/>
          <w:sz w:val="22"/>
          <w:szCs w:val="22"/>
        </w:rPr>
        <w:t xml:space="preserve">source_* audit-trail</w:t>
      </w:r>
    </w:p>
    <w:p>
      <w:pPr>
        <w:pStyle w:val="Heading3"/>
        <w:spacing w:after="80" w:before="180"/>
      </w:pPr>
      <w:r>
        <w:rPr>
          <w:rFonts w:ascii="Arial" w:cs="Arial" w:eastAsia="Arial" w:hAnsi="Arial"/>
          <w:b/>
          <w:bCs/>
          <w:color w:val="263849"/>
          <w:sz w:val="26"/>
          <w:szCs w:val="26"/>
        </w:rPr>
        <w:t xml:space="preserve">forecast_period_items</w:t>
      </w:r>
    </w:p>
    <w:p>
      <w:pPr>
        <w:spacing w:after="140" w:line="280"/>
        <w:jc w:val="both"/>
      </w:pPr>
      <w:r>
        <w:rPr>
          <w:rFonts w:ascii="Arial" w:cs="Arial" w:eastAsia="Arial" w:hAnsi="Arial"/>
          <w:sz w:val="22"/>
          <w:szCs w:val="22"/>
        </w:rPr>
        <w:t xml:space="preserve">The main forecast write-once grid. One row per (forecast_case_version_id, period_flag, line_key) with numeric value.</w:t>
      </w:r>
    </w:p>
    <w:p>
      <w:pPr>
        <w:pStyle w:val="ListParagraph"/>
        <w:numPr>
          <w:ilvl w:val="0"/>
          <w:numId w:val="2"/>
        </w:numPr>
        <w:spacing w:after="60"/>
      </w:pPr>
      <w:r>
        <w:rPr>
          <w:rFonts w:ascii="Arial" w:cs="Arial" w:eastAsia="Arial" w:hAnsi="Arial"/>
          <w:sz w:val="22"/>
          <w:szCs w:val="22"/>
        </w:rPr>
        <w:t xml:space="preserve">id, forecast_case_version_id, period_flag TEXT, line_key TEXT, value NUMERIC(18,4)</w:t>
      </w:r>
    </w:p>
    <w:p>
      <w:pPr>
        <w:pStyle w:val="ListParagraph"/>
        <w:numPr>
          <w:ilvl w:val="0"/>
          <w:numId w:val="2"/>
        </w:numPr>
        <w:spacing w:after="60"/>
      </w:pPr>
      <w:r>
        <w:rPr>
          <w:rFonts w:ascii="Arial" w:cs="Arial" w:eastAsia="Arial" w:hAnsi="Arial"/>
          <w:sz w:val="22"/>
          <w:szCs w:val="22"/>
        </w:rPr>
        <w:t xml:space="preserve">UNIQUE (forecast_case_version_id, period_flag, line_key)</w:t>
      </w:r>
    </w:p>
    <w:p>
      <w:pPr>
        <w:pStyle w:val="ListParagraph"/>
        <w:numPr>
          <w:ilvl w:val="0"/>
          <w:numId w:val="2"/>
        </w:numPr>
        <w:spacing w:after="60"/>
      </w:pPr>
      <w:r>
        <w:rPr>
          <w:rFonts w:ascii="Arial" w:cs="Arial" w:eastAsia="Arial" w:hAnsi="Arial"/>
          <w:sz w:val="22"/>
          <w:szCs w:val="22"/>
        </w:rPr>
        <w:t xml:space="preserve">source_* audit-trail</w:t>
      </w:r>
    </w:p>
    <w:p>
      <w:pPr>
        <w:pBdr>
          <w:left w:val="single" w:color="1F6FA5" w:sz="16" w:space="10"/>
        </w:pBdr>
        <w:spacing w:after="160" w:before="80"/>
        <w:ind w:left="200"/>
      </w:pPr>
      <w:r>
        <w:rPr>
          <w:rFonts w:ascii="Arial" w:cs="Arial" w:eastAsia="Arial" w:hAnsi="Arial"/>
          <w:i/>
          <w:iCs/>
          <w:color w:val="56718A"/>
          <w:sz w:val="22"/>
          <w:szCs w:val="22"/>
        </w:rPr>
        <w:t xml:space="preserve">Sizing: 500 deals × 60 periods × 181 line items × 3 cases = ~16.3M rows = ~1.9 GB. A B-tree index on (forecast_case_version_id, line_key) is sufficient.</w:t>
      </w:r>
    </w:p>
    <w:p>
      <w:pPr>
        <w:pStyle w:val="Heading3"/>
        <w:spacing w:after="80" w:before="180"/>
      </w:pPr>
      <w:r>
        <w:rPr>
          <w:rFonts w:ascii="Arial" w:cs="Arial" w:eastAsia="Arial" w:hAnsi="Arial"/>
          <w:b/>
          <w:bCs/>
          <w:color w:val="263849"/>
          <w:sz w:val="26"/>
          <w:szCs w:val="26"/>
        </w:rPr>
        <w:t xml:space="preserve">forecast_case_periods</w:t>
      </w:r>
    </w:p>
    <w:p>
      <w:pPr>
        <w:spacing w:after="140" w:line="280"/>
        <w:jc w:val="both"/>
      </w:pPr>
      <w:r>
        <w:rPr>
          <w:rFonts w:ascii="Arial" w:cs="Arial" w:eastAsia="Arial" w:hAnsi="Arial"/>
          <w:sz w:val="22"/>
          <w:szCs w:val="22"/>
        </w:rPr>
        <w:t xml:space="preserve">Metadata per (forecast_case_version, period_flag) tuple — commentary, sensitivity notes.</w:t>
      </w:r>
    </w:p>
    <w:p>
      <w:pPr>
        <w:pStyle w:val="Heading3"/>
        <w:spacing w:after="80" w:before="180"/>
      </w:pPr>
      <w:r>
        <w:rPr>
          <w:rFonts w:ascii="Arial" w:cs="Arial" w:eastAsia="Arial" w:hAnsi="Arial"/>
          <w:b/>
          <w:bCs/>
          <w:color w:val="263849"/>
          <w:sz w:val="26"/>
          <w:szCs w:val="26"/>
        </w:rPr>
        <w:t xml:space="preserve">forecast_model_metadata</w:t>
      </w:r>
    </w:p>
    <w:p>
      <w:pPr>
        <w:spacing w:after="140" w:line="280"/>
        <w:jc w:val="both"/>
      </w:pPr>
      <w:r>
        <w:rPr>
          <w:rFonts w:ascii="Arial" w:cs="Arial" w:eastAsia="Arial" w:hAnsi="Arial"/>
          <w:sz w:val="22"/>
          <w:szCs w:val="22"/>
        </w:rPr>
        <w:t xml:space="preserve">Source-model provenance for each forecast version.</w:t>
      </w:r>
    </w:p>
    <w:p>
      <w:pPr>
        <w:pStyle w:val="ListParagraph"/>
        <w:numPr>
          <w:ilvl w:val="0"/>
          <w:numId w:val="2"/>
        </w:numPr>
        <w:spacing w:after="60"/>
      </w:pPr>
      <w:r>
        <w:rPr>
          <w:rFonts w:ascii="Arial" w:cs="Arial" w:eastAsia="Arial" w:hAnsi="Arial"/>
          <w:sz w:val="22"/>
          <w:szCs w:val="22"/>
        </w:rPr>
        <w:t xml:space="preserve">id, forecast_case_version_id</w:t>
      </w:r>
    </w:p>
    <w:p>
      <w:pPr>
        <w:pStyle w:val="ListParagraph"/>
        <w:numPr>
          <w:ilvl w:val="0"/>
          <w:numId w:val="2"/>
        </w:numPr>
        <w:spacing w:after="60"/>
      </w:pPr>
      <w:r>
        <w:rPr>
          <w:rFonts w:ascii="Arial" w:cs="Arial" w:eastAsia="Arial" w:hAnsi="Arial"/>
          <w:sz w:val="22"/>
          <w:szCs w:val="22"/>
        </w:rPr>
        <w:t xml:space="preserve">source_model_name TEXT, source_model_date DATE, source_model_version TEXT</w:t>
      </w:r>
    </w:p>
    <w:p>
      <w:pPr>
        <w:pStyle w:val="ListParagraph"/>
        <w:numPr>
          <w:ilvl w:val="0"/>
          <w:numId w:val="2"/>
        </w:numPr>
        <w:spacing w:after="60"/>
      </w:pPr>
      <w:r>
        <w:rPr>
          <w:rFonts w:ascii="Arial" w:cs="Arial" w:eastAsia="Arial" w:hAnsi="Arial"/>
          <w:sz w:val="22"/>
          <w:szCs w:val="22"/>
        </w:rPr>
        <w:t xml:space="preserve">assumptions_summary TEXT, assumptions_json JSONB</w:t>
      </w:r>
    </w:p>
    <w:p>
      <w:pPr>
        <w:pStyle w:val="ListParagraph"/>
        <w:numPr>
          <w:ilvl w:val="0"/>
          <w:numId w:val="2"/>
        </w:numPr>
        <w:spacing w:after="60"/>
      </w:pPr>
      <w:r>
        <w:rPr>
          <w:rFonts w:ascii="Arial" w:cs="Arial" w:eastAsia="Arial" w:hAnsi="Arial"/>
          <w:sz w:val="22"/>
          <w:szCs w:val="22"/>
        </w:rPr>
        <w:t xml:space="preserve">approved_by, approved_at</w:t>
      </w:r>
    </w:p>
    <w:p>
      <w:pPr>
        <w:pStyle w:val="Heading3"/>
        <w:spacing w:after="80" w:before="180"/>
      </w:pPr>
      <w:r>
        <w:rPr>
          <w:rFonts w:ascii="Arial" w:cs="Arial" w:eastAsia="Arial" w:hAnsi="Arial"/>
          <w:b/>
          <w:bCs/>
          <w:color w:val="263849"/>
          <w:sz w:val="26"/>
          <w:szCs w:val="26"/>
        </w:rPr>
        <w:t xml:space="preserve">forecast_refresh_impacts</w:t>
      </w:r>
    </w:p>
    <w:p>
      <w:pPr>
        <w:spacing w:after="140" w:line="280"/>
        <w:jc w:val="both"/>
      </w:pPr>
      <w:r>
        <w:rPr>
          <w:rFonts w:ascii="Arial" w:cs="Arial" w:eastAsia="Arial" w:hAnsi="Arial"/>
          <w:sz w:val="22"/>
          <w:szCs w:val="22"/>
        </w:rPr>
        <w:t xml:space="preserve">Output of the Forecast Refresh Impact Engine. Diff between two versions of a forecast case.</w:t>
      </w:r>
    </w:p>
    <w:p>
      <w:pPr>
        <w:pStyle w:val="ListParagraph"/>
        <w:numPr>
          <w:ilvl w:val="0"/>
          <w:numId w:val="2"/>
        </w:numPr>
        <w:spacing w:after="60"/>
      </w:pPr>
      <w:r>
        <w:rPr>
          <w:rFonts w:ascii="Arial" w:cs="Arial" w:eastAsia="Arial" w:hAnsi="Arial"/>
          <w:sz w:val="22"/>
          <w:szCs w:val="22"/>
        </w:rPr>
        <w:t xml:space="preserve">id, forecast_case_id, from_version_id, to_version_id</w:t>
      </w:r>
    </w:p>
    <w:p>
      <w:pPr>
        <w:pStyle w:val="ListParagraph"/>
        <w:numPr>
          <w:ilvl w:val="0"/>
          <w:numId w:val="2"/>
        </w:numPr>
        <w:spacing w:after="60"/>
      </w:pPr>
      <w:r>
        <w:rPr>
          <w:rFonts w:ascii="Arial" w:cs="Arial" w:eastAsia="Arial" w:hAnsi="Arial"/>
          <w:sz w:val="22"/>
          <w:szCs w:val="22"/>
        </w:rPr>
        <w:t xml:space="preserve">period_flag TEXT, line_key TEXT</w:t>
      </w:r>
    </w:p>
    <w:p>
      <w:pPr>
        <w:pStyle w:val="ListParagraph"/>
        <w:numPr>
          <w:ilvl w:val="0"/>
          <w:numId w:val="2"/>
        </w:numPr>
        <w:spacing w:after="60"/>
      </w:pPr>
      <w:r>
        <w:rPr>
          <w:rFonts w:ascii="Arial" w:cs="Arial" w:eastAsia="Arial" w:hAnsi="Arial"/>
          <w:sz w:val="22"/>
          <w:szCs w:val="22"/>
        </w:rPr>
        <w:t xml:space="preserve">from_value NUMERIC, to_value NUMERIC, delta_abs NUMERIC, delta_pct NUMERIC(6,2)</w:t>
      </w:r>
    </w:p>
    <w:p>
      <w:pPr>
        <w:pStyle w:val="ListParagraph"/>
        <w:numPr>
          <w:ilvl w:val="0"/>
          <w:numId w:val="2"/>
        </w:numPr>
        <w:spacing w:after="60"/>
      </w:pPr>
      <w:r>
        <w:rPr>
          <w:rFonts w:ascii="Arial" w:cs="Arial" w:eastAsia="Arial" w:hAnsi="Arial"/>
          <w:sz w:val="22"/>
          <w:szCs w:val="22"/>
        </w:rPr>
        <w:t xml:space="preserve">materiality TEXT, commentary TEXT</w:t>
      </w:r>
    </w:p>
    <w:p>
      <w:pPr>
        <w:pStyle w:val="Heading3"/>
        <w:spacing w:after="80" w:before="180"/>
      </w:pPr>
      <w:r>
        <w:rPr>
          <w:rFonts w:ascii="Arial" w:cs="Arial" w:eastAsia="Arial" w:hAnsi="Arial"/>
          <w:b/>
          <w:bCs/>
          <w:color w:val="263849"/>
          <w:sz w:val="26"/>
          <w:szCs w:val="26"/>
        </w:rPr>
        <w:t xml:space="preserve">deal_kpi_observations</w:t>
      </w:r>
    </w:p>
    <w:p>
      <w:pPr>
        <w:spacing w:after="140" w:line="280"/>
        <w:jc w:val="both"/>
      </w:pPr>
      <w:r>
        <w:rPr>
          <w:rFonts w:ascii="Arial" w:cs="Arial" w:eastAsia="Arial" w:hAnsi="Arial"/>
          <w:sz w:val="22"/>
          <w:szCs w:val="22"/>
        </w:rPr>
        <w:t xml:space="preserve">Borrower-reported KPI actuals.</w:t>
      </w:r>
    </w:p>
    <w:p>
      <w:pPr>
        <w:pStyle w:val="ListParagraph"/>
        <w:numPr>
          <w:ilvl w:val="0"/>
          <w:numId w:val="2"/>
        </w:numPr>
        <w:spacing w:after="60"/>
      </w:pPr>
      <w:r>
        <w:rPr>
          <w:rFonts w:ascii="Arial" w:cs="Arial" w:eastAsia="Arial" w:hAnsi="Arial"/>
          <w:sz w:val="22"/>
          <w:szCs w:val="22"/>
        </w:rPr>
        <w:t xml:space="preserve">id, deal_id, period_id, kpi_key, actual_value NUMERIC</w:t>
      </w:r>
    </w:p>
    <w:p>
      <w:pPr>
        <w:pStyle w:val="ListParagraph"/>
        <w:numPr>
          <w:ilvl w:val="0"/>
          <w:numId w:val="2"/>
        </w:numPr>
        <w:spacing w:after="60"/>
      </w:pPr>
      <w:r>
        <w:rPr>
          <w:rFonts w:ascii="Arial" w:cs="Arial" w:eastAsia="Arial" w:hAnsi="Arial"/>
          <w:sz w:val="22"/>
          <w:szCs w:val="22"/>
        </w:rPr>
        <w:t xml:space="preserve">base_case_target NUMERIC — period-matched management case value (denormalised for display)</w:t>
      </w:r>
    </w:p>
    <w:p>
      <w:pPr>
        <w:pStyle w:val="ListParagraph"/>
        <w:numPr>
          <w:ilvl w:val="0"/>
          <w:numId w:val="2"/>
        </w:numPr>
        <w:spacing w:after="60"/>
      </w:pPr>
      <w:r>
        <w:rPr>
          <w:rFonts w:ascii="Arial" w:cs="Arial" w:eastAsia="Arial" w:hAnsi="Arial"/>
          <w:sz w:val="22"/>
          <w:szCs w:val="22"/>
        </w:rPr>
        <w:t xml:space="preserve">stress_case_target NUMERIC — period-matched combined_downside value</w:t>
      </w:r>
    </w:p>
    <w:p>
      <w:pPr>
        <w:pStyle w:val="ListParagraph"/>
        <w:numPr>
          <w:ilvl w:val="0"/>
          <w:numId w:val="2"/>
        </w:numPr>
        <w:spacing w:after="60"/>
      </w:pPr>
      <w:r>
        <w:rPr>
          <w:rFonts w:ascii="Arial" w:cs="Arial" w:eastAsia="Arial" w:hAnsi="Arial"/>
          <w:sz w:val="22"/>
          <w:szCs w:val="22"/>
        </w:rPr>
        <w:t xml:space="preserve">base_forecast_item_id BIGINT REFERENCES forecast_period_items(id) ON DELETE SET NULL</w:t>
      </w:r>
    </w:p>
    <w:p>
      <w:pPr>
        <w:pStyle w:val="ListParagraph"/>
        <w:numPr>
          <w:ilvl w:val="0"/>
          <w:numId w:val="2"/>
        </w:numPr>
        <w:spacing w:after="60"/>
      </w:pPr>
      <w:r>
        <w:rPr>
          <w:rFonts w:ascii="Arial" w:cs="Arial" w:eastAsia="Arial" w:hAnsi="Arial"/>
          <w:sz w:val="22"/>
          <w:szCs w:val="22"/>
        </w:rPr>
        <w:t xml:space="preserve">stress_forecast_item_id BIGINT REFERENCES forecast_period_items(id) ON DELETE SET NULL</w:t>
      </w:r>
    </w:p>
    <w:p>
      <w:pPr>
        <w:pStyle w:val="ListParagraph"/>
        <w:numPr>
          <w:ilvl w:val="0"/>
          <w:numId w:val="2"/>
        </w:numPr>
        <w:spacing w:after="60"/>
      </w:pPr>
      <w:r>
        <w:rPr>
          <w:rFonts w:ascii="Arial" w:cs="Arial" w:eastAsia="Arial" w:hAnsi="Arial"/>
          <w:sz w:val="22"/>
          <w:szCs w:val="22"/>
        </w:rPr>
        <w:t xml:space="preserve">deviation_to_stress NUMERIC(6,2) — 0% = at management case, 100% = at combined downside, &gt;100% = worse</w:t>
      </w:r>
    </w:p>
    <w:p>
      <w:pPr>
        <w:pStyle w:val="ListParagraph"/>
        <w:numPr>
          <w:ilvl w:val="0"/>
          <w:numId w:val="2"/>
        </w:numPr>
        <w:spacing w:after="60"/>
      </w:pPr>
      <w:r>
        <w:rPr>
          <w:rFonts w:ascii="Arial" w:cs="Arial" w:eastAsia="Arial" w:hAnsi="Arial"/>
          <w:sz w:val="22"/>
          <w:szCs w:val="22"/>
        </w:rPr>
        <w:t xml:space="preserve">source_* audit-trail</w:t>
      </w:r>
    </w:p>
    <w:p>
      <w:pPr>
        <w:pStyle w:val="Heading2"/>
        <w:spacing w:after="120" w:before="240"/>
      </w:pPr>
      <w:r>
        <w:rPr>
          <w:rFonts w:ascii="Arial" w:cs="Arial" w:eastAsia="Arial" w:hAnsi="Arial"/>
          <w:b/>
          <w:bCs/>
          <w:color w:val="263849"/>
          <w:sz w:val="30"/>
          <w:szCs w:val="30"/>
        </w:rPr>
        <w:t xml:space="preserve">2.9 Family: Obligations and amendments</w:t>
      </w:r>
    </w:p>
    <w:p>
      <w:pPr>
        <w:pStyle w:val="Heading3"/>
        <w:spacing w:after="80" w:before="180"/>
      </w:pPr>
      <w:r>
        <w:rPr>
          <w:rFonts w:ascii="Arial" w:cs="Arial" w:eastAsia="Arial" w:hAnsi="Arial"/>
          <w:b/>
          <w:bCs/>
          <w:color w:val="263849"/>
          <w:sz w:val="26"/>
          <w:szCs w:val="26"/>
        </w:rPr>
        <w:t xml:space="preserve">obligation_taxonomy</w:t>
      </w:r>
    </w:p>
    <w:p>
      <w:pPr>
        <w:pStyle w:val="ListParagraph"/>
        <w:numPr>
          <w:ilvl w:val="0"/>
          <w:numId w:val="2"/>
        </w:numPr>
        <w:spacing w:after="60"/>
      </w:pPr>
      <w:r>
        <w:rPr>
          <w:rFonts w:ascii="Arial" w:cs="Arial" w:eastAsia="Arial" w:hAnsi="Arial"/>
          <w:sz w:val="22"/>
          <w:szCs w:val="22"/>
        </w:rPr>
        <w:t xml:space="preserve">id, code, label, parent_id, category — Reporting / Insurance / Operational / Financial / Statutory / Agreement</w:t>
      </w:r>
    </w:p>
    <w:p>
      <w:pPr>
        <w:pStyle w:val="Heading3"/>
        <w:spacing w:after="80" w:before="180"/>
      </w:pPr>
      <w:r>
        <w:rPr>
          <w:rFonts w:ascii="Arial" w:cs="Arial" w:eastAsia="Arial" w:hAnsi="Arial"/>
          <w:b/>
          <w:bCs/>
          <w:color w:val="263849"/>
          <w:sz w:val="26"/>
          <w:szCs w:val="26"/>
        </w:rPr>
        <w:t xml:space="preserve">deal_obligation_register</w:t>
      </w:r>
    </w:p>
    <w:p>
      <w:pPr>
        <w:spacing w:after="140" w:line="280"/>
        <w:jc w:val="both"/>
      </w:pPr>
      <w:r>
        <w:rPr>
          <w:rFonts w:ascii="Arial" w:cs="Arial" w:eastAsia="Arial" w:hAnsi="Arial"/>
          <w:sz w:val="22"/>
          <w:szCs w:val="22"/>
        </w:rPr>
        <w:t xml:space="preserve">Contractual deliverables. Drives the Deliverables Calendar.</w:t>
      </w:r>
    </w:p>
    <w:p>
      <w:pPr>
        <w:pStyle w:val="ListParagraph"/>
        <w:numPr>
          <w:ilvl w:val="0"/>
          <w:numId w:val="2"/>
        </w:numPr>
        <w:spacing w:after="60"/>
      </w:pPr>
      <w:r>
        <w:rPr>
          <w:rFonts w:ascii="Arial" w:cs="Arial" w:eastAsia="Arial" w:hAnsi="Arial"/>
          <w:sz w:val="22"/>
          <w:szCs w:val="22"/>
        </w:rPr>
        <w:t xml:space="preserve">id, deal_id, obligation_name, taxonomy_id</w:t>
      </w:r>
    </w:p>
    <w:p>
      <w:pPr>
        <w:pStyle w:val="ListParagraph"/>
        <w:numPr>
          <w:ilvl w:val="0"/>
          <w:numId w:val="2"/>
        </w:numPr>
        <w:spacing w:after="60"/>
      </w:pPr>
      <w:r>
        <w:rPr>
          <w:rFonts w:ascii="Arial" w:cs="Arial" w:eastAsia="Arial" w:hAnsi="Arial"/>
          <w:sz w:val="22"/>
          <w:szCs w:val="22"/>
        </w:rPr>
        <w:t xml:space="preserve">obligation_type TEXT, base_date DATE, frequency TEXT</w:t>
      </w:r>
    </w:p>
    <w:p>
      <w:pPr>
        <w:pStyle w:val="ListParagraph"/>
        <w:numPr>
          <w:ilvl w:val="0"/>
          <w:numId w:val="2"/>
        </w:numPr>
        <w:spacing w:after="60"/>
      </w:pPr>
      <w:r>
        <w:rPr>
          <w:rFonts w:ascii="Arial" w:cs="Arial" w:eastAsia="Arial" w:hAnsi="Arial"/>
          <w:sz w:val="22"/>
          <w:szCs w:val="22"/>
        </w:rPr>
        <w:t xml:space="preserve">day_convention TEXT — actual / following / modified_following / preceding</w:t>
      </w:r>
    </w:p>
    <w:p>
      <w:pPr>
        <w:pStyle w:val="ListParagraph"/>
        <w:numPr>
          <w:ilvl w:val="0"/>
          <w:numId w:val="2"/>
        </w:numPr>
        <w:spacing w:after="60"/>
      </w:pPr>
      <w:r>
        <w:rPr>
          <w:rFonts w:ascii="Arial" w:cs="Arial" w:eastAsia="Arial" w:hAnsi="Arial"/>
          <w:sz w:val="22"/>
          <w:szCs w:val="22"/>
        </w:rPr>
        <w:t xml:space="preserve">jurisdiction TEXT — for holiday calendar lookup</w:t>
      </w:r>
    </w:p>
    <w:p>
      <w:pPr>
        <w:pStyle w:val="ListParagraph"/>
        <w:numPr>
          <w:ilvl w:val="0"/>
          <w:numId w:val="2"/>
        </w:numPr>
        <w:spacing w:after="60"/>
      </w:pPr>
      <w:r>
        <w:rPr>
          <w:rFonts w:ascii="Arial" w:cs="Arial" w:eastAsia="Arial" w:hAnsi="Arial"/>
          <w:sz w:val="22"/>
          <w:szCs w:val="22"/>
        </w:rPr>
        <w:t xml:space="preserve">cure_period_days INTEGER</w:t>
      </w:r>
    </w:p>
    <w:p>
      <w:pPr>
        <w:pStyle w:val="ListParagraph"/>
        <w:numPr>
          <w:ilvl w:val="0"/>
          <w:numId w:val="2"/>
        </w:numPr>
        <w:spacing w:after="60"/>
      </w:pPr>
      <w:r>
        <w:rPr>
          <w:rFonts w:ascii="Arial" w:cs="Arial" w:eastAsia="Arial" w:hAnsi="Arial"/>
          <w:sz w:val="22"/>
          <w:szCs w:val="22"/>
        </w:rPr>
        <w:t xml:space="preserve">responsible_party TEXT</w:t>
      </w:r>
    </w:p>
    <w:p>
      <w:pPr>
        <w:pStyle w:val="ListParagraph"/>
        <w:numPr>
          <w:ilvl w:val="0"/>
          <w:numId w:val="2"/>
        </w:numPr>
        <w:spacing w:after="60"/>
      </w:pPr>
      <w:r>
        <w:rPr>
          <w:rFonts w:ascii="Arial" w:cs="Arial" w:eastAsia="Arial" w:hAnsi="Arial"/>
          <w:sz w:val="22"/>
          <w:szCs w:val="22"/>
        </w:rPr>
        <w:t xml:space="preserve">priority TEXT — high / medium / low</w:t>
      </w:r>
    </w:p>
    <w:p>
      <w:pPr>
        <w:pStyle w:val="ListParagraph"/>
        <w:numPr>
          <w:ilvl w:val="0"/>
          <w:numId w:val="2"/>
        </w:numPr>
        <w:spacing w:after="60"/>
      </w:pPr>
      <w:r>
        <w:rPr>
          <w:rFonts w:ascii="Arial" w:cs="Arial" w:eastAsia="Arial" w:hAnsi="Arial"/>
          <w:sz w:val="22"/>
          <w:szCs w:val="22"/>
        </w:rPr>
        <w:t xml:space="preserve">next_due_date DATE — computed via Business Day Engine</w:t>
      </w:r>
    </w:p>
    <w:p>
      <w:pPr>
        <w:pStyle w:val="ListParagraph"/>
        <w:numPr>
          <w:ilvl w:val="0"/>
          <w:numId w:val="2"/>
        </w:numPr>
        <w:spacing w:after="60"/>
      </w:pPr>
      <w:r>
        <w:rPr>
          <w:rFonts w:ascii="Arial" w:cs="Arial" w:eastAsia="Arial" w:hAnsi="Arial"/>
          <w:sz w:val="22"/>
          <w:szCs w:val="22"/>
        </w:rPr>
        <w:t xml:space="preserve">source_* audit-trail</w:t>
      </w:r>
    </w:p>
    <w:p>
      <w:pPr>
        <w:pStyle w:val="Heading3"/>
        <w:spacing w:after="80" w:before="180"/>
      </w:pPr>
      <w:r>
        <w:rPr>
          <w:rFonts w:ascii="Arial" w:cs="Arial" w:eastAsia="Arial" w:hAnsi="Arial"/>
          <w:b/>
          <w:bCs/>
          <w:color w:val="263849"/>
          <w:sz w:val="26"/>
          <w:szCs w:val="26"/>
        </w:rPr>
        <w:t xml:space="preserve">obligation_fulfilments</w:t>
      </w:r>
    </w:p>
    <w:p>
      <w:pPr>
        <w:spacing w:after="140" w:line="280"/>
        <w:jc w:val="both"/>
      </w:pPr>
      <w:r>
        <w:rPr>
          <w:rFonts w:ascii="Arial" w:cs="Arial" w:eastAsia="Arial" w:hAnsi="Arial"/>
          <w:sz w:val="22"/>
          <w:szCs w:val="22"/>
        </w:rPr>
        <w:t xml:space="preserve">Append-only log of fulfilment events.</w:t>
      </w:r>
    </w:p>
    <w:p>
      <w:pPr>
        <w:pStyle w:val="ListParagraph"/>
        <w:numPr>
          <w:ilvl w:val="0"/>
          <w:numId w:val="2"/>
        </w:numPr>
        <w:spacing w:after="60"/>
      </w:pPr>
      <w:r>
        <w:rPr>
          <w:rFonts w:ascii="Arial" w:cs="Arial" w:eastAsia="Arial" w:hAnsi="Arial"/>
          <w:sz w:val="22"/>
          <w:szCs w:val="22"/>
        </w:rPr>
        <w:t xml:space="preserve">id, obligation_id, fulfilled_at, fulfilled_by, document_id, notes</w:t>
      </w:r>
    </w:p>
    <w:p>
      <w:pPr>
        <w:pStyle w:val="Heading3"/>
        <w:spacing w:after="80" w:before="180"/>
      </w:pPr>
      <w:r>
        <w:rPr>
          <w:rFonts w:ascii="Arial" w:cs="Arial" w:eastAsia="Arial" w:hAnsi="Arial"/>
          <w:b/>
          <w:bCs/>
          <w:color w:val="263849"/>
          <w:sz w:val="26"/>
          <w:szCs w:val="26"/>
        </w:rPr>
        <w:t xml:space="preserve">deal_amendments</w:t>
      </w:r>
    </w:p>
    <w:p>
      <w:pPr>
        <w:spacing w:after="140" w:line="280"/>
        <w:jc w:val="both"/>
      </w:pPr>
      <w:r>
        <w:rPr>
          <w:rFonts w:ascii="Arial" w:cs="Arial" w:eastAsia="Arial" w:hAnsi="Arial"/>
          <w:sz w:val="22"/>
          <w:szCs w:val="22"/>
        </w:rPr>
        <w:t xml:space="preserve">Waivers and amendments to deal terms.</w:t>
      </w:r>
    </w:p>
    <w:p>
      <w:pPr>
        <w:pStyle w:val="ListParagraph"/>
        <w:numPr>
          <w:ilvl w:val="0"/>
          <w:numId w:val="2"/>
        </w:numPr>
        <w:spacing w:after="60"/>
      </w:pPr>
      <w:r>
        <w:rPr>
          <w:rFonts w:ascii="Arial" w:cs="Arial" w:eastAsia="Arial" w:hAnsi="Arial"/>
          <w:sz w:val="22"/>
          <w:szCs w:val="22"/>
        </w:rPr>
        <w:t xml:space="preserve">id, deal_id, amendment_date, amendment_type, rule_version_id, summary</w:t>
      </w:r>
    </w:p>
    <w:p>
      <w:pPr>
        <w:pStyle w:val="ListParagraph"/>
        <w:numPr>
          <w:ilvl w:val="0"/>
          <w:numId w:val="2"/>
        </w:numPr>
        <w:spacing w:after="60"/>
      </w:pPr>
      <w:r>
        <w:rPr>
          <w:rFonts w:ascii="Arial" w:cs="Arial" w:eastAsia="Arial" w:hAnsi="Arial"/>
          <w:sz w:val="22"/>
          <w:szCs w:val="22"/>
        </w:rPr>
        <w:t xml:space="preserve">consent_fee_bps INTEGER, counterparty_list JSONB</w:t>
      </w:r>
    </w:p>
    <w:p>
      <w:pPr>
        <w:pStyle w:val="ListParagraph"/>
        <w:numPr>
          <w:ilvl w:val="0"/>
          <w:numId w:val="2"/>
        </w:numPr>
        <w:spacing w:after="60"/>
      </w:pPr>
      <w:r>
        <w:rPr>
          <w:rFonts w:ascii="Arial" w:cs="Arial" w:eastAsia="Arial" w:hAnsi="Arial"/>
          <w:sz w:val="22"/>
          <w:szCs w:val="22"/>
        </w:rPr>
        <w:t xml:space="preserve">source_document_id, source_* audit-trail</w:t>
      </w:r>
    </w:p>
    <w:p>
      <w:pPr>
        <w:pStyle w:val="Heading3"/>
        <w:spacing w:after="80" w:before="180"/>
      </w:pPr>
      <w:r>
        <w:rPr>
          <w:rFonts w:ascii="Arial" w:cs="Arial" w:eastAsia="Arial" w:hAnsi="Arial"/>
          <w:b/>
          <w:bCs/>
          <w:color w:val="263849"/>
          <w:sz w:val="26"/>
          <w:szCs w:val="26"/>
        </w:rPr>
        <w:t xml:space="preserve">amendment_rule_versions</w:t>
      </w:r>
    </w:p>
    <w:p>
      <w:pPr>
        <w:pStyle w:val="ListParagraph"/>
        <w:numPr>
          <w:ilvl w:val="0"/>
          <w:numId w:val="2"/>
        </w:numPr>
        <w:spacing w:after="60"/>
      </w:pPr>
      <w:r>
        <w:rPr>
          <w:rFonts w:ascii="Arial" w:cs="Arial" w:eastAsia="Arial" w:hAnsi="Arial"/>
          <w:sz w:val="22"/>
          <w:szCs w:val="22"/>
        </w:rPr>
        <w:t xml:space="preserve">id, amendment_id, effective_from DATE, effective_to DATE, rule_text TEXT</w:t>
      </w:r>
    </w:p>
    <w:p>
      <w:pPr>
        <w:pStyle w:val="Heading3"/>
        <w:spacing w:after="80" w:before="180"/>
      </w:pPr>
      <w:r>
        <w:rPr>
          <w:rFonts w:ascii="Arial" w:cs="Arial" w:eastAsia="Arial" w:hAnsi="Arial"/>
          <w:b/>
          <w:bCs/>
          <w:color w:val="263849"/>
          <w:sz w:val="26"/>
          <w:szCs w:val="26"/>
        </w:rPr>
        <w:t xml:space="preserve">amendment_change_impacts</w:t>
      </w:r>
    </w:p>
    <w:p>
      <w:pPr>
        <w:spacing w:after="140" w:line="280"/>
        <w:jc w:val="both"/>
      </w:pPr>
      <w:r>
        <w:rPr>
          <w:rFonts w:ascii="Arial" w:cs="Arial" w:eastAsia="Arial" w:hAnsi="Arial"/>
          <w:sz w:val="22"/>
          <w:szCs w:val="22"/>
        </w:rPr>
        <w:t xml:space="preserve">One row per covenant/term affected by an amendment.</w:t>
      </w:r>
    </w:p>
    <w:p>
      <w:pPr>
        <w:pStyle w:val="ListParagraph"/>
        <w:numPr>
          <w:ilvl w:val="0"/>
          <w:numId w:val="2"/>
        </w:numPr>
        <w:spacing w:after="60"/>
      </w:pPr>
      <w:r>
        <w:rPr>
          <w:rFonts w:ascii="Arial" w:cs="Arial" w:eastAsia="Arial" w:hAnsi="Arial"/>
          <w:sz w:val="22"/>
          <w:szCs w:val="22"/>
        </w:rPr>
        <w:t xml:space="preserve">id, amendment_id, affected_table, affected_row_id, field_name, prior_value, new_value</w:t>
      </w:r>
    </w:p>
    <w:p>
      <w:pPr>
        <w:pStyle w:val="Heading3"/>
        <w:spacing w:after="80" w:before="180"/>
      </w:pPr>
      <w:r>
        <w:rPr>
          <w:rFonts w:ascii="Arial" w:cs="Arial" w:eastAsia="Arial" w:hAnsi="Arial"/>
          <w:b/>
          <w:bCs/>
          <w:color w:val="263849"/>
          <w:sz w:val="26"/>
          <w:szCs w:val="26"/>
        </w:rPr>
        <w:t xml:space="preserve">deal_consent_mechanics</w:t>
      </w:r>
    </w:p>
    <w:p>
      <w:pPr>
        <w:spacing w:after="140" w:line="280"/>
        <w:jc w:val="both"/>
      </w:pPr>
      <w:r>
        <w:rPr>
          <w:rFonts w:ascii="Arial" w:cs="Arial" w:eastAsia="Arial" w:hAnsi="Arial"/>
          <w:sz w:val="22"/>
          <w:szCs w:val="22"/>
        </w:rPr>
        <w:t xml:space="preserve">Per-class voting thresholds.</w:t>
      </w:r>
    </w:p>
    <w:p>
      <w:pPr>
        <w:pStyle w:val="ListParagraph"/>
        <w:numPr>
          <w:ilvl w:val="0"/>
          <w:numId w:val="2"/>
        </w:numPr>
        <w:spacing w:after="60"/>
      </w:pPr>
      <w:r>
        <w:rPr>
          <w:rFonts w:ascii="Arial" w:cs="Arial" w:eastAsia="Arial" w:hAnsi="Arial"/>
          <w:sz w:val="22"/>
          <w:szCs w:val="22"/>
        </w:rPr>
        <w:t xml:space="preserve">id, deal_id, matter_type, tranche_class, threshold_pct, lookup_reference</w:t>
      </w:r>
    </w:p>
    <w:p>
      <w:pPr>
        <w:pStyle w:val="Heading3"/>
        <w:spacing w:after="80" w:before="180"/>
      </w:pPr>
      <w:r>
        <w:rPr>
          <w:rFonts w:ascii="Arial" w:cs="Arial" w:eastAsia="Arial" w:hAnsi="Arial"/>
          <w:b/>
          <w:bCs/>
          <w:color w:val="263849"/>
          <w:sz w:val="26"/>
          <w:szCs w:val="26"/>
        </w:rPr>
        <w:t xml:space="preserve">deal_development_phases</w:t>
      </w:r>
    </w:p>
    <w:p>
      <w:pPr>
        <w:spacing w:after="140" w:line="280"/>
        <w:jc w:val="both"/>
      </w:pPr>
      <w:r>
        <w:rPr>
          <w:rFonts w:ascii="Arial" w:cs="Arial" w:eastAsia="Arial" w:hAnsi="Arial"/>
          <w:sz w:val="22"/>
          <w:szCs w:val="22"/>
        </w:rPr>
        <w:t xml:space="preserve">Project-finance only. Construction milestone tracking.</w:t>
      </w:r>
    </w:p>
    <w:p>
      <w:pPr>
        <w:pStyle w:val="ListParagraph"/>
        <w:numPr>
          <w:ilvl w:val="0"/>
          <w:numId w:val="2"/>
        </w:numPr>
        <w:spacing w:after="60"/>
      </w:pPr>
      <w:r>
        <w:rPr>
          <w:rFonts w:ascii="Arial" w:cs="Arial" w:eastAsia="Arial" w:hAnsi="Arial"/>
          <w:sz w:val="22"/>
          <w:szCs w:val="22"/>
        </w:rPr>
        <w:t xml:space="preserve">id, deal_id, phase_name, phase_start, phase_end, milestone_description, progress_pct, certifier</w:t>
      </w:r>
    </w:p>
    <w:p>
      <w:pPr>
        <w:pStyle w:val="Heading2"/>
        <w:spacing w:after="120" w:before="240"/>
      </w:pPr>
      <w:r>
        <w:rPr>
          <w:rFonts w:ascii="Arial" w:cs="Arial" w:eastAsia="Arial" w:hAnsi="Arial"/>
          <w:b/>
          <w:bCs/>
          <w:color w:val="263849"/>
          <w:sz w:val="30"/>
          <w:szCs w:val="30"/>
        </w:rPr>
        <w:t xml:space="preserve">2.10 Family: Reserves and hedges</w:t>
      </w:r>
    </w:p>
    <w:p>
      <w:pPr>
        <w:pStyle w:val="Heading3"/>
        <w:spacing w:after="80" w:before="180"/>
      </w:pPr>
      <w:r>
        <w:rPr>
          <w:rFonts w:ascii="Arial" w:cs="Arial" w:eastAsia="Arial" w:hAnsi="Arial"/>
          <w:b/>
          <w:bCs/>
          <w:color w:val="263849"/>
          <w:sz w:val="26"/>
          <w:szCs w:val="26"/>
        </w:rPr>
        <w:t xml:space="preserve">deal_reserve_accounts</w:t>
      </w:r>
    </w:p>
    <w:p>
      <w:pPr>
        <w:pStyle w:val="ListParagraph"/>
        <w:numPr>
          <w:ilvl w:val="0"/>
          <w:numId w:val="2"/>
        </w:numPr>
        <w:spacing w:after="60"/>
      </w:pPr>
      <w:r>
        <w:rPr>
          <w:rFonts w:ascii="Arial" w:cs="Arial" w:eastAsia="Arial" w:hAnsi="Arial"/>
          <w:sz w:val="22"/>
          <w:szCs w:val="22"/>
        </w:rPr>
        <w:t xml:space="preserve">id, deal_id, reserve_name, required_balance_native, minimum_balance_native</w:t>
      </w:r>
    </w:p>
    <w:p>
      <w:pPr>
        <w:pStyle w:val="ListParagraph"/>
        <w:numPr>
          <w:ilvl w:val="0"/>
          <w:numId w:val="2"/>
        </w:numPr>
        <w:spacing w:after="60"/>
      </w:pPr>
      <w:r>
        <w:rPr>
          <w:rFonts w:ascii="Arial" w:cs="Arial" w:eastAsia="Arial" w:hAnsi="Arial"/>
          <w:sz w:val="22"/>
          <w:szCs w:val="22"/>
        </w:rPr>
        <w:t xml:space="preserve">funding_mechanism TEXT — lump_sum_at_close / scheduled / excess_cash_sweep</w:t>
      </w:r>
    </w:p>
    <w:p>
      <w:pPr>
        <w:pStyle w:val="ListParagraph"/>
        <w:numPr>
          <w:ilvl w:val="0"/>
          <w:numId w:val="2"/>
        </w:numPr>
        <w:spacing w:after="60"/>
      </w:pPr>
      <w:r>
        <w:rPr>
          <w:rFonts w:ascii="Arial" w:cs="Arial" w:eastAsia="Arial" w:hAnsi="Arial"/>
          <w:sz w:val="22"/>
          <w:szCs w:val="22"/>
        </w:rPr>
        <w:t xml:space="preserve">first_funding_date DATE, top_up_frequency TEXT</w:t>
      </w:r>
    </w:p>
    <w:p>
      <w:pPr>
        <w:pStyle w:val="ListParagraph"/>
        <w:numPr>
          <w:ilvl w:val="0"/>
          <w:numId w:val="2"/>
        </w:numPr>
        <w:spacing w:after="60"/>
      </w:pPr>
      <w:r>
        <w:rPr>
          <w:rFonts w:ascii="Arial" w:cs="Arial" w:eastAsia="Arial" w:hAnsi="Arial"/>
          <w:sz w:val="22"/>
          <w:szCs w:val="22"/>
        </w:rPr>
        <w:t xml:space="preserve">owned_by_entity_slug TEXT</w:t>
      </w:r>
    </w:p>
    <w:p>
      <w:pPr>
        <w:pStyle w:val="ListParagraph"/>
        <w:numPr>
          <w:ilvl w:val="0"/>
          <w:numId w:val="2"/>
        </w:numPr>
        <w:spacing w:after="60"/>
      </w:pPr>
      <w:r>
        <w:rPr>
          <w:rFonts w:ascii="Arial" w:cs="Arial" w:eastAsia="Arial" w:hAnsi="Arial"/>
          <w:sz w:val="22"/>
          <w:szCs w:val="22"/>
        </w:rPr>
        <w:t xml:space="preserve">source_* audit-trail</w:t>
      </w:r>
    </w:p>
    <w:p>
      <w:pPr>
        <w:pStyle w:val="Heading3"/>
        <w:spacing w:after="80" w:before="180"/>
      </w:pPr>
      <w:r>
        <w:rPr>
          <w:rFonts w:ascii="Arial" w:cs="Arial" w:eastAsia="Arial" w:hAnsi="Arial"/>
          <w:b/>
          <w:bCs/>
          <w:color w:val="263849"/>
          <w:sz w:val="26"/>
          <w:szCs w:val="26"/>
        </w:rPr>
        <w:t xml:space="preserve">deal_reserve_history</w:t>
      </w:r>
    </w:p>
    <w:p>
      <w:pPr>
        <w:spacing w:after="140" w:line="280"/>
        <w:jc w:val="both"/>
      </w:pPr>
      <w:r>
        <w:rPr>
          <w:rFonts w:ascii="Arial" w:cs="Arial" w:eastAsia="Arial" w:hAnsi="Arial"/>
          <w:sz w:val="22"/>
          <w:szCs w:val="22"/>
        </w:rPr>
        <w:t xml:space="preserve">Time series of reserve account movements and balances.</w:t>
      </w:r>
    </w:p>
    <w:p>
      <w:pPr>
        <w:pStyle w:val="ListParagraph"/>
        <w:numPr>
          <w:ilvl w:val="0"/>
          <w:numId w:val="2"/>
        </w:numPr>
        <w:spacing w:after="60"/>
      </w:pPr>
      <w:r>
        <w:rPr>
          <w:rFonts w:ascii="Arial" w:cs="Arial" w:eastAsia="Arial" w:hAnsi="Arial"/>
          <w:sz w:val="22"/>
          <w:szCs w:val="22"/>
        </w:rPr>
        <w:t xml:space="preserve">id, reserve_account_id, as_of_date DATE</w:t>
      </w:r>
    </w:p>
    <w:p>
      <w:pPr>
        <w:pStyle w:val="ListParagraph"/>
        <w:numPr>
          <w:ilvl w:val="0"/>
          <w:numId w:val="2"/>
        </w:numPr>
        <w:spacing w:after="60"/>
      </w:pPr>
      <w:r>
        <w:rPr>
          <w:rFonts w:ascii="Arial" w:cs="Arial" w:eastAsia="Arial" w:hAnsi="Arial"/>
          <w:sz w:val="22"/>
          <w:szCs w:val="22"/>
        </w:rPr>
        <w:t xml:space="preserve">required_balance, actual_balance, expected_balance, shortfall, variance</w:t>
      </w:r>
    </w:p>
    <w:p>
      <w:pPr>
        <w:pStyle w:val="ListParagraph"/>
        <w:numPr>
          <w:ilvl w:val="0"/>
          <w:numId w:val="2"/>
        </w:numPr>
        <w:spacing w:after="60"/>
      </w:pPr>
      <w:r>
        <w:rPr>
          <w:rFonts w:ascii="Arial" w:cs="Arial" w:eastAsia="Arial" w:hAnsi="Arial"/>
          <w:sz w:val="22"/>
          <w:szCs w:val="22"/>
        </w:rPr>
        <w:t xml:space="preserve">top_up_amount, top_up_due_date, top_up_status</w:t>
      </w:r>
    </w:p>
    <w:p>
      <w:pPr>
        <w:pStyle w:val="ListParagraph"/>
        <w:numPr>
          <w:ilvl w:val="0"/>
          <w:numId w:val="2"/>
        </w:numPr>
        <w:spacing w:after="60"/>
      </w:pPr>
      <w:r>
        <w:rPr>
          <w:rFonts w:ascii="Arial" w:cs="Arial" w:eastAsia="Arial" w:hAnsi="Arial"/>
          <w:sz w:val="22"/>
          <w:szCs w:val="22"/>
        </w:rPr>
        <w:t xml:space="preserve">source_* audit-trail</w:t>
      </w:r>
    </w:p>
    <w:p>
      <w:pPr>
        <w:pStyle w:val="Heading3"/>
        <w:spacing w:after="80" w:before="180"/>
      </w:pPr>
      <w:r>
        <w:rPr>
          <w:rFonts w:ascii="Arial" w:cs="Arial" w:eastAsia="Arial" w:hAnsi="Arial"/>
          <w:b/>
          <w:bCs/>
          <w:color w:val="263849"/>
          <w:sz w:val="26"/>
          <w:szCs w:val="26"/>
        </w:rPr>
        <w:t xml:space="preserve">hedge_portfolio</w:t>
      </w:r>
    </w:p>
    <w:p>
      <w:pPr>
        <w:pStyle w:val="ListParagraph"/>
        <w:numPr>
          <w:ilvl w:val="0"/>
          <w:numId w:val="2"/>
        </w:numPr>
        <w:spacing w:after="60"/>
      </w:pPr>
      <w:r>
        <w:rPr>
          <w:rFonts w:ascii="Arial" w:cs="Arial" w:eastAsia="Arial" w:hAnsi="Arial"/>
          <w:sz w:val="22"/>
          <w:szCs w:val="22"/>
        </w:rPr>
        <w:t xml:space="preserve">id, deal_id, hedge_type — interest / fx / commodity</w:t>
      </w:r>
    </w:p>
    <w:p>
      <w:pPr>
        <w:pStyle w:val="ListParagraph"/>
        <w:numPr>
          <w:ilvl w:val="0"/>
          <w:numId w:val="2"/>
        </w:numPr>
        <w:spacing w:after="60"/>
      </w:pPr>
      <w:r>
        <w:rPr>
          <w:rFonts w:ascii="Arial" w:cs="Arial" w:eastAsia="Arial" w:hAnsi="Arial"/>
          <w:sz w:val="22"/>
          <w:szCs w:val="22"/>
        </w:rPr>
        <w:t xml:space="preserve">notional_native, rate NUMERIC(8,5), start_date, end_date</w:t>
      </w:r>
    </w:p>
    <w:p>
      <w:pPr>
        <w:pStyle w:val="ListParagraph"/>
        <w:numPr>
          <w:ilvl w:val="0"/>
          <w:numId w:val="2"/>
        </w:numPr>
        <w:spacing w:after="60"/>
      </w:pPr>
      <w:r>
        <w:rPr>
          <w:rFonts w:ascii="Arial" w:cs="Arial" w:eastAsia="Arial" w:hAnsi="Arial"/>
          <w:sz w:val="22"/>
          <w:szCs w:val="22"/>
        </w:rPr>
        <w:t xml:space="preserve">counterparty_name, mark_to_market_native NUMERIC(18,2), last_mtm_date DATE</w:t>
      </w:r>
    </w:p>
    <w:p>
      <w:pPr>
        <w:pStyle w:val="Heading2"/>
        <w:spacing w:after="120" w:before="240"/>
      </w:pPr>
      <w:r>
        <w:rPr>
          <w:rFonts w:ascii="Arial" w:cs="Arial" w:eastAsia="Arial" w:hAnsi="Arial"/>
          <w:b/>
          <w:bCs/>
          <w:color w:val="263849"/>
          <w:sz w:val="30"/>
          <w:szCs w:val="30"/>
        </w:rPr>
        <w:t xml:space="preserve">2.11 Family: Snapshots and onboarding</w:t>
      </w:r>
    </w:p>
    <w:p>
      <w:pPr>
        <w:pStyle w:val="Heading3"/>
        <w:spacing w:after="80" w:before="180"/>
      </w:pPr>
      <w:r>
        <w:rPr>
          <w:rFonts w:ascii="Arial" w:cs="Arial" w:eastAsia="Arial" w:hAnsi="Arial"/>
          <w:b/>
          <w:bCs/>
          <w:color w:val="263849"/>
          <w:sz w:val="26"/>
          <w:szCs w:val="26"/>
        </w:rPr>
        <w:t xml:space="preserve">deal_onboarding_snapshots</w:t>
      </w:r>
    </w:p>
    <w:p>
      <w:pPr>
        <w:spacing w:after="140" w:line="280"/>
        <w:jc w:val="both"/>
      </w:pPr>
      <w:r>
        <w:rPr>
          <w:rFonts w:ascii="Arial" w:cs="Arial" w:eastAsia="Arial" w:hAnsi="Arial"/>
          <w:sz w:val="22"/>
          <w:szCs w:val="22"/>
        </w:rPr>
        <w:t xml:space="preserve">Write-once, frozen at investment. The complete IC-memo-time state. Never updated.</w:t>
      </w:r>
    </w:p>
    <w:p>
      <w:pPr>
        <w:pStyle w:val="ListParagraph"/>
        <w:numPr>
          <w:ilvl w:val="0"/>
          <w:numId w:val="2"/>
        </w:numPr>
        <w:spacing w:after="60"/>
      </w:pPr>
      <w:r>
        <w:rPr>
          <w:rFonts w:ascii="Arial" w:cs="Arial" w:eastAsia="Arial" w:hAnsi="Arial"/>
          <w:sz w:val="22"/>
          <w:szCs w:val="22"/>
        </w:rPr>
        <w:t xml:space="preserve">id, deal_id, snapshot_date</w:t>
      </w:r>
    </w:p>
    <w:p>
      <w:pPr>
        <w:pStyle w:val="ListParagraph"/>
        <w:numPr>
          <w:ilvl w:val="0"/>
          <w:numId w:val="2"/>
        </w:numPr>
        <w:spacing w:after="60"/>
      </w:pPr>
      <w:r>
        <w:rPr>
          <w:rFonts w:ascii="Arial" w:cs="Arial" w:eastAsia="Arial" w:hAnsi="Arial"/>
          <w:sz w:val="22"/>
          <w:szCs w:val="22"/>
        </w:rPr>
        <w:t xml:space="preserve">dscr_at_close NUMERIC, llcr_at_close NUMERIC, ltv_at_close NUMERIC</w:t>
      </w:r>
    </w:p>
    <w:p>
      <w:pPr>
        <w:pStyle w:val="ListParagraph"/>
        <w:numPr>
          <w:ilvl w:val="0"/>
          <w:numId w:val="2"/>
        </w:numPr>
        <w:spacing w:after="60"/>
      </w:pPr>
      <w:r>
        <w:rPr>
          <w:rFonts w:ascii="Arial" w:cs="Arial" w:eastAsia="Arial" w:hAnsi="Arial"/>
          <w:sz w:val="22"/>
          <w:szCs w:val="22"/>
        </w:rPr>
        <w:t xml:space="preserve">projected_irr_pct NUMERIC, base_case_npv_native NUMERIC</w:t>
      </w:r>
    </w:p>
    <w:p>
      <w:pPr>
        <w:pStyle w:val="ListParagraph"/>
        <w:numPr>
          <w:ilvl w:val="0"/>
          <w:numId w:val="2"/>
        </w:numPr>
        <w:spacing w:after="60"/>
      </w:pPr>
      <w:r>
        <w:rPr>
          <w:rFonts w:ascii="Arial" w:cs="Arial" w:eastAsia="Arial" w:hAnsi="Arial"/>
          <w:sz w:val="22"/>
          <w:szCs w:val="22"/>
        </w:rPr>
        <w:t xml:space="preserve">deal_summary TEXT, investment_thesis TEXT, key_risks_summary TEXT</w:t>
      </w:r>
    </w:p>
    <w:p>
      <w:pPr>
        <w:pStyle w:val="ListParagraph"/>
        <w:numPr>
          <w:ilvl w:val="0"/>
          <w:numId w:val="2"/>
        </w:numPr>
        <w:spacing w:after="60"/>
      </w:pPr>
      <w:r>
        <w:rPr>
          <w:rFonts w:ascii="Arial" w:cs="Arial" w:eastAsia="Arial" w:hAnsi="Arial"/>
          <w:sz w:val="22"/>
          <w:szCs w:val="22"/>
        </w:rPr>
        <w:t xml:space="preserve">source_document_id, source_* audit-trail</w:t>
      </w:r>
    </w:p>
    <w:p>
      <w:pPr>
        <w:pStyle w:val="Heading3"/>
        <w:spacing w:after="80" w:before="180"/>
      </w:pPr>
      <w:r>
        <w:rPr>
          <w:rFonts w:ascii="Arial" w:cs="Arial" w:eastAsia="Arial" w:hAnsi="Arial"/>
          <w:b/>
          <w:bCs/>
          <w:color w:val="263849"/>
          <w:sz w:val="26"/>
          <w:szCs w:val="26"/>
        </w:rPr>
        <w:t xml:space="preserve">deal_topsheet_snapshots</w:t>
      </w:r>
    </w:p>
    <w:p>
      <w:pPr>
        <w:spacing w:after="140" w:line="280"/>
        <w:jc w:val="both"/>
      </w:pPr>
      <w:r>
        <w:rPr>
          <w:rFonts w:ascii="Arial" w:cs="Arial" w:eastAsia="Arial" w:hAnsi="Arial"/>
          <w:sz w:val="22"/>
          <w:szCs w:val="22"/>
        </w:rPr>
        <w:t xml:space="preserve">Frozen point-in-time full deal state. Used for monthly and quarterly packs.</w:t>
      </w:r>
    </w:p>
    <w:p>
      <w:pPr>
        <w:pStyle w:val="ListParagraph"/>
        <w:numPr>
          <w:ilvl w:val="0"/>
          <w:numId w:val="2"/>
        </w:numPr>
        <w:spacing w:after="60"/>
      </w:pPr>
      <w:r>
        <w:rPr>
          <w:rFonts w:ascii="Arial" w:cs="Arial" w:eastAsia="Arial" w:hAnsi="Arial"/>
          <w:sz w:val="22"/>
          <w:szCs w:val="22"/>
        </w:rPr>
        <w:t xml:space="preserve">id, deal_id, snapshot_date TIMESTAMPTZ, snapshot_reason TEXT</w:t>
      </w:r>
    </w:p>
    <w:p>
      <w:pPr>
        <w:pStyle w:val="ListParagraph"/>
        <w:numPr>
          <w:ilvl w:val="0"/>
          <w:numId w:val="2"/>
        </w:numPr>
        <w:spacing w:after="60"/>
      </w:pPr>
      <w:r>
        <w:rPr>
          <w:rFonts w:ascii="Arial" w:cs="Arial" w:eastAsia="Arial" w:hAnsi="Arial"/>
          <w:sz w:val="22"/>
          <w:szCs w:val="22"/>
        </w:rPr>
        <w:t xml:space="preserve">payload_json JSONB — complete TopSheet response frozen</w:t>
      </w:r>
    </w:p>
    <w:p>
      <w:pPr>
        <w:pStyle w:val="ListParagraph"/>
        <w:numPr>
          <w:ilvl w:val="0"/>
          <w:numId w:val="2"/>
        </w:numPr>
        <w:spacing w:after="60"/>
      </w:pPr>
      <w:r>
        <w:rPr>
          <w:rFonts w:ascii="Arial" w:cs="Arial" w:eastAsia="Arial" w:hAnsi="Arial"/>
          <w:sz w:val="22"/>
          <w:szCs w:val="22"/>
        </w:rPr>
        <w:t xml:space="preserve">created_by, created_at</w:t>
      </w:r>
    </w:p>
    <w:p>
      <w:pPr>
        <w:pStyle w:val="Heading3"/>
        <w:spacing w:after="80" w:before="180"/>
      </w:pPr>
      <w:r>
        <w:rPr>
          <w:rFonts w:ascii="Arial" w:cs="Arial" w:eastAsia="Arial" w:hAnsi="Arial"/>
          <w:b/>
          <w:bCs/>
          <w:color w:val="263849"/>
          <w:sz w:val="26"/>
          <w:szCs w:val="26"/>
        </w:rPr>
        <w:t xml:space="preserve">topsheet_snapshot_provenance</w:t>
      </w:r>
    </w:p>
    <w:p>
      <w:pPr>
        <w:spacing w:after="140" w:line="280"/>
        <w:jc w:val="both"/>
      </w:pPr>
      <w:r>
        <w:rPr>
          <w:rFonts w:ascii="Arial" w:cs="Arial" w:eastAsia="Arial" w:hAnsi="Arial"/>
          <w:sz w:val="22"/>
          <w:szCs w:val="22"/>
        </w:rPr>
        <w:t xml:space="preserve">Attribution at snapshot time. One row per source (document, extractor, human).</w:t>
      </w:r>
    </w:p>
    <w:p>
      <w:pPr>
        <w:pStyle w:val="ListParagraph"/>
        <w:numPr>
          <w:ilvl w:val="0"/>
          <w:numId w:val="2"/>
        </w:numPr>
        <w:spacing w:after="60"/>
      </w:pPr>
      <w:r>
        <w:rPr>
          <w:rFonts w:ascii="Arial" w:cs="Arial" w:eastAsia="Arial" w:hAnsi="Arial"/>
          <w:sz w:val="22"/>
          <w:szCs w:val="22"/>
        </w:rPr>
        <w:t xml:space="preserve">id, snapshot_id, source_document_id, source_extractor, source_confidence</w:t>
      </w:r>
    </w:p>
    <w:p>
      <w:pPr>
        <w:pStyle w:val="ListParagraph"/>
        <w:numPr>
          <w:ilvl w:val="0"/>
          <w:numId w:val="2"/>
        </w:numPr>
        <w:spacing w:after="60"/>
      </w:pPr>
      <w:r>
        <w:rPr>
          <w:rFonts w:ascii="Arial" w:cs="Arial" w:eastAsia="Arial" w:hAnsi="Arial"/>
          <w:sz w:val="22"/>
          <w:szCs w:val="22"/>
        </w:rPr>
        <w:t xml:space="preserve">field_count INTEGER — how many field-level facts this source contributed</w:t>
      </w:r>
    </w:p>
    <w:p>
      <w:pPr>
        <w:pStyle w:val="Heading3"/>
        <w:spacing w:after="80" w:before="180"/>
      </w:pPr>
      <w:r>
        <w:rPr>
          <w:rFonts w:ascii="Arial" w:cs="Arial" w:eastAsia="Arial" w:hAnsi="Arial"/>
          <w:b/>
          <w:bCs/>
          <w:color w:val="263849"/>
          <w:sz w:val="26"/>
          <w:szCs w:val="26"/>
        </w:rPr>
        <w:t xml:space="preserve">topsheet_snapshot_field_citations</w:t>
      </w:r>
    </w:p>
    <w:p>
      <w:pPr>
        <w:spacing w:after="140" w:line="280"/>
        <w:jc w:val="both"/>
      </w:pPr>
      <w:r>
        <w:rPr>
          <w:rFonts w:ascii="Arial" w:cs="Arial" w:eastAsia="Arial" w:hAnsi="Arial"/>
          <w:sz w:val="22"/>
          <w:szCs w:val="22"/>
        </w:rPr>
        <w:t xml:space="preserve">Per-field citation at snapshot time. Frozen pointer to source.</w:t>
      </w:r>
    </w:p>
    <w:p>
      <w:pPr>
        <w:pStyle w:val="ListParagraph"/>
        <w:numPr>
          <w:ilvl w:val="0"/>
          <w:numId w:val="2"/>
        </w:numPr>
        <w:spacing w:after="60"/>
      </w:pPr>
      <w:r>
        <w:rPr>
          <w:rFonts w:ascii="Arial" w:cs="Arial" w:eastAsia="Arial" w:hAnsi="Arial"/>
          <w:sz w:val="22"/>
          <w:szCs w:val="22"/>
        </w:rPr>
        <w:t xml:space="preserve">id, snapshot_id, field_key TEXT</w:t>
      </w:r>
    </w:p>
    <w:p>
      <w:pPr>
        <w:pStyle w:val="ListParagraph"/>
        <w:numPr>
          <w:ilvl w:val="0"/>
          <w:numId w:val="2"/>
        </w:numPr>
        <w:spacing w:after="60"/>
      </w:pPr>
      <w:r>
        <w:rPr>
          <w:rFonts w:ascii="Arial" w:cs="Arial" w:eastAsia="Arial" w:hAnsi="Arial"/>
          <w:sz w:val="22"/>
          <w:szCs w:val="22"/>
        </w:rPr>
        <w:t xml:space="preserve">source_document_id, source_page, source_citation_offsets JSONB</w:t>
      </w:r>
    </w:p>
    <w:p>
      <w:pPr>
        <w:pStyle w:val="ListParagraph"/>
        <w:numPr>
          <w:ilvl w:val="0"/>
          <w:numId w:val="2"/>
        </w:numPr>
        <w:spacing w:after="60"/>
      </w:pPr>
      <w:r>
        <w:rPr>
          <w:rFonts w:ascii="Arial" w:cs="Arial" w:eastAsia="Arial" w:hAnsi="Arial"/>
          <w:sz w:val="22"/>
          <w:szCs w:val="22"/>
        </w:rPr>
        <w:t xml:space="preserve">value_at_snapshot TEXT</w:t>
      </w:r>
    </w:p>
    <w:p>
      <w:pPr>
        <w:pStyle w:val="Heading3"/>
        <w:spacing w:after="80" w:before="180"/>
      </w:pPr>
      <w:r>
        <w:rPr>
          <w:rFonts w:ascii="Arial" w:cs="Arial" w:eastAsia="Arial" w:hAnsi="Arial"/>
          <w:b/>
          <w:bCs/>
          <w:color w:val="263849"/>
          <w:sz w:val="26"/>
          <w:szCs w:val="26"/>
        </w:rPr>
        <w:t xml:space="preserve">v_topsheet_field_audit_status (view)</w:t>
      </w:r>
    </w:p>
    <w:p>
      <w:pPr>
        <w:spacing w:after="140" w:line="280"/>
        <w:jc w:val="both"/>
      </w:pPr>
      <w:r>
        <w:rPr>
          <w:rFonts w:ascii="Arial" w:cs="Arial" w:eastAsia="Arial" w:hAnsi="Arial"/>
          <w:sz w:val="22"/>
          <w:szCs w:val="22"/>
        </w:rPr>
        <w:t xml:space="preserve">Derived view returning per-field audit status for the live TopSheet audit ribbon. Joins current values against the most recent snapshot citation.</w:t>
      </w:r>
    </w:p>
    <w:p>
      <w:pPr>
        <w:pStyle w:val="Heading2"/>
        <w:spacing w:after="120" w:before="240"/>
      </w:pPr>
      <w:r>
        <w:rPr>
          <w:rFonts w:ascii="Arial" w:cs="Arial" w:eastAsia="Arial" w:hAnsi="Arial"/>
          <w:b/>
          <w:bCs/>
          <w:color w:val="263849"/>
          <w:sz w:val="30"/>
          <w:szCs w:val="30"/>
        </w:rPr>
        <w:t xml:space="preserve">2.12 Family: Document intake</w:t>
      </w:r>
    </w:p>
    <w:p>
      <w:pPr>
        <w:pStyle w:val="Heading3"/>
        <w:spacing w:after="80" w:before="180"/>
      </w:pPr>
      <w:r>
        <w:rPr>
          <w:rFonts w:ascii="Arial" w:cs="Arial" w:eastAsia="Arial" w:hAnsi="Arial"/>
          <w:b/>
          <w:bCs/>
          <w:color w:val="263849"/>
          <w:sz w:val="26"/>
          <w:szCs w:val="26"/>
        </w:rPr>
        <w:t xml:space="preserve">incoming_documents</w:t>
      </w:r>
    </w:p>
    <w:p>
      <w:pPr>
        <w:pStyle w:val="ListParagraph"/>
        <w:numPr>
          <w:ilvl w:val="0"/>
          <w:numId w:val="2"/>
        </w:numPr>
        <w:spacing w:after="60"/>
      </w:pPr>
      <w:r>
        <w:rPr>
          <w:rFonts w:ascii="Arial" w:cs="Arial" w:eastAsia="Arial" w:hAnsi="Arial"/>
          <w:sz w:val="22"/>
          <w:szCs w:val="22"/>
        </w:rPr>
        <w:t xml:space="preserve">id, uploaded_at, uploaded_by, filename, mime_type</w:t>
      </w:r>
    </w:p>
    <w:p>
      <w:pPr>
        <w:pStyle w:val="ListParagraph"/>
        <w:numPr>
          <w:ilvl w:val="0"/>
          <w:numId w:val="2"/>
        </w:numPr>
        <w:spacing w:after="60"/>
      </w:pPr>
      <w:r>
        <w:rPr>
          <w:rFonts w:ascii="Arial" w:cs="Arial" w:eastAsia="Arial" w:hAnsi="Arial"/>
          <w:sz w:val="22"/>
          <w:szCs w:val="22"/>
        </w:rPr>
        <w:t xml:space="preserve">raw_bytes BYTEA OR object_store_key TEXT — depending on FILE_STORE</w:t>
      </w:r>
    </w:p>
    <w:p>
      <w:pPr>
        <w:pStyle w:val="ListParagraph"/>
        <w:numPr>
          <w:ilvl w:val="0"/>
          <w:numId w:val="2"/>
        </w:numPr>
        <w:spacing w:after="60"/>
      </w:pPr>
      <w:r>
        <w:rPr>
          <w:rFonts w:ascii="Arial" w:cs="Arial" w:eastAsia="Arial" w:hAnsi="Arial"/>
          <w:sz w:val="22"/>
          <w:szCs w:val="22"/>
        </w:rPr>
        <w:t xml:space="preserve">deal_slug TEXT — optional at upload, resolved via proposal review</w:t>
      </w:r>
    </w:p>
    <w:p>
      <w:pPr>
        <w:pStyle w:val="ListParagraph"/>
        <w:numPr>
          <w:ilvl w:val="0"/>
          <w:numId w:val="2"/>
        </w:numPr>
        <w:spacing w:after="60"/>
      </w:pPr>
      <w:r>
        <w:rPr>
          <w:rFonts w:ascii="Arial" w:cs="Arial" w:eastAsia="Arial" w:hAnsi="Arial"/>
          <w:sz w:val="22"/>
          <w:szCs w:val="22"/>
        </w:rPr>
        <w:t xml:space="preserve">status TEXT CHECK (status IN ('queued','classifying','extracting','proposals_ready','committed','rejected','failed'))</w:t>
      </w:r>
    </w:p>
    <w:p>
      <w:pPr>
        <w:pStyle w:val="ListParagraph"/>
        <w:numPr>
          <w:ilvl w:val="0"/>
          <w:numId w:val="2"/>
        </w:numPr>
        <w:spacing w:after="60"/>
      </w:pPr>
      <w:r>
        <w:rPr>
          <w:rFonts w:ascii="Arial" w:cs="Arial" w:eastAsia="Arial" w:hAnsi="Arial"/>
          <w:sz w:val="22"/>
          <w:szCs w:val="22"/>
        </w:rPr>
        <w:t xml:space="preserve">document_type TEXT — resolved after classification</w:t>
      </w:r>
    </w:p>
    <w:p>
      <w:pPr>
        <w:pStyle w:val="ListParagraph"/>
        <w:numPr>
          <w:ilvl w:val="0"/>
          <w:numId w:val="2"/>
        </w:numPr>
        <w:spacing w:after="60"/>
      </w:pPr>
      <w:r>
        <w:rPr>
          <w:rFonts w:ascii="Arial" w:cs="Arial" w:eastAsia="Arial" w:hAnsi="Arial"/>
          <w:sz w:val="22"/>
          <w:szCs w:val="22"/>
        </w:rPr>
        <w:t xml:space="preserve">deal_id BIGINT — resolved on commit</w:t>
      </w:r>
    </w:p>
    <w:p>
      <w:pPr>
        <w:pStyle w:val="Heading3"/>
        <w:spacing w:after="80" w:before="180"/>
      </w:pPr>
      <w:r>
        <w:rPr>
          <w:rFonts w:ascii="Arial" w:cs="Arial" w:eastAsia="Arial" w:hAnsi="Arial"/>
          <w:b/>
          <w:bCs/>
          <w:color w:val="263849"/>
          <w:sz w:val="26"/>
          <w:szCs w:val="26"/>
        </w:rPr>
        <w:t xml:space="preserve">documents</w:t>
      </w:r>
    </w:p>
    <w:p>
      <w:pPr>
        <w:spacing w:after="140" w:line="280"/>
        <w:jc w:val="both"/>
      </w:pPr>
      <w:r>
        <w:rPr>
          <w:rFonts w:ascii="Arial" w:cs="Arial" w:eastAsia="Arial" w:hAnsi="Arial"/>
          <w:sz w:val="22"/>
          <w:szCs w:val="22"/>
        </w:rPr>
        <w:t xml:space="preserve">Committed source documents. Promoted from incoming_documents on commit.</w:t>
      </w:r>
    </w:p>
    <w:p>
      <w:pPr>
        <w:pStyle w:val="ListParagraph"/>
        <w:numPr>
          <w:ilvl w:val="0"/>
          <w:numId w:val="2"/>
        </w:numPr>
        <w:spacing w:after="60"/>
      </w:pPr>
      <w:r>
        <w:rPr>
          <w:rFonts w:ascii="Arial" w:cs="Arial" w:eastAsia="Arial" w:hAnsi="Arial"/>
          <w:sz w:val="22"/>
          <w:szCs w:val="22"/>
        </w:rPr>
        <w:t xml:space="preserve">id, deal_id, document_type, filename, mime_type</w:t>
      </w:r>
    </w:p>
    <w:p>
      <w:pPr>
        <w:pStyle w:val="ListParagraph"/>
        <w:numPr>
          <w:ilvl w:val="0"/>
          <w:numId w:val="2"/>
        </w:numPr>
        <w:spacing w:after="60"/>
      </w:pPr>
      <w:r>
        <w:rPr>
          <w:rFonts w:ascii="Arial" w:cs="Arial" w:eastAsia="Arial" w:hAnsi="Arial"/>
          <w:sz w:val="22"/>
          <w:szCs w:val="22"/>
        </w:rPr>
        <w:t xml:space="preserve">committed_at, committed_by</w:t>
      </w:r>
    </w:p>
    <w:p>
      <w:pPr>
        <w:pStyle w:val="ListParagraph"/>
        <w:numPr>
          <w:ilvl w:val="0"/>
          <w:numId w:val="2"/>
        </w:numPr>
        <w:spacing w:after="60"/>
      </w:pPr>
      <w:r>
        <w:rPr>
          <w:rFonts w:ascii="Arial" w:cs="Arial" w:eastAsia="Arial" w:hAnsi="Arial"/>
          <w:sz w:val="22"/>
          <w:szCs w:val="22"/>
        </w:rPr>
        <w:t xml:space="preserve">supersedes_document_id BIGINT REFERENCES documents(id)</w:t>
      </w:r>
    </w:p>
    <w:p>
      <w:pPr>
        <w:pStyle w:val="ListParagraph"/>
        <w:numPr>
          <w:ilvl w:val="0"/>
          <w:numId w:val="2"/>
        </w:numPr>
        <w:spacing w:after="60"/>
      </w:pPr>
      <w:r>
        <w:rPr>
          <w:rFonts w:ascii="Arial" w:cs="Arial" w:eastAsia="Arial" w:hAnsi="Arial"/>
          <w:sz w:val="22"/>
          <w:szCs w:val="22"/>
        </w:rPr>
        <w:t xml:space="preserve">status TEXT — active / superseded / revoked</w:t>
      </w:r>
    </w:p>
    <w:p>
      <w:pPr>
        <w:pStyle w:val="ListParagraph"/>
        <w:numPr>
          <w:ilvl w:val="0"/>
          <w:numId w:val="2"/>
        </w:numPr>
        <w:spacing w:after="60"/>
      </w:pPr>
      <w:r>
        <w:rPr>
          <w:rFonts w:ascii="Arial" w:cs="Arial" w:eastAsia="Arial" w:hAnsi="Arial"/>
          <w:sz w:val="22"/>
          <w:szCs w:val="22"/>
        </w:rPr>
        <w:t xml:space="preserve">raw_bytes OR object_store_key</w:t>
      </w:r>
    </w:p>
    <w:p>
      <w:pPr>
        <w:pStyle w:val="Heading3"/>
        <w:spacing w:after="80" w:before="180"/>
      </w:pPr>
      <w:r>
        <w:rPr>
          <w:rFonts w:ascii="Arial" w:cs="Arial" w:eastAsia="Arial" w:hAnsi="Arial"/>
          <w:b/>
          <w:bCs/>
          <w:color w:val="263849"/>
          <w:sz w:val="26"/>
          <w:szCs w:val="26"/>
        </w:rPr>
        <w:t xml:space="preserve">incoming_document_proposals</w:t>
      </w:r>
    </w:p>
    <w:p>
      <w:pPr>
        <w:pStyle w:val="ListParagraph"/>
        <w:numPr>
          <w:ilvl w:val="0"/>
          <w:numId w:val="2"/>
        </w:numPr>
        <w:spacing w:after="60"/>
      </w:pPr>
      <w:r>
        <w:rPr>
          <w:rFonts w:ascii="Arial" w:cs="Arial" w:eastAsia="Arial" w:hAnsi="Arial"/>
          <w:sz w:val="22"/>
          <w:szCs w:val="22"/>
        </w:rPr>
        <w:t xml:space="preserve">id, incoming_document_id, proposal_index</w:t>
      </w:r>
    </w:p>
    <w:p>
      <w:pPr>
        <w:pStyle w:val="ListParagraph"/>
        <w:numPr>
          <w:ilvl w:val="0"/>
          <w:numId w:val="2"/>
        </w:numPr>
        <w:spacing w:after="60"/>
      </w:pPr>
      <w:r>
        <w:rPr>
          <w:rFonts w:ascii="Arial" w:cs="Arial" w:eastAsia="Arial" w:hAnsi="Arial"/>
          <w:sz w:val="22"/>
          <w:szCs w:val="22"/>
        </w:rPr>
        <w:t xml:space="preserve">target_table TEXT, target_pk JSONB</w:t>
      </w:r>
    </w:p>
    <w:p>
      <w:pPr>
        <w:pStyle w:val="ListParagraph"/>
        <w:numPr>
          <w:ilvl w:val="0"/>
          <w:numId w:val="2"/>
        </w:numPr>
        <w:spacing w:after="60"/>
      </w:pPr>
      <w:r>
        <w:rPr>
          <w:rFonts w:ascii="Arial" w:cs="Arial" w:eastAsia="Arial" w:hAnsi="Arial"/>
          <w:sz w:val="22"/>
          <w:szCs w:val="22"/>
        </w:rPr>
        <w:t xml:space="preserve">field_changes JSONB — array of {field, old_value, new_value, confidence, evidence_citation}</w:t>
      </w:r>
    </w:p>
    <w:p>
      <w:pPr>
        <w:pStyle w:val="ListParagraph"/>
        <w:numPr>
          <w:ilvl w:val="0"/>
          <w:numId w:val="2"/>
        </w:numPr>
        <w:spacing w:after="60"/>
      </w:pPr>
      <w:r>
        <w:rPr>
          <w:rFonts w:ascii="Arial" w:cs="Arial" w:eastAsia="Arial" w:hAnsi="Arial"/>
          <w:sz w:val="22"/>
          <w:szCs w:val="22"/>
        </w:rPr>
        <w:t xml:space="preserve">supersedes_document_id BIGINT</w:t>
      </w:r>
    </w:p>
    <w:p>
      <w:pPr>
        <w:pStyle w:val="ListParagraph"/>
        <w:numPr>
          <w:ilvl w:val="0"/>
          <w:numId w:val="2"/>
        </w:numPr>
        <w:spacing w:after="60"/>
      </w:pPr>
      <w:r>
        <w:rPr>
          <w:rFonts w:ascii="Arial" w:cs="Arial" w:eastAsia="Arial" w:hAnsi="Arial"/>
          <w:sz w:val="22"/>
          <w:szCs w:val="22"/>
        </w:rPr>
        <w:t xml:space="preserve">ai_audit_log_id BIGINT REFERENCES ai_audit_logs(id)</w:t>
      </w:r>
    </w:p>
    <w:p>
      <w:pPr>
        <w:pStyle w:val="ListParagraph"/>
        <w:numPr>
          <w:ilvl w:val="0"/>
          <w:numId w:val="2"/>
        </w:numPr>
        <w:spacing w:after="60"/>
      </w:pPr>
      <w:r>
        <w:rPr>
          <w:rFonts w:ascii="Arial" w:cs="Arial" w:eastAsia="Arial" w:hAnsi="Arial"/>
          <w:sz w:val="22"/>
          <w:szCs w:val="22"/>
        </w:rPr>
        <w:t xml:space="preserve">analyst_override JSONB — final values after human review</w:t>
      </w:r>
    </w:p>
    <w:p>
      <w:pPr>
        <w:pStyle w:val="ListParagraph"/>
        <w:numPr>
          <w:ilvl w:val="0"/>
          <w:numId w:val="2"/>
        </w:numPr>
        <w:spacing w:after="60"/>
      </w:pPr>
      <w:r>
        <w:rPr>
          <w:rFonts w:ascii="Arial" w:cs="Arial" w:eastAsia="Arial" w:hAnsi="Arial"/>
          <w:sz w:val="22"/>
          <w:szCs w:val="22"/>
        </w:rPr>
        <w:t xml:space="preserve">commit_status TEXT — pending / approved / rejected</w:t>
      </w:r>
    </w:p>
    <w:p>
      <w:pPr>
        <w:pStyle w:val="Heading3"/>
        <w:spacing w:after="80" w:before="180"/>
      </w:pPr>
      <w:r>
        <w:rPr>
          <w:rFonts w:ascii="Arial" w:cs="Arial" w:eastAsia="Arial" w:hAnsi="Arial"/>
          <w:b/>
          <w:bCs/>
          <w:color w:val="263849"/>
          <w:sz w:val="26"/>
          <w:szCs w:val="26"/>
        </w:rPr>
        <w:t xml:space="preserve">document_processing_runs</w:t>
      </w:r>
    </w:p>
    <w:p>
      <w:pPr>
        <w:pStyle w:val="ListParagraph"/>
        <w:numPr>
          <w:ilvl w:val="0"/>
          <w:numId w:val="2"/>
        </w:numPr>
        <w:spacing w:after="60"/>
      </w:pPr>
      <w:r>
        <w:rPr>
          <w:rFonts w:ascii="Arial" w:cs="Arial" w:eastAsia="Arial" w:hAnsi="Arial"/>
          <w:sz w:val="22"/>
          <w:szCs w:val="22"/>
        </w:rPr>
        <w:t xml:space="preserve">id, incoming_document_id, started_at, completed_at, status</w:t>
      </w:r>
    </w:p>
    <w:p>
      <w:pPr>
        <w:pStyle w:val="ListParagraph"/>
        <w:numPr>
          <w:ilvl w:val="0"/>
          <w:numId w:val="2"/>
        </w:numPr>
        <w:spacing w:after="60"/>
      </w:pPr>
      <w:r>
        <w:rPr>
          <w:rFonts w:ascii="Arial" w:cs="Arial" w:eastAsia="Arial" w:hAnsi="Arial"/>
          <w:sz w:val="22"/>
          <w:szCs w:val="22"/>
        </w:rPr>
        <w:t xml:space="preserve">extractor TEXT, extractor_version TEXT</w:t>
      </w:r>
    </w:p>
    <w:p>
      <w:pPr>
        <w:pStyle w:val="ListParagraph"/>
        <w:numPr>
          <w:ilvl w:val="0"/>
          <w:numId w:val="2"/>
        </w:numPr>
        <w:spacing w:after="60"/>
      </w:pPr>
      <w:r>
        <w:rPr>
          <w:rFonts w:ascii="Arial" w:cs="Arial" w:eastAsia="Arial" w:hAnsi="Arial"/>
          <w:sz w:val="22"/>
          <w:szCs w:val="22"/>
        </w:rPr>
        <w:t xml:space="preserve">error_message TEXT, errors_json JSONB</w:t>
      </w:r>
    </w:p>
    <w:p>
      <w:pPr>
        <w:pStyle w:val="Heading3"/>
        <w:spacing w:after="80" w:before="180"/>
      </w:pPr>
      <w:r>
        <w:rPr>
          <w:rFonts w:ascii="Arial" w:cs="Arial" w:eastAsia="Arial" w:hAnsi="Arial"/>
          <w:b/>
          <w:bCs/>
          <w:color w:val="263849"/>
          <w:sz w:val="26"/>
          <w:szCs w:val="26"/>
        </w:rPr>
        <w:t xml:space="preserve">document_supersessions</w:t>
      </w:r>
    </w:p>
    <w:p>
      <w:pPr>
        <w:pStyle w:val="ListParagraph"/>
        <w:numPr>
          <w:ilvl w:val="0"/>
          <w:numId w:val="2"/>
        </w:numPr>
        <w:spacing w:after="60"/>
      </w:pPr>
      <w:r>
        <w:rPr>
          <w:rFonts w:ascii="Arial" w:cs="Arial" w:eastAsia="Arial" w:hAnsi="Arial"/>
          <w:sz w:val="22"/>
          <w:szCs w:val="22"/>
        </w:rPr>
        <w:t xml:space="preserve">id, superseded_document_id, superseding_document_id, superseded_at, reason</w:t>
      </w:r>
    </w:p>
    <w:p>
      <w:pPr>
        <w:pStyle w:val="Heading3"/>
        <w:spacing w:after="80" w:before="180"/>
      </w:pPr>
      <w:r>
        <w:rPr>
          <w:rFonts w:ascii="Arial" w:cs="Arial" w:eastAsia="Arial" w:hAnsi="Arial"/>
          <w:b/>
          <w:bCs/>
          <w:color w:val="263849"/>
          <w:sz w:val="26"/>
          <w:szCs w:val="26"/>
        </w:rPr>
        <w:t xml:space="preserve">evidence_citations</w:t>
      </w:r>
    </w:p>
    <w:p>
      <w:pPr>
        <w:spacing w:after="140" w:line="280"/>
        <w:jc w:val="both"/>
      </w:pPr>
      <w:r>
        <w:rPr>
          <w:rFonts w:ascii="Arial" w:cs="Arial" w:eastAsia="Arial" w:hAnsi="Arial"/>
          <w:sz w:val="22"/>
          <w:szCs w:val="22"/>
        </w:rPr>
        <w:t xml:space="preserve">Per-field evidence pointers. Written at commit time.</w:t>
      </w:r>
    </w:p>
    <w:p>
      <w:pPr>
        <w:pStyle w:val="ListParagraph"/>
        <w:numPr>
          <w:ilvl w:val="0"/>
          <w:numId w:val="2"/>
        </w:numPr>
        <w:spacing w:after="60"/>
      </w:pPr>
      <w:r>
        <w:rPr>
          <w:rFonts w:ascii="Arial" w:cs="Arial" w:eastAsia="Arial" w:hAnsi="Arial"/>
          <w:sz w:val="22"/>
          <w:szCs w:val="22"/>
        </w:rPr>
        <w:t xml:space="preserve">id, target_table, target_id, target_field</w:t>
      </w:r>
    </w:p>
    <w:p>
      <w:pPr>
        <w:pStyle w:val="ListParagraph"/>
        <w:numPr>
          <w:ilvl w:val="0"/>
          <w:numId w:val="2"/>
        </w:numPr>
        <w:spacing w:after="60"/>
      </w:pPr>
      <w:r>
        <w:rPr>
          <w:rFonts w:ascii="Arial" w:cs="Arial" w:eastAsia="Arial" w:hAnsi="Arial"/>
          <w:sz w:val="22"/>
          <w:szCs w:val="22"/>
        </w:rPr>
        <w:t xml:space="preserve">document_id, page, citation_offsets JSONB, citation_text TEXT</w:t>
      </w:r>
    </w:p>
    <w:p>
      <w:pPr>
        <w:pStyle w:val="Heading3"/>
        <w:spacing w:after="80" w:before="180"/>
      </w:pPr>
      <w:r>
        <w:rPr>
          <w:rFonts w:ascii="Arial" w:cs="Arial" w:eastAsia="Arial" w:hAnsi="Arial"/>
          <w:b/>
          <w:bCs/>
          <w:color w:val="263849"/>
          <w:sz w:val="26"/>
          <w:szCs w:val="26"/>
        </w:rPr>
        <w:t xml:space="preserve">ai_audit_logs</w:t>
      </w:r>
    </w:p>
    <w:p>
      <w:pPr>
        <w:spacing w:after="140" w:line="280"/>
        <w:jc w:val="both"/>
      </w:pPr>
      <w:r>
        <w:rPr>
          <w:rFonts w:ascii="Arial" w:cs="Arial" w:eastAsia="Arial" w:hAnsi="Arial"/>
          <w:sz w:val="22"/>
          <w:szCs w:val="22"/>
        </w:rPr>
        <w:t xml:space="preserve">Every AI-assisted extraction or proposal. Retention aligned to investor contract (typically 7+ years).</w:t>
      </w:r>
    </w:p>
    <w:p>
      <w:pPr>
        <w:pStyle w:val="ListParagraph"/>
        <w:numPr>
          <w:ilvl w:val="0"/>
          <w:numId w:val="2"/>
        </w:numPr>
        <w:spacing w:after="60"/>
      </w:pPr>
      <w:r>
        <w:rPr>
          <w:rFonts w:ascii="Arial" w:cs="Arial" w:eastAsia="Arial" w:hAnsi="Arial"/>
          <w:sz w:val="22"/>
          <w:szCs w:val="22"/>
        </w:rPr>
        <w:t xml:space="preserve">id, incoming_document_id, extractor TEXT, model_name TEXT, model_version TEXT</w:t>
      </w:r>
    </w:p>
    <w:p>
      <w:pPr>
        <w:pStyle w:val="ListParagraph"/>
        <w:numPr>
          <w:ilvl w:val="0"/>
          <w:numId w:val="2"/>
        </w:numPr>
        <w:spacing w:after="60"/>
      </w:pPr>
      <w:r>
        <w:rPr>
          <w:rFonts w:ascii="Arial" w:cs="Arial" w:eastAsia="Arial" w:hAnsi="Arial"/>
          <w:sz w:val="22"/>
          <w:szCs w:val="22"/>
        </w:rPr>
        <w:t xml:space="preserve">prompt TEXT, response JSONB, confidence NUMERIC(4,3)</w:t>
      </w:r>
    </w:p>
    <w:p>
      <w:pPr>
        <w:pStyle w:val="ListParagraph"/>
        <w:numPr>
          <w:ilvl w:val="0"/>
          <w:numId w:val="2"/>
        </w:numPr>
        <w:spacing w:after="60"/>
      </w:pPr>
      <w:r>
        <w:rPr>
          <w:rFonts w:ascii="Arial" w:cs="Arial" w:eastAsia="Arial" w:hAnsi="Arial"/>
          <w:sz w:val="22"/>
          <w:szCs w:val="22"/>
        </w:rPr>
        <w:t xml:space="preserve">processing_run_id, created_at</w:t>
      </w:r>
    </w:p>
    <w:p>
      <w:pPr>
        <w:pStyle w:val="Heading2"/>
        <w:spacing w:after="120" w:before="240"/>
      </w:pPr>
      <w:r>
        <w:rPr>
          <w:rFonts w:ascii="Arial" w:cs="Arial" w:eastAsia="Arial" w:hAnsi="Arial"/>
          <w:b/>
          <w:bCs/>
          <w:color w:val="263849"/>
          <w:sz w:val="30"/>
          <w:szCs w:val="30"/>
        </w:rPr>
        <w:t xml:space="preserve">2.13 Family: Portfolio, holdings, and FX</w:t>
      </w:r>
    </w:p>
    <w:p>
      <w:pPr>
        <w:pStyle w:val="Heading3"/>
        <w:spacing w:after="80" w:before="180"/>
      </w:pPr>
      <w:r>
        <w:rPr>
          <w:rFonts w:ascii="Arial" w:cs="Arial" w:eastAsia="Arial" w:hAnsi="Arial"/>
          <w:b/>
          <w:bCs/>
          <w:color w:val="263849"/>
          <w:sz w:val="26"/>
          <w:szCs w:val="26"/>
        </w:rPr>
        <w:t xml:space="preserve">platform_clients</w:t>
      </w:r>
    </w:p>
    <w:p>
      <w:pPr>
        <w:pStyle w:val="ListParagraph"/>
        <w:numPr>
          <w:ilvl w:val="0"/>
          <w:numId w:val="2"/>
        </w:numPr>
        <w:spacing w:after="60"/>
      </w:pPr>
      <w:r>
        <w:rPr>
          <w:rFonts w:ascii="Arial" w:cs="Arial" w:eastAsia="Arial" w:hAnsi="Arial"/>
          <w:sz w:val="22"/>
          <w:szCs w:val="22"/>
        </w:rPr>
        <w:t xml:space="preserve">id, name, slug, onboarded_at</w:t>
      </w:r>
    </w:p>
    <w:p>
      <w:pPr>
        <w:pStyle w:val="Heading3"/>
        <w:spacing w:after="80" w:before="180"/>
      </w:pPr>
      <w:r>
        <w:rPr>
          <w:rFonts w:ascii="Arial" w:cs="Arial" w:eastAsia="Arial" w:hAnsi="Arial"/>
          <w:b/>
          <w:bCs/>
          <w:color w:val="263849"/>
          <w:sz w:val="26"/>
          <w:szCs w:val="26"/>
        </w:rPr>
        <w:t xml:space="preserve">organisations</w:t>
      </w:r>
    </w:p>
    <w:p>
      <w:pPr>
        <w:pStyle w:val="ListParagraph"/>
        <w:numPr>
          <w:ilvl w:val="0"/>
          <w:numId w:val="2"/>
        </w:numPr>
        <w:spacing w:after="60"/>
      </w:pPr>
      <w:r>
        <w:rPr>
          <w:rFonts w:ascii="Arial" w:cs="Arial" w:eastAsia="Arial" w:hAnsi="Arial"/>
          <w:sz w:val="22"/>
          <w:szCs w:val="22"/>
        </w:rPr>
        <w:t xml:space="preserve">id, platform_client_id, slug, name, type — investment_manager / fund / administrator</w:t>
      </w:r>
    </w:p>
    <w:p>
      <w:pPr>
        <w:pStyle w:val="Heading3"/>
        <w:spacing w:after="80" w:before="180"/>
      </w:pPr>
      <w:r>
        <w:rPr>
          <w:rFonts w:ascii="Arial" w:cs="Arial" w:eastAsia="Arial" w:hAnsi="Arial"/>
          <w:b/>
          <w:bCs/>
          <w:color w:val="263849"/>
          <w:sz w:val="26"/>
          <w:szCs w:val="26"/>
        </w:rPr>
        <w:t xml:space="preserve">portfolio_owners</w:t>
      </w:r>
    </w:p>
    <w:p>
      <w:pPr>
        <w:pStyle w:val="ListParagraph"/>
        <w:numPr>
          <w:ilvl w:val="0"/>
          <w:numId w:val="2"/>
        </w:numPr>
        <w:spacing w:after="60"/>
      </w:pPr>
      <w:r>
        <w:rPr>
          <w:rFonts w:ascii="Arial" w:cs="Arial" w:eastAsia="Arial" w:hAnsi="Arial"/>
          <w:sz w:val="22"/>
          <w:szCs w:val="22"/>
        </w:rPr>
        <w:t xml:space="preserve">id, organisation_id, slug, name, title</w:t>
      </w:r>
    </w:p>
    <w:p>
      <w:pPr>
        <w:pStyle w:val="Heading3"/>
        <w:spacing w:after="80" w:before="180"/>
      </w:pPr>
      <w:r>
        <w:rPr>
          <w:rFonts w:ascii="Arial" w:cs="Arial" w:eastAsia="Arial" w:hAnsi="Arial"/>
          <w:b/>
          <w:bCs/>
          <w:color w:val="263849"/>
          <w:sz w:val="26"/>
          <w:szCs w:val="26"/>
        </w:rPr>
        <w:t xml:space="preserve">accounts</w:t>
      </w:r>
    </w:p>
    <w:p>
      <w:pPr>
        <w:pStyle w:val="ListParagraph"/>
        <w:numPr>
          <w:ilvl w:val="0"/>
          <w:numId w:val="2"/>
        </w:numPr>
        <w:spacing w:after="60"/>
      </w:pPr>
      <w:r>
        <w:rPr>
          <w:rFonts w:ascii="Arial" w:cs="Arial" w:eastAsia="Arial" w:hAnsi="Arial"/>
          <w:sz w:val="22"/>
          <w:szCs w:val="22"/>
        </w:rPr>
        <w:t xml:space="preserve">id, organisation_id, account_name, base_currency, strategy TEXT</w:t>
      </w:r>
    </w:p>
    <w:p>
      <w:pPr>
        <w:pStyle w:val="Heading3"/>
        <w:spacing w:after="80" w:before="180"/>
      </w:pPr>
      <w:r>
        <w:rPr>
          <w:rFonts w:ascii="Arial" w:cs="Arial" w:eastAsia="Arial" w:hAnsi="Arial"/>
          <w:b/>
          <w:bCs/>
          <w:color w:val="263849"/>
          <w:sz w:val="26"/>
          <w:szCs w:val="26"/>
        </w:rPr>
        <w:t xml:space="preserve">holdings</w:t>
      </w:r>
    </w:p>
    <w:p>
      <w:pPr>
        <w:pStyle w:val="ListParagraph"/>
        <w:numPr>
          <w:ilvl w:val="0"/>
          <w:numId w:val="2"/>
        </w:numPr>
        <w:spacing w:after="60"/>
      </w:pPr>
      <w:r>
        <w:rPr>
          <w:rFonts w:ascii="Arial" w:cs="Arial" w:eastAsia="Arial" w:hAnsi="Arial"/>
          <w:sz w:val="22"/>
          <w:szCs w:val="22"/>
        </w:rPr>
        <w:t xml:space="preserve">id, account_id, deal_id, acquired_at, acquired_price, original_face_native</w:t>
      </w:r>
    </w:p>
    <w:p>
      <w:pPr>
        <w:pStyle w:val="Heading3"/>
        <w:spacing w:after="80" w:before="180"/>
      </w:pPr>
      <w:r>
        <w:rPr>
          <w:rFonts w:ascii="Arial" w:cs="Arial" w:eastAsia="Arial" w:hAnsi="Arial"/>
          <w:b/>
          <w:bCs/>
          <w:color w:val="263849"/>
          <w:sz w:val="26"/>
          <w:szCs w:val="26"/>
        </w:rPr>
        <w:t xml:space="preserve">investor_allocations</w:t>
      </w:r>
    </w:p>
    <w:p>
      <w:pPr>
        <w:pStyle w:val="ListParagraph"/>
        <w:numPr>
          <w:ilvl w:val="0"/>
          <w:numId w:val="2"/>
        </w:numPr>
        <w:spacing w:after="60"/>
      </w:pPr>
      <w:r>
        <w:rPr>
          <w:rFonts w:ascii="Arial" w:cs="Arial" w:eastAsia="Arial" w:hAnsi="Arial"/>
          <w:sz w:val="22"/>
          <w:szCs w:val="22"/>
        </w:rPr>
        <w:t xml:space="preserve">id, holding_id, investor_name, allocation_pct, commitment_native</w:t>
      </w:r>
    </w:p>
    <w:p>
      <w:pPr>
        <w:pStyle w:val="Heading3"/>
        <w:spacing w:after="80" w:before="180"/>
      </w:pPr>
      <w:r>
        <w:rPr>
          <w:rFonts w:ascii="Arial" w:cs="Arial" w:eastAsia="Arial" w:hAnsi="Arial"/>
          <w:b/>
          <w:bCs/>
          <w:color w:val="263849"/>
          <w:sz w:val="26"/>
          <w:szCs w:val="26"/>
        </w:rPr>
        <w:t xml:space="preserve">fx_rates</w:t>
      </w:r>
    </w:p>
    <w:p>
      <w:pPr>
        <w:spacing w:after="140" w:line="280"/>
        <w:jc w:val="both"/>
      </w:pPr>
      <w:r>
        <w:rPr>
          <w:rFonts w:ascii="Arial" w:cs="Arial" w:eastAsia="Arial" w:hAnsi="Arial"/>
          <w:sz w:val="22"/>
          <w:szCs w:val="22"/>
        </w:rPr>
        <w:t xml:space="preserve">ECB-style EUR-base reference rates. Snapshot time-series.</w:t>
      </w:r>
    </w:p>
    <w:p>
      <w:pPr>
        <w:pStyle w:val="ListParagraph"/>
        <w:numPr>
          <w:ilvl w:val="0"/>
          <w:numId w:val="2"/>
        </w:numPr>
        <w:spacing w:after="60"/>
      </w:pPr>
      <w:r>
        <w:rPr>
          <w:rFonts w:ascii="Arial" w:cs="Arial" w:eastAsia="Arial" w:hAnsi="Arial"/>
          <w:sz w:val="22"/>
          <w:szCs w:val="22"/>
        </w:rPr>
        <w:t xml:space="preserve">id, as_of_date DATE, currency_code TEXT, eur_rate NUMERIC(12,7)</w:t>
      </w:r>
    </w:p>
    <w:p>
      <w:pPr>
        <w:pStyle w:val="ListParagraph"/>
        <w:numPr>
          <w:ilvl w:val="0"/>
          <w:numId w:val="2"/>
        </w:numPr>
        <w:spacing w:after="60"/>
      </w:pPr>
      <w:r>
        <w:rPr>
          <w:rFonts w:ascii="Arial" w:cs="Arial" w:eastAsia="Arial" w:hAnsi="Arial"/>
          <w:sz w:val="22"/>
          <w:szCs w:val="22"/>
        </w:rPr>
        <w:t xml:space="preserve">source TEXT — 'ECB-seed' / 'frankfurter' / manual</w:t>
      </w:r>
    </w:p>
    <w:p>
      <w:pPr>
        <w:pBdr>
          <w:left w:val="single" w:color="1F6FA5" w:sz="16" w:space="10"/>
        </w:pBdr>
        <w:spacing w:after="160" w:before="80"/>
        <w:ind w:left="200"/>
      </w:pPr>
      <w:r>
        <w:rPr>
          <w:rFonts w:ascii="Arial" w:cs="Arial" w:eastAsia="Arial" w:hAnsi="Arial"/>
          <w:i/>
          <w:iCs/>
          <w:color w:val="56718A"/>
          <w:sz w:val="22"/>
          <w:szCs w:val="22"/>
        </w:rPr>
        <w:t xml:space="preserve">Cross-rate math: amount_in_target = amount × (rate(EUR, target) / rate(EUR, source)). Rates stored and computed to 5 decimal places throughout.</w:t>
      </w:r>
    </w:p>
    <w:p>
      <w:pPr>
        <w:pStyle w:val="Heading2"/>
        <w:spacing w:after="120" w:before="240"/>
      </w:pPr>
      <w:r>
        <w:rPr>
          <w:rFonts w:ascii="Arial" w:cs="Arial" w:eastAsia="Arial" w:hAnsi="Arial"/>
          <w:b/>
          <w:bCs/>
          <w:color w:val="263849"/>
          <w:sz w:val="30"/>
          <w:szCs w:val="30"/>
        </w:rPr>
        <w:t xml:space="preserve">2.14 Family: Analytical outputs</w:t>
      </w:r>
    </w:p>
    <w:p>
      <w:pPr>
        <w:pStyle w:val="Heading3"/>
        <w:spacing w:after="80" w:before="180"/>
      </w:pPr>
      <w:r>
        <w:rPr>
          <w:rFonts w:ascii="Arial" w:cs="Arial" w:eastAsia="Arial" w:hAnsi="Arial"/>
          <w:b/>
          <w:bCs/>
          <w:color w:val="263849"/>
          <w:sz w:val="26"/>
          <w:szCs w:val="26"/>
        </w:rPr>
        <w:t xml:space="preserve">deal_assessments</w:t>
      </w:r>
    </w:p>
    <w:p>
      <w:pPr>
        <w:spacing w:after="140" w:line="280"/>
        <w:jc w:val="both"/>
      </w:pPr>
      <w:r>
        <w:rPr>
          <w:rFonts w:ascii="Arial" w:cs="Arial" w:eastAsia="Arial" w:hAnsi="Arial"/>
          <w:sz w:val="22"/>
          <w:szCs w:val="22"/>
        </w:rPr>
        <w:t xml:space="preserve">Primary Grade Engine output. One row per grade run.</w:t>
      </w:r>
    </w:p>
    <w:p>
      <w:pPr>
        <w:pStyle w:val="ListParagraph"/>
        <w:numPr>
          <w:ilvl w:val="0"/>
          <w:numId w:val="2"/>
        </w:numPr>
        <w:spacing w:after="60"/>
      </w:pPr>
      <w:r>
        <w:rPr>
          <w:rFonts w:ascii="Arial" w:cs="Arial" w:eastAsia="Arial" w:hAnsi="Arial"/>
          <w:sz w:val="22"/>
          <w:szCs w:val="22"/>
        </w:rPr>
        <w:t xml:space="preserve">id, deal_id, as_of_date, computed_grade INTEGER</w:t>
      </w:r>
    </w:p>
    <w:p>
      <w:pPr>
        <w:pStyle w:val="ListParagraph"/>
        <w:numPr>
          <w:ilvl w:val="0"/>
          <w:numId w:val="2"/>
        </w:numPr>
        <w:spacing w:after="60"/>
      </w:pPr>
      <w:r>
        <w:rPr>
          <w:rFonts w:ascii="Arial" w:cs="Arial" w:eastAsia="Arial" w:hAnsi="Arial"/>
          <w:sz w:val="22"/>
          <w:szCs w:val="22"/>
        </w:rPr>
        <w:t xml:space="preserve">dscr_value NUMERIC, dscr_headroom_pct NUMERIC(6,2)</w:t>
      </w:r>
    </w:p>
    <w:p>
      <w:pPr>
        <w:pStyle w:val="ListParagraph"/>
        <w:numPr>
          <w:ilvl w:val="0"/>
          <w:numId w:val="2"/>
        </w:numPr>
        <w:spacing w:after="60"/>
      </w:pPr>
      <w:r>
        <w:rPr>
          <w:rFonts w:ascii="Arial" w:cs="Arial" w:eastAsia="Arial" w:hAnsi="Arial"/>
          <w:sz w:val="22"/>
          <w:szCs w:val="22"/>
        </w:rPr>
        <w:t xml:space="preserve">collateral_value NUMERIC, collateral_headroom_pct NUMERIC(6,2)</w:t>
      </w:r>
    </w:p>
    <w:p>
      <w:pPr>
        <w:pStyle w:val="ListParagraph"/>
        <w:numPr>
          <w:ilvl w:val="0"/>
          <w:numId w:val="2"/>
        </w:numPr>
        <w:spacing w:after="60"/>
      </w:pPr>
      <w:r>
        <w:rPr>
          <w:rFonts w:ascii="Arial" w:cs="Arial" w:eastAsia="Arial" w:hAnsi="Arial"/>
          <w:sz w:val="22"/>
          <w:szCs w:val="22"/>
        </w:rPr>
        <w:t xml:space="preserve">trend_band TEXT</w:t>
      </w:r>
    </w:p>
    <w:p>
      <w:pPr>
        <w:pStyle w:val="ListParagraph"/>
        <w:numPr>
          <w:ilvl w:val="0"/>
          <w:numId w:val="2"/>
        </w:numPr>
        <w:spacing w:after="60"/>
      </w:pPr>
      <w:r>
        <w:rPr>
          <w:rFonts w:ascii="Arial" w:cs="Arial" w:eastAsia="Arial" w:hAnsi="Arial"/>
          <w:sz w:val="22"/>
          <w:szCs w:val="22"/>
        </w:rPr>
        <w:t xml:space="preserve">rationale TEXT</w:t>
      </w:r>
    </w:p>
    <w:p>
      <w:pPr>
        <w:pStyle w:val="Heading3"/>
        <w:spacing w:after="80" w:before="180"/>
      </w:pPr>
      <w:r>
        <w:rPr>
          <w:rFonts w:ascii="Arial" w:cs="Arial" w:eastAsia="Arial" w:hAnsi="Arial"/>
          <w:b/>
          <w:bCs/>
          <w:color w:val="263849"/>
          <w:sz w:val="26"/>
          <w:szCs w:val="26"/>
        </w:rPr>
        <w:t xml:space="preserve">performance_assessments</w:t>
      </w:r>
    </w:p>
    <w:p>
      <w:pPr>
        <w:spacing w:after="140" w:line="280"/>
        <w:jc w:val="both"/>
      </w:pPr>
      <w:r>
        <w:rPr>
          <w:rFonts w:ascii="Arial" w:cs="Arial" w:eastAsia="Arial" w:hAnsi="Arial"/>
          <w:sz w:val="22"/>
          <w:szCs w:val="22"/>
        </w:rPr>
        <w:t xml:space="preserve">Keyed on (deal_id, as_of_date). Denormalised display snapshot for the portfolio grid.</w:t>
      </w:r>
    </w:p>
    <w:p>
      <w:pPr>
        <w:pStyle w:val="Heading3"/>
        <w:spacing w:after="80" w:before="180"/>
      </w:pPr>
      <w:r>
        <w:rPr>
          <w:rFonts w:ascii="Arial" w:cs="Arial" w:eastAsia="Arial" w:hAnsi="Arial"/>
          <w:b/>
          <w:bCs/>
          <w:color w:val="263849"/>
          <w:sz w:val="26"/>
          <w:szCs w:val="26"/>
        </w:rPr>
        <w:t xml:space="preserve">trend_records</w:t>
      </w:r>
    </w:p>
    <w:p>
      <w:pPr>
        <w:spacing w:after="140" w:line="280"/>
        <w:jc w:val="both"/>
      </w:pPr>
      <w:r>
        <w:rPr>
          <w:rFonts w:ascii="Arial" w:cs="Arial" w:eastAsia="Arial" w:hAnsi="Arial"/>
          <w:sz w:val="22"/>
          <w:szCs w:val="22"/>
        </w:rPr>
        <w:t xml:space="preserve">Plan Variance Trend Engine output.</w:t>
      </w:r>
    </w:p>
    <w:p>
      <w:pPr>
        <w:pStyle w:val="ListParagraph"/>
        <w:numPr>
          <w:ilvl w:val="0"/>
          <w:numId w:val="2"/>
        </w:numPr>
        <w:spacing w:after="60"/>
      </w:pPr>
      <w:r>
        <w:rPr>
          <w:rFonts w:ascii="Arial" w:cs="Arial" w:eastAsia="Arial" w:hAnsi="Arial"/>
          <w:sz w:val="22"/>
          <w:szCs w:val="22"/>
        </w:rPr>
        <w:t xml:space="preserve">id, deal_id, as_of_date, band TEXT</w:t>
      </w:r>
    </w:p>
    <w:p>
      <w:pPr>
        <w:pStyle w:val="ListParagraph"/>
        <w:numPr>
          <w:ilvl w:val="0"/>
          <w:numId w:val="2"/>
        </w:numPr>
        <w:spacing w:after="60"/>
      </w:pPr>
      <w:r>
        <w:rPr>
          <w:rFonts w:ascii="Arial" w:cs="Arial" w:eastAsia="Arial" w:hAnsi="Arial"/>
          <w:sz w:val="22"/>
          <w:szCs w:val="22"/>
        </w:rPr>
        <w:t xml:space="preserve">delta_dscr_bps INTEGER, delta_collateral_bps INTEGER</w:t>
      </w:r>
    </w:p>
    <w:p>
      <w:pPr>
        <w:pStyle w:val="ListParagraph"/>
        <w:numPr>
          <w:ilvl w:val="0"/>
          <w:numId w:val="2"/>
        </w:numPr>
        <w:spacing w:after="60"/>
      </w:pPr>
      <w:r>
        <w:rPr>
          <w:rFonts w:ascii="Arial" w:cs="Arial" w:eastAsia="Arial" w:hAnsi="Arial"/>
          <w:sz w:val="22"/>
          <w:szCs w:val="22"/>
        </w:rPr>
        <w:t xml:space="preserve">rationale TEXT</w:t>
      </w:r>
    </w:p>
    <w:p>
      <w:pPr>
        <w:pStyle w:val="Heading3"/>
        <w:spacing w:after="80" w:before="180"/>
      </w:pPr>
      <w:r>
        <w:rPr>
          <w:rFonts w:ascii="Arial" w:cs="Arial" w:eastAsia="Arial" w:hAnsi="Arial"/>
          <w:b/>
          <w:bCs/>
          <w:color w:val="263849"/>
          <w:sz w:val="26"/>
          <w:szCs w:val="26"/>
        </w:rPr>
        <w:t xml:space="preserve">ratio_reconciliations</w:t>
      </w:r>
    </w:p>
    <w:p>
      <w:pPr>
        <w:spacing w:after="140" w:line="280"/>
        <w:jc w:val="both"/>
      </w:pPr>
      <w:r>
        <w:rPr>
          <w:rFonts w:ascii="Arial" w:cs="Arial" w:eastAsia="Arial" w:hAnsi="Arial"/>
          <w:sz w:val="22"/>
          <w:szCs w:val="22"/>
        </w:rPr>
        <w:t xml:space="preserve">Borrower-reported vs platform-computed ratios.</w:t>
      </w:r>
    </w:p>
    <w:p>
      <w:pPr>
        <w:pStyle w:val="ListParagraph"/>
        <w:numPr>
          <w:ilvl w:val="0"/>
          <w:numId w:val="2"/>
        </w:numPr>
        <w:spacing w:after="60"/>
      </w:pPr>
      <w:r>
        <w:rPr>
          <w:rFonts w:ascii="Arial" w:cs="Arial" w:eastAsia="Arial" w:hAnsi="Arial"/>
          <w:sz w:val="22"/>
          <w:szCs w:val="22"/>
        </w:rPr>
        <w:t xml:space="preserve">id, deal_id, period_id, ratio_key</w:t>
      </w:r>
    </w:p>
    <w:p>
      <w:pPr>
        <w:pStyle w:val="ListParagraph"/>
        <w:numPr>
          <w:ilvl w:val="0"/>
          <w:numId w:val="2"/>
        </w:numPr>
        <w:spacing w:after="60"/>
      </w:pPr>
      <w:r>
        <w:rPr>
          <w:rFonts w:ascii="Arial" w:cs="Arial" w:eastAsia="Arial" w:hAnsi="Arial"/>
          <w:sz w:val="22"/>
          <w:szCs w:val="22"/>
        </w:rPr>
        <w:t xml:space="preserve">borrower_value, platform_value, delta_abs, delta_pct</w:t>
      </w:r>
    </w:p>
    <w:p>
      <w:pPr>
        <w:pStyle w:val="ListParagraph"/>
        <w:numPr>
          <w:ilvl w:val="0"/>
          <w:numId w:val="2"/>
        </w:numPr>
        <w:spacing w:after="60"/>
      </w:pPr>
      <w:r>
        <w:rPr>
          <w:rFonts w:ascii="Arial" w:cs="Arial" w:eastAsia="Arial" w:hAnsi="Arial"/>
          <w:sz w:val="22"/>
          <w:szCs w:val="22"/>
        </w:rPr>
        <w:t xml:space="preserve">status TEXT — match / minor / material</w:t>
      </w:r>
    </w:p>
    <w:p>
      <w:pPr>
        <w:pStyle w:val="Heading3"/>
        <w:spacing w:after="80" w:before="180"/>
      </w:pPr>
      <w:r>
        <w:rPr>
          <w:rFonts w:ascii="Arial" w:cs="Arial" w:eastAsia="Arial" w:hAnsi="Arial"/>
          <w:b/>
          <w:bCs/>
          <w:color w:val="263849"/>
          <w:sz w:val="26"/>
          <w:szCs w:val="26"/>
        </w:rPr>
        <w:t xml:space="preserve">grade_overrides</w:t>
      </w:r>
    </w:p>
    <w:p>
      <w:pPr>
        <w:spacing w:after="140" w:line="280"/>
        <w:jc w:val="both"/>
      </w:pPr>
      <w:r>
        <w:rPr>
          <w:rFonts w:ascii="Arial" w:cs="Arial" w:eastAsia="Arial" w:hAnsi="Arial"/>
          <w:sz w:val="22"/>
          <w:szCs w:val="22"/>
        </w:rPr>
        <w:t xml:space="preserve">Manual committee pins.</w:t>
      </w:r>
    </w:p>
    <w:p>
      <w:pPr>
        <w:pStyle w:val="ListParagraph"/>
        <w:numPr>
          <w:ilvl w:val="0"/>
          <w:numId w:val="2"/>
        </w:numPr>
        <w:spacing w:after="60"/>
      </w:pPr>
      <w:r>
        <w:rPr>
          <w:rFonts w:ascii="Arial" w:cs="Arial" w:eastAsia="Arial" w:hAnsi="Arial"/>
          <w:sz w:val="22"/>
          <w:szCs w:val="22"/>
        </w:rPr>
        <w:t xml:space="preserve">id, deal_id, pinned_grade, rationale, pinned_by, pinned_at, expires_at</w:t>
      </w:r>
    </w:p>
    <w:p>
      <w:pPr>
        <w:pStyle w:val="Heading3"/>
        <w:spacing w:after="80" w:before="180"/>
      </w:pPr>
      <w:r>
        <w:rPr>
          <w:rFonts w:ascii="Arial" w:cs="Arial" w:eastAsia="Arial" w:hAnsi="Arial"/>
          <w:b/>
          <w:bCs/>
          <w:color w:val="263849"/>
          <w:sz w:val="26"/>
          <w:szCs w:val="26"/>
        </w:rPr>
        <w:t xml:space="preserve">watchlist_events</w:t>
      </w:r>
    </w:p>
    <w:p>
      <w:pPr>
        <w:pStyle w:val="ListParagraph"/>
        <w:numPr>
          <w:ilvl w:val="0"/>
          <w:numId w:val="2"/>
        </w:numPr>
        <w:spacing w:after="60"/>
      </w:pPr>
      <w:r>
        <w:rPr>
          <w:rFonts w:ascii="Arial" w:cs="Arial" w:eastAsia="Arial" w:hAnsi="Arial"/>
          <w:sz w:val="22"/>
          <w:szCs w:val="22"/>
        </w:rPr>
        <w:t xml:space="preserve">id, deal_id, event_date, direction — on / off, reason</w:t>
      </w:r>
    </w:p>
    <w:p>
      <w:pPr>
        <w:pStyle w:val="Heading3"/>
        <w:spacing w:after="80" w:before="180"/>
      </w:pPr>
      <w:r>
        <w:rPr>
          <w:rFonts w:ascii="Arial" w:cs="Arial" w:eastAsia="Arial" w:hAnsi="Arial"/>
          <w:b/>
          <w:bCs/>
          <w:color w:val="263849"/>
          <w:sz w:val="26"/>
          <w:szCs w:val="26"/>
        </w:rPr>
        <w:t xml:space="preserve">monitoring_cycles</w:t>
      </w:r>
    </w:p>
    <w:p>
      <w:pPr>
        <w:spacing w:after="140" w:line="280"/>
        <w:jc w:val="both"/>
      </w:pPr>
      <w:r>
        <w:rPr>
          <w:rFonts w:ascii="Arial" w:cs="Arial" w:eastAsia="Arial" w:hAnsi="Arial"/>
          <w:sz w:val="22"/>
          <w:szCs w:val="22"/>
        </w:rPr>
        <w:t xml:space="preserve">The M&amp;A of each quarterly/monthly monitoring pass. Drives report generation.</w:t>
      </w:r>
    </w:p>
    <w:p>
      <w:pPr>
        <w:pStyle w:val="ListParagraph"/>
        <w:numPr>
          <w:ilvl w:val="0"/>
          <w:numId w:val="2"/>
        </w:numPr>
        <w:spacing w:after="60"/>
      </w:pPr>
      <w:r>
        <w:rPr>
          <w:rFonts w:ascii="Arial" w:cs="Arial" w:eastAsia="Arial" w:hAnsi="Arial"/>
          <w:sz w:val="22"/>
          <w:szCs w:val="22"/>
        </w:rPr>
        <w:t xml:space="preserve">id, deal_id, cycle_date, status, tasks_count, alerts_count</w:t>
      </w:r>
    </w:p>
    <w:p>
      <w:pPr>
        <w:pStyle w:val="Heading3"/>
        <w:spacing w:after="80" w:before="180"/>
      </w:pPr>
      <w:r>
        <w:rPr>
          <w:rFonts w:ascii="Arial" w:cs="Arial" w:eastAsia="Arial" w:hAnsi="Arial"/>
          <w:b/>
          <w:bCs/>
          <w:color w:val="263849"/>
          <w:sz w:val="26"/>
          <w:szCs w:val="26"/>
        </w:rPr>
        <w:t xml:space="preserve">borrower_requests</w:t>
      </w:r>
    </w:p>
    <w:p>
      <w:pPr>
        <w:spacing w:after="140" w:line="280"/>
        <w:jc w:val="both"/>
      </w:pPr>
      <w:r>
        <w:rPr>
          <w:rFonts w:ascii="Arial" w:cs="Arial" w:eastAsia="Arial" w:hAnsi="Arial"/>
          <w:sz w:val="22"/>
          <w:szCs w:val="22"/>
        </w:rPr>
        <w:t xml:space="preserve">Inbox for consent/waiver/amendment asks.</w:t>
      </w:r>
    </w:p>
    <w:p>
      <w:pPr>
        <w:pStyle w:val="ListParagraph"/>
        <w:numPr>
          <w:ilvl w:val="0"/>
          <w:numId w:val="2"/>
        </w:numPr>
        <w:spacing w:after="60"/>
      </w:pPr>
      <w:r>
        <w:rPr>
          <w:rFonts w:ascii="Arial" w:cs="Arial" w:eastAsia="Arial" w:hAnsi="Arial"/>
          <w:sz w:val="22"/>
          <w:szCs w:val="22"/>
        </w:rPr>
        <w:t xml:space="preserve">id, deal_id, request_type, submitted_at, submitted_by, body, response_status, response_at, response_by</w:t>
      </w:r>
    </w:p>
    <w:p>
      <w:pPr>
        <w:pStyle w:val="Heading2"/>
        <w:spacing w:after="120" w:before="240"/>
      </w:pPr>
      <w:r>
        <w:rPr>
          <w:rFonts w:ascii="Arial" w:cs="Arial" w:eastAsia="Arial" w:hAnsi="Arial"/>
          <w:b/>
          <w:bCs/>
          <w:color w:val="263849"/>
          <w:sz w:val="30"/>
          <w:szCs w:val="30"/>
        </w:rPr>
        <w:t xml:space="preserve">2.15 Family: Workflow, notifications, activity</w:t>
      </w:r>
    </w:p>
    <w:p>
      <w:pPr>
        <w:pStyle w:val="Heading3"/>
        <w:spacing w:after="80" w:before="180"/>
      </w:pPr>
      <w:r>
        <w:rPr>
          <w:rFonts w:ascii="Arial" w:cs="Arial" w:eastAsia="Arial" w:hAnsi="Arial"/>
          <w:b/>
          <w:bCs/>
          <w:color w:val="263849"/>
          <w:sz w:val="26"/>
          <w:szCs w:val="26"/>
        </w:rPr>
        <w:t xml:space="preserve">workflow_tasks</w:t>
      </w:r>
    </w:p>
    <w:p>
      <w:pPr>
        <w:pStyle w:val="ListParagraph"/>
        <w:numPr>
          <w:ilvl w:val="0"/>
          <w:numId w:val="2"/>
        </w:numPr>
        <w:spacing w:after="60"/>
      </w:pPr>
      <w:r>
        <w:rPr>
          <w:rFonts w:ascii="Arial" w:cs="Arial" w:eastAsia="Arial" w:hAnsi="Arial"/>
          <w:sz w:val="22"/>
          <w:szCs w:val="22"/>
        </w:rPr>
        <w:t xml:space="preserve">id, deal_id, title, description, status, assignee_user_id, due_date, completed_at, completed_by</w:t>
      </w:r>
    </w:p>
    <w:p>
      <w:pPr>
        <w:pStyle w:val="Heading3"/>
        <w:spacing w:after="80" w:before="180"/>
      </w:pPr>
      <w:r>
        <w:rPr>
          <w:rFonts w:ascii="Arial" w:cs="Arial" w:eastAsia="Arial" w:hAnsi="Arial"/>
          <w:b/>
          <w:bCs/>
          <w:color w:val="263849"/>
          <w:sz w:val="26"/>
          <w:szCs w:val="26"/>
        </w:rPr>
        <w:t xml:space="preserve">compliance_cases</w:t>
      </w:r>
    </w:p>
    <w:p>
      <w:pPr>
        <w:pStyle w:val="ListParagraph"/>
        <w:numPr>
          <w:ilvl w:val="0"/>
          <w:numId w:val="2"/>
        </w:numPr>
        <w:spacing w:after="60"/>
      </w:pPr>
      <w:r>
        <w:rPr>
          <w:rFonts w:ascii="Arial" w:cs="Arial" w:eastAsia="Arial" w:hAnsi="Arial"/>
          <w:sz w:val="22"/>
          <w:szCs w:val="22"/>
        </w:rPr>
        <w:t xml:space="preserve">id, deal_id, opened_at, opened_by, case_type, status, assignee, resolution_notes, closed_at</w:t>
      </w:r>
    </w:p>
    <w:p>
      <w:pPr>
        <w:pStyle w:val="Heading3"/>
        <w:spacing w:after="80" w:before="180"/>
      </w:pPr>
      <w:r>
        <w:rPr>
          <w:rFonts w:ascii="Arial" w:cs="Arial" w:eastAsia="Arial" w:hAnsi="Arial"/>
          <w:b/>
          <w:bCs/>
          <w:color w:val="263849"/>
          <w:sz w:val="26"/>
          <w:szCs w:val="26"/>
        </w:rPr>
        <w:t xml:space="preserve">compliance_alerts</w:t>
      </w:r>
    </w:p>
    <w:p>
      <w:pPr>
        <w:pStyle w:val="ListParagraph"/>
        <w:numPr>
          <w:ilvl w:val="0"/>
          <w:numId w:val="2"/>
        </w:numPr>
        <w:spacing w:after="60"/>
      </w:pPr>
      <w:r>
        <w:rPr>
          <w:rFonts w:ascii="Arial" w:cs="Arial" w:eastAsia="Arial" w:hAnsi="Arial"/>
          <w:sz w:val="22"/>
          <w:szCs w:val="22"/>
        </w:rPr>
        <w:t xml:space="preserve">id, deal_id, alert_type, severity, message, raised_at, acknowledged_at, acknowledged_by, resolved_at</w:t>
      </w:r>
    </w:p>
    <w:p>
      <w:pPr>
        <w:pStyle w:val="Heading3"/>
        <w:spacing w:after="80" w:before="180"/>
      </w:pPr>
      <w:r>
        <w:rPr>
          <w:rFonts w:ascii="Arial" w:cs="Arial" w:eastAsia="Arial" w:hAnsi="Arial"/>
          <w:b/>
          <w:bCs/>
          <w:color w:val="263849"/>
          <w:sz w:val="26"/>
          <w:szCs w:val="26"/>
        </w:rPr>
        <w:t xml:space="preserve">review_items</w:t>
      </w:r>
    </w:p>
    <w:p>
      <w:pPr>
        <w:pStyle w:val="ListParagraph"/>
        <w:numPr>
          <w:ilvl w:val="0"/>
          <w:numId w:val="2"/>
        </w:numPr>
        <w:spacing w:after="60"/>
      </w:pPr>
      <w:r>
        <w:rPr>
          <w:rFonts w:ascii="Arial" w:cs="Arial" w:eastAsia="Arial" w:hAnsi="Arial"/>
          <w:sz w:val="22"/>
          <w:szCs w:val="22"/>
        </w:rPr>
        <w:t xml:space="preserve">id, deal_id, item_type, requested_by, requested_at, resolved_at</w:t>
      </w:r>
    </w:p>
    <w:p>
      <w:pPr>
        <w:pStyle w:val="Heading3"/>
        <w:spacing w:after="80" w:before="180"/>
      </w:pPr>
      <w:r>
        <w:rPr>
          <w:rFonts w:ascii="Arial" w:cs="Arial" w:eastAsia="Arial" w:hAnsi="Arial"/>
          <w:b/>
          <w:bCs/>
          <w:color w:val="263849"/>
          <w:sz w:val="26"/>
          <w:szCs w:val="26"/>
        </w:rPr>
        <w:t xml:space="preserve">notification_*</w:t>
      </w:r>
    </w:p>
    <w:p>
      <w:pPr>
        <w:spacing w:after="140" w:line="280"/>
        <w:jc w:val="both"/>
      </w:pPr>
      <w:r>
        <w:rPr>
          <w:rFonts w:ascii="Arial" w:cs="Arial" w:eastAsia="Arial" w:hAnsi="Arial"/>
          <w:sz w:val="22"/>
          <w:szCs w:val="22"/>
        </w:rPr>
        <w:t xml:space="preserve">A pair of tables: notifications and notification_preferences. Populated by engine side-effects and workflow transitions.</w:t>
      </w:r>
    </w:p>
    <w:p>
      <w:pPr>
        <w:pStyle w:val="Heading3"/>
        <w:spacing w:after="80" w:before="180"/>
      </w:pPr>
      <w:r>
        <w:rPr>
          <w:rFonts w:ascii="Arial" w:cs="Arial" w:eastAsia="Arial" w:hAnsi="Arial"/>
          <w:b/>
          <w:bCs/>
          <w:color w:val="263849"/>
          <w:sz w:val="26"/>
          <w:szCs w:val="26"/>
        </w:rPr>
        <w:t xml:space="preserve">activity_events</w:t>
      </w:r>
    </w:p>
    <w:p>
      <w:pPr>
        <w:spacing w:after="140" w:line="280"/>
        <w:jc w:val="both"/>
      </w:pPr>
      <w:r>
        <w:rPr>
          <w:rFonts w:ascii="Arial" w:cs="Arial" w:eastAsia="Arial" w:hAnsi="Arial"/>
          <w:sz w:val="22"/>
          <w:szCs w:val="22"/>
        </w:rPr>
        <w:t xml:space="preserve">The central activity log. Every write of note goes here.</w:t>
      </w:r>
    </w:p>
    <w:p>
      <w:pPr>
        <w:pStyle w:val="ListParagraph"/>
        <w:numPr>
          <w:ilvl w:val="0"/>
          <w:numId w:val="2"/>
        </w:numPr>
        <w:spacing w:after="60"/>
      </w:pPr>
      <w:r>
        <w:rPr>
          <w:rFonts w:ascii="Arial" w:cs="Arial" w:eastAsia="Arial" w:hAnsi="Arial"/>
          <w:sz w:val="22"/>
          <w:szCs w:val="22"/>
        </w:rPr>
        <w:t xml:space="preserve">id, deal_id, event_type, actor_user_id, actor_type — human / system / engine</w:t>
      </w:r>
    </w:p>
    <w:p>
      <w:pPr>
        <w:pStyle w:val="ListParagraph"/>
        <w:numPr>
          <w:ilvl w:val="0"/>
          <w:numId w:val="2"/>
        </w:numPr>
        <w:spacing w:after="60"/>
      </w:pPr>
      <w:r>
        <w:rPr>
          <w:rFonts w:ascii="Arial" w:cs="Arial" w:eastAsia="Arial" w:hAnsi="Arial"/>
          <w:sz w:val="22"/>
          <w:szCs w:val="22"/>
        </w:rPr>
        <w:t xml:space="preserve">occurred_at TIMESTAMPTZ, summary TEXT, details JSONB</w:t>
      </w:r>
    </w:p>
    <w:p>
      <w:pPr>
        <w:pStyle w:val="ListParagraph"/>
        <w:numPr>
          <w:ilvl w:val="0"/>
          <w:numId w:val="2"/>
        </w:numPr>
        <w:spacing w:after="60"/>
      </w:pPr>
      <w:r>
        <w:rPr>
          <w:rFonts w:ascii="Arial" w:cs="Arial" w:eastAsia="Arial" w:hAnsi="Arial"/>
          <w:sz w:val="22"/>
          <w:szCs w:val="22"/>
        </w:rPr>
        <w:t xml:space="preserve">correlation_id TEXT — ties related events together (commit group, engine cascade)</w:t>
      </w:r>
    </w:p>
    <w:p>
      <w:pPr>
        <w:pBdr>
          <w:left w:val="single" w:color="1F6FA5" w:sz="16" w:space="10"/>
        </w:pBdr>
        <w:spacing w:after="160" w:before="80"/>
        <w:ind w:left="200"/>
      </w:pPr>
      <w:r>
        <w:rPr>
          <w:rFonts w:ascii="Arial" w:cs="Arial" w:eastAsia="Arial" w:hAnsi="Arial"/>
          <w:i/>
          <w:iCs/>
          <w:color w:val="56718A"/>
          <w:sz w:val="22"/>
          <w:szCs w:val="22"/>
        </w:rPr>
        <w:t xml:space="preserve">Full event type registry is in Appendix C.</w:t>
      </w:r>
    </w:p>
    <w:p>
      <w:pPr>
        <w:pStyle w:val="Heading3"/>
        <w:spacing w:after="80" w:before="180"/>
      </w:pPr>
      <w:r>
        <w:rPr>
          <w:rFonts w:ascii="Arial" w:cs="Arial" w:eastAsia="Arial" w:hAnsi="Arial"/>
          <w:b/>
          <w:bCs/>
          <w:color w:val="263849"/>
          <w:sz w:val="26"/>
          <w:szCs w:val="26"/>
        </w:rPr>
        <w:t xml:space="preserve">platform_todos</w:t>
      </w:r>
    </w:p>
    <w:p>
      <w:pPr>
        <w:spacing w:after="140" w:line="280"/>
        <w:jc w:val="both"/>
      </w:pPr>
      <w:r>
        <w:rPr>
          <w:rFonts w:ascii="Arial" w:cs="Arial" w:eastAsia="Arial" w:hAnsi="Arial"/>
          <w:sz w:val="22"/>
          <w:szCs w:val="22"/>
        </w:rPr>
        <w:t xml:space="preserve">Ad-hoc to-do items not tied to a deal.</w:t>
      </w:r>
    </w:p>
    <w:p>
      <w:pPr>
        <w:pStyle w:val="Heading3"/>
        <w:spacing w:after="80" w:before="180"/>
      </w:pPr>
      <w:r>
        <w:rPr>
          <w:rFonts w:ascii="Arial" w:cs="Arial" w:eastAsia="Arial" w:hAnsi="Arial"/>
          <w:b/>
          <w:bCs/>
          <w:color w:val="263849"/>
          <w:sz w:val="26"/>
          <w:szCs w:val="26"/>
        </w:rPr>
        <w:t xml:space="preserve">demo_clock</w:t>
      </w:r>
    </w:p>
    <w:p>
      <w:pPr>
        <w:spacing w:after="140" w:line="280"/>
        <w:jc w:val="both"/>
      </w:pPr>
      <w:r>
        <w:rPr>
          <w:rFonts w:ascii="Arial" w:cs="Arial" w:eastAsia="Arial" w:hAnsi="Arial"/>
          <w:sz w:val="22"/>
          <w:szCs w:val="22"/>
        </w:rPr>
        <w:t xml:space="preserve">Single-row table carrying the synthetic "now" used by the demo portfolio.</w:t>
      </w:r>
    </w:p>
    <w:p>
      <w:pPr>
        <w:pStyle w:val="ListParagraph"/>
        <w:numPr>
          <w:ilvl w:val="0"/>
          <w:numId w:val="2"/>
        </w:numPr>
        <w:spacing w:after="60"/>
      </w:pPr>
      <w:r>
        <w:rPr>
          <w:rFonts w:ascii="Arial" w:cs="Arial" w:eastAsia="Arial" w:hAnsi="Arial"/>
          <w:sz w:val="22"/>
          <w:szCs w:val="22"/>
        </w:rPr>
        <w:t xml:space="preserve">id, as_of_time TIMESTAMPTZ</w:t>
      </w:r>
    </w:p>
    <w:p>
      <w:pPr>
        <w:pStyle w:val="Heading2"/>
        <w:spacing w:after="120" w:before="240"/>
      </w:pPr>
      <w:r>
        <w:rPr>
          <w:rFonts w:ascii="Arial" w:cs="Arial" w:eastAsia="Arial" w:hAnsi="Arial"/>
          <w:b/>
          <w:bCs/>
          <w:color w:val="263849"/>
          <w:sz w:val="30"/>
          <w:szCs w:val="30"/>
        </w:rPr>
        <w:t xml:space="preserve">2.16 Family: Reports, snapshots, memos</w:t>
      </w:r>
    </w:p>
    <w:p>
      <w:pPr>
        <w:pStyle w:val="Heading3"/>
        <w:spacing w:after="80" w:before="180"/>
      </w:pPr>
      <w:r>
        <w:rPr>
          <w:rFonts w:ascii="Arial" w:cs="Arial" w:eastAsia="Arial" w:hAnsi="Arial"/>
          <w:b/>
          <w:bCs/>
          <w:color w:val="263849"/>
          <w:sz w:val="26"/>
          <w:szCs w:val="26"/>
        </w:rPr>
        <w:t xml:space="preserve">report_schedules</w:t>
      </w:r>
    </w:p>
    <w:p>
      <w:pPr>
        <w:pStyle w:val="ListParagraph"/>
        <w:numPr>
          <w:ilvl w:val="0"/>
          <w:numId w:val="2"/>
        </w:numPr>
        <w:spacing w:after="60"/>
      </w:pPr>
      <w:r>
        <w:rPr>
          <w:rFonts w:ascii="Arial" w:cs="Arial" w:eastAsia="Arial" w:hAnsi="Arial"/>
          <w:sz w:val="22"/>
          <w:szCs w:val="22"/>
        </w:rPr>
        <w:t xml:space="preserve">id, deal_id, frequency, template, recipients JSONB, last_generated_at</w:t>
      </w:r>
    </w:p>
    <w:p>
      <w:pPr>
        <w:pStyle w:val="Heading3"/>
        <w:spacing w:after="80" w:before="180"/>
      </w:pPr>
      <w:r>
        <w:rPr>
          <w:rFonts w:ascii="Arial" w:cs="Arial" w:eastAsia="Arial" w:hAnsi="Arial"/>
          <w:b/>
          <w:bCs/>
          <w:color w:val="263849"/>
          <w:sz w:val="26"/>
          <w:szCs w:val="26"/>
        </w:rPr>
        <w:t xml:space="preserve">report_exports</w:t>
      </w:r>
    </w:p>
    <w:p>
      <w:pPr>
        <w:pStyle w:val="ListParagraph"/>
        <w:numPr>
          <w:ilvl w:val="0"/>
          <w:numId w:val="2"/>
        </w:numPr>
        <w:spacing w:after="60"/>
      </w:pPr>
      <w:r>
        <w:rPr>
          <w:rFonts w:ascii="Arial" w:cs="Arial" w:eastAsia="Arial" w:hAnsi="Arial"/>
          <w:sz w:val="22"/>
          <w:szCs w:val="22"/>
        </w:rPr>
        <w:t xml:space="preserve">id, schedule_id, generated_at, format, file_ref, status</w:t>
      </w:r>
    </w:p>
    <w:p>
      <w:pPr>
        <w:pStyle w:val="Heading3"/>
        <w:spacing w:after="80" w:before="180"/>
      </w:pPr>
      <w:r>
        <w:rPr>
          <w:rFonts w:ascii="Arial" w:cs="Arial" w:eastAsia="Arial" w:hAnsi="Arial"/>
          <w:b/>
          <w:bCs/>
          <w:color w:val="263849"/>
          <w:sz w:val="26"/>
          <w:szCs w:val="26"/>
        </w:rPr>
        <w:t xml:space="preserve">memo_packs</w:t>
      </w:r>
    </w:p>
    <w:p>
      <w:pPr>
        <w:pStyle w:val="ListParagraph"/>
        <w:numPr>
          <w:ilvl w:val="0"/>
          <w:numId w:val="2"/>
        </w:numPr>
        <w:spacing w:after="60"/>
      </w:pPr>
      <w:r>
        <w:rPr>
          <w:rFonts w:ascii="Arial" w:cs="Arial" w:eastAsia="Arial" w:hAnsi="Arial"/>
          <w:sz w:val="22"/>
          <w:szCs w:val="22"/>
        </w:rPr>
        <w:t xml:space="preserve">id, deal_id, pack_type — ic / quarterly / annual, generated_at, snapshot_ids INTEGER[]</w:t>
      </w:r>
    </w:p>
    <w:p>
      <w:pPr>
        <w:pStyle w:val="Heading2"/>
        <w:spacing w:after="120" w:before="240"/>
      </w:pPr>
      <w:r>
        <w:rPr>
          <w:rFonts w:ascii="Arial" w:cs="Arial" w:eastAsia="Arial" w:hAnsi="Arial"/>
          <w:b/>
          <w:bCs/>
          <w:color w:val="263849"/>
          <w:sz w:val="30"/>
          <w:szCs w:val="30"/>
        </w:rPr>
        <w:t xml:space="preserve">2.17 Family: Users, roles, entitlements</w:t>
      </w:r>
    </w:p>
    <w:p>
      <w:pPr>
        <w:pStyle w:val="Heading3"/>
        <w:spacing w:after="80" w:before="180"/>
      </w:pPr>
      <w:r>
        <w:rPr>
          <w:rFonts w:ascii="Arial" w:cs="Arial" w:eastAsia="Arial" w:hAnsi="Arial"/>
          <w:b/>
          <w:bCs/>
          <w:color w:val="263849"/>
          <w:sz w:val="26"/>
          <w:szCs w:val="26"/>
        </w:rPr>
        <w:t xml:space="preserve">app_users</w:t>
      </w:r>
    </w:p>
    <w:p>
      <w:pPr>
        <w:pStyle w:val="ListParagraph"/>
        <w:numPr>
          <w:ilvl w:val="0"/>
          <w:numId w:val="2"/>
        </w:numPr>
        <w:spacing w:after="60"/>
      </w:pPr>
      <w:r>
        <w:rPr>
          <w:rFonts w:ascii="Arial" w:cs="Arial" w:eastAsia="Arial" w:hAnsi="Arial"/>
          <w:sz w:val="22"/>
          <w:szCs w:val="22"/>
        </w:rPr>
        <w:t xml:space="preserve">id, email UNIQUE, name, organisation_id, disabled_at, last_seen_at</w:t>
      </w:r>
    </w:p>
    <w:p>
      <w:pPr>
        <w:pStyle w:val="Heading3"/>
        <w:spacing w:after="80" w:before="180"/>
      </w:pPr>
      <w:r>
        <w:rPr>
          <w:rFonts w:ascii="Arial" w:cs="Arial" w:eastAsia="Arial" w:hAnsi="Arial"/>
          <w:b/>
          <w:bCs/>
          <w:color w:val="263849"/>
          <w:sz w:val="26"/>
          <w:szCs w:val="26"/>
        </w:rPr>
        <w:t xml:space="preserve">app_roles</w:t>
      </w:r>
    </w:p>
    <w:p>
      <w:pPr>
        <w:pStyle w:val="ListParagraph"/>
        <w:numPr>
          <w:ilvl w:val="0"/>
          <w:numId w:val="2"/>
        </w:numPr>
        <w:spacing w:after="60"/>
      </w:pPr>
      <w:r>
        <w:rPr>
          <w:rFonts w:ascii="Arial" w:cs="Arial" w:eastAsia="Arial" w:hAnsi="Arial"/>
          <w:sz w:val="22"/>
          <w:szCs w:val="22"/>
        </w:rPr>
        <w:t xml:space="preserve">id, slug, name, description</w:t>
      </w:r>
    </w:p>
    <w:p>
      <w:pPr>
        <w:pStyle w:val="Heading3"/>
        <w:spacing w:after="80" w:before="180"/>
      </w:pPr>
      <w:r>
        <w:rPr>
          <w:rFonts w:ascii="Arial" w:cs="Arial" w:eastAsia="Arial" w:hAnsi="Arial"/>
          <w:b/>
          <w:bCs/>
          <w:color w:val="263849"/>
          <w:sz w:val="26"/>
          <w:szCs w:val="26"/>
        </w:rPr>
        <w:t xml:space="preserve">role_permissions</w:t>
      </w:r>
    </w:p>
    <w:p>
      <w:pPr>
        <w:pStyle w:val="ListParagraph"/>
        <w:numPr>
          <w:ilvl w:val="0"/>
          <w:numId w:val="2"/>
        </w:numPr>
        <w:spacing w:after="60"/>
      </w:pPr>
      <w:r>
        <w:rPr>
          <w:rFonts w:ascii="Arial" w:cs="Arial" w:eastAsia="Arial" w:hAnsi="Arial"/>
          <w:sz w:val="22"/>
          <w:szCs w:val="22"/>
        </w:rPr>
        <w:t xml:space="preserve">id, role_id, permission_key</w:t>
      </w:r>
    </w:p>
    <w:p>
      <w:pPr>
        <w:pStyle w:val="Heading3"/>
        <w:spacing w:after="80" w:before="180"/>
      </w:pPr>
      <w:r>
        <w:rPr>
          <w:rFonts w:ascii="Arial" w:cs="Arial" w:eastAsia="Arial" w:hAnsi="Arial"/>
          <w:b/>
          <w:bCs/>
          <w:color w:val="263849"/>
          <w:sz w:val="26"/>
          <w:szCs w:val="26"/>
        </w:rPr>
        <w:t xml:space="preserve">app_user_roles</w:t>
      </w:r>
    </w:p>
    <w:p>
      <w:pPr>
        <w:pStyle w:val="ListParagraph"/>
        <w:numPr>
          <w:ilvl w:val="0"/>
          <w:numId w:val="2"/>
        </w:numPr>
        <w:spacing w:after="60"/>
      </w:pPr>
      <w:r>
        <w:rPr>
          <w:rFonts w:ascii="Arial" w:cs="Arial" w:eastAsia="Arial" w:hAnsi="Arial"/>
          <w:sz w:val="22"/>
          <w:szCs w:val="22"/>
        </w:rPr>
        <w:t xml:space="preserve">id, user_id, role_id, granted_at, granted_by</w:t>
      </w:r>
    </w:p>
    <w:p>
      <w:pPr>
        <w:pStyle w:val="Heading3"/>
        <w:spacing w:after="80" w:before="180"/>
      </w:pPr>
      <w:r>
        <w:rPr>
          <w:rFonts w:ascii="Arial" w:cs="Arial" w:eastAsia="Arial" w:hAnsi="Arial"/>
          <w:b/>
          <w:bCs/>
          <w:color w:val="263849"/>
          <w:sz w:val="26"/>
          <w:szCs w:val="26"/>
        </w:rPr>
        <w:t xml:space="preserve">app_entitlements</w:t>
      </w:r>
    </w:p>
    <w:p>
      <w:pPr>
        <w:spacing w:after="140" w:line="280"/>
        <w:jc w:val="both"/>
      </w:pPr>
      <w:r>
        <w:rPr>
          <w:rFonts w:ascii="Arial" w:cs="Arial" w:eastAsia="Arial" w:hAnsi="Arial"/>
          <w:sz w:val="22"/>
          <w:szCs w:val="22"/>
        </w:rPr>
        <w:t xml:space="preserve">Per-user scope — which deals/organisations a user may see.</w:t>
      </w:r>
    </w:p>
    <w:p>
      <w:pPr>
        <w:pStyle w:val="ListParagraph"/>
        <w:numPr>
          <w:ilvl w:val="0"/>
          <w:numId w:val="2"/>
        </w:numPr>
        <w:spacing w:after="60"/>
      </w:pPr>
      <w:r>
        <w:rPr>
          <w:rFonts w:ascii="Arial" w:cs="Arial" w:eastAsia="Arial" w:hAnsi="Arial"/>
          <w:sz w:val="22"/>
          <w:szCs w:val="22"/>
        </w:rPr>
        <w:t xml:space="preserve">id, user_id, organisation_id — may be NULL for global access</w:t>
      </w:r>
    </w:p>
    <w:p>
      <w:pPr>
        <w:pStyle w:val="ListParagraph"/>
        <w:numPr>
          <w:ilvl w:val="0"/>
          <w:numId w:val="2"/>
        </w:numPr>
        <w:spacing w:after="60"/>
      </w:pPr>
      <w:r>
        <w:rPr>
          <w:rFonts w:ascii="Arial" w:cs="Arial" w:eastAsia="Arial" w:hAnsi="Arial"/>
          <w:sz w:val="22"/>
          <w:szCs w:val="22"/>
        </w:rPr>
        <w:t xml:space="preserve">deal_id — may be NULL for organisation-wide access</w:t>
      </w:r>
    </w:p>
    <w:p>
      <w:pPr>
        <w:pStyle w:val="ListParagraph"/>
        <w:numPr>
          <w:ilvl w:val="0"/>
          <w:numId w:val="2"/>
        </w:numPr>
        <w:spacing w:after="60"/>
      </w:pPr>
      <w:r>
        <w:rPr>
          <w:rFonts w:ascii="Arial" w:cs="Arial" w:eastAsia="Arial" w:hAnsi="Arial"/>
          <w:sz w:val="22"/>
          <w:szCs w:val="22"/>
        </w:rPr>
        <w:t xml:space="preserve">permission_level TEXT — read / comment / edit / admin</w:t>
      </w:r>
    </w:p>
    <w:p>
      <w:pPr>
        <w:pStyle w:val="Heading2"/>
        <w:spacing w:after="120" w:before="240"/>
      </w:pPr>
      <w:r>
        <w:rPr>
          <w:rFonts w:ascii="Arial" w:cs="Arial" w:eastAsia="Arial" w:hAnsi="Arial"/>
          <w:b/>
          <w:bCs/>
          <w:color w:val="263849"/>
          <w:sz w:val="30"/>
          <w:szCs w:val="30"/>
        </w:rPr>
        <w:t xml:space="preserve">2.18 Integrity and patterns</w:t>
      </w:r>
    </w:p>
    <w:p>
      <w:pPr>
        <w:pStyle w:val="Heading3"/>
        <w:spacing w:after="80" w:before="180"/>
      </w:pPr>
      <w:r>
        <w:rPr>
          <w:rFonts w:ascii="Arial" w:cs="Arial" w:eastAsia="Arial" w:hAnsi="Arial"/>
          <w:b/>
          <w:bCs/>
          <w:color w:val="263849"/>
          <w:sz w:val="26"/>
          <w:szCs w:val="26"/>
        </w:rPr>
        <w:t xml:space="preserve">Idempotency</w:t>
      </w:r>
    </w:p>
    <w:p>
      <w:pPr>
        <w:pStyle w:val="ListParagraph"/>
        <w:numPr>
          <w:ilvl w:val="0"/>
          <w:numId w:val="2"/>
        </w:numPr>
        <w:spacing w:after="60"/>
      </w:pPr>
      <w:r>
        <w:rPr>
          <w:rFonts w:ascii="Arial" w:cs="Arial" w:eastAsia="Arial" w:hAnsi="Arial"/>
          <w:sz w:val="22"/>
          <w:szCs w:val="22"/>
        </w:rPr>
        <w:t xml:space="preserve">init.sql uses CREATE TABLE IF NOT EXISTS and INSERT ... ON CONFLICT DO NOTHING. Runs once on first boot.</w:t>
      </w:r>
    </w:p>
    <w:p>
      <w:pPr>
        <w:pStyle w:val="ListParagraph"/>
        <w:numPr>
          <w:ilvl w:val="0"/>
          <w:numId w:val="2"/>
        </w:numPr>
        <w:spacing w:after="60"/>
      </w:pPr>
      <w:r>
        <w:rPr>
          <w:rFonts w:ascii="Arial" w:cs="Arial" w:eastAsia="Arial" w:hAnsi="Arial"/>
          <w:sz w:val="22"/>
          <w:szCs w:val="22"/>
        </w:rPr>
        <w:t xml:space="preserve">migrations.sql uses the same pattern plus ALTER TABLE ADD COLUMN IF NOT EXISTS. Re-runs cleanly on every deployment.</w:t>
      </w:r>
    </w:p>
    <w:p>
      <w:pPr>
        <w:pStyle w:val="Heading3"/>
        <w:spacing w:after="80" w:before="180"/>
      </w:pPr>
      <w:r>
        <w:rPr>
          <w:rFonts w:ascii="Arial" w:cs="Arial" w:eastAsia="Arial" w:hAnsi="Arial"/>
          <w:b/>
          <w:bCs/>
          <w:color w:val="263849"/>
          <w:sz w:val="26"/>
          <w:szCs w:val="26"/>
        </w:rPr>
        <w:t xml:space="preserve">Soft delete</w:t>
      </w:r>
    </w:p>
    <w:p>
      <w:pPr>
        <w:pStyle w:val="ListParagraph"/>
        <w:numPr>
          <w:ilvl w:val="0"/>
          <w:numId w:val="2"/>
        </w:numPr>
        <w:spacing w:after="60"/>
      </w:pPr>
      <w:r>
        <w:rPr>
          <w:rFonts w:ascii="Arial" w:cs="Arial" w:eastAsia="Arial" w:hAnsi="Arial"/>
          <w:sz w:val="22"/>
          <w:szCs w:val="22"/>
        </w:rPr>
        <w:t xml:space="preserve">Soft-delete via deleted_at TIMESTAMPTZ NULL.</w:t>
      </w:r>
    </w:p>
    <w:p>
      <w:pPr>
        <w:pStyle w:val="ListParagraph"/>
        <w:numPr>
          <w:ilvl w:val="0"/>
          <w:numId w:val="2"/>
        </w:numPr>
        <w:spacing w:after="60"/>
      </w:pPr>
      <w:r>
        <w:rPr>
          <w:rFonts w:ascii="Arial" w:cs="Arial" w:eastAsia="Arial" w:hAnsi="Arial"/>
          <w:sz w:val="22"/>
          <w:szCs w:val="22"/>
        </w:rPr>
        <w:t xml:space="preserve">Engine reads filter WHERE deleted_at IS NULL by default.</w:t>
      </w:r>
    </w:p>
    <w:p>
      <w:pPr>
        <w:pStyle w:val="ListParagraph"/>
        <w:numPr>
          <w:ilvl w:val="0"/>
          <w:numId w:val="2"/>
        </w:numPr>
        <w:spacing w:after="60"/>
      </w:pPr>
      <w:r>
        <w:rPr>
          <w:rFonts w:ascii="Arial" w:cs="Arial" w:eastAsia="Arial" w:hAnsi="Arial"/>
          <w:sz w:val="22"/>
          <w:szCs w:val="22"/>
        </w:rPr>
        <w:t xml:space="preserve">Hard delete only for genuinely erroneous test data.</w:t>
      </w:r>
    </w:p>
    <w:p>
      <w:pPr>
        <w:pStyle w:val="Heading3"/>
        <w:spacing w:after="80" w:before="180"/>
      </w:pPr>
      <w:r>
        <w:rPr>
          <w:rFonts w:ascii="Arial" w:cs="Arial" w:eastAsia="Arial" w:hAnsi="Arial"/>
          <w:b/>
          <w:bCs/>
          <w:color w:val="263849"/>
          <w:sz w:val="26"/>
          <w:szCs w:val="26"/>
        </w:rPr>
        <w:t xml:space="preserve">Supersession</w:t>
      </w:r>
    </w:p>
    <w:p>
      <w:pPr>
        <w:pStyle w:val="ListParagraph"/>
        <w:numPr>
          <w:ilvl w:val="0"/>
          <w:numId w:val="2"/>
        </w:numPr>
        <w:spacing w:after="60"/>
      </w:pPr>
      <w:r>
        <w:rPr>
          <w:rFonts w:ascii="Arial" w:cs="Arial" w:eastAsia="Arial" w:hAnsi="Arial"/>
          <w:sz w:val="22"/>
          <w:szCs w:val="22"/>
        </w:rPr>
        <w:t xml:space="preserve">Financial actuals and forecast items use approval_status='superseded' rather than delete.</w:t>
      </w:r>
    </w:p>
    <w:p>
      <w:pPr>
        <w:pStyle w:val="ListParagraph"/>
        <w:numPr>
          <w:ilvl w:val="0"/>
          <w:numId w:val="2"/>
        </w:numPr>
        <w:spacing w:after="60"/>
      </w:pPr>
      <w:r>
        <w:rPr>
          <w:rFonts w:ascii="Arial" w:cs="Arial" w:eastAsia="Arial" w:hAnsi="Arial"/>
          <w:sz w:val="22"/>
          <w:szCs w:val="22"/>
        </w:rPr>
        <w:t xml:space="preserve">Documents use document_supersessions chain forward.</w:t>
      </w:r>
    </w:p>
    <w:p>
      <w:pPr>
        <w:pStyle w:val="ListParagraph"/>
        <w:numPr>
          <w:ilvl w:val="0"/>
          <w:numId w:val="2"/>
        </w:numPr>
        <w:spacing w:after="60"/>
      </w:pPr>
      <w:r>
        <w:rPr>
          <w:rFonts w:ascii="Arial" w:cs="Arial" w:eastAsia="Arial" w:hAnsi="Arial"/>
          <w:sz w:val="22"/>
          <w:szCs w:val="22"/>
        </w:rPr>
        <w:t xml:space="preserve">Covenants amended via amendment → new covenant_thresholds row (active=true) + old row (active=false, deal_amendment_id set).</w:t>
      </w:r>
    </w:p>
    <w:p>
      <w:pPr>
        <w:pStyle w:val="Heading3"/>
        <w:spacing w:after="80" w:before="180"/>
      </w:pPr>
      <w:r>
        <w:rPr>
          <w:rFonts w:ascii="Arial" w:cs="Arial" w:eastAsia="Arial" w:hAnsi="Arial"/>
          <w:b/>
          <w:bCs/>
          <w:color w:val="263849"/>
          <w:sz w:val="26"/>
          <w:szCs w:val="26"/>
        </w:rPr>
        <w:t xml:space="preserve">Indexing</w:t>
      </w:r>
    </w:p>
    <w:p>
      <w:pPr>
        <w:pStyle w:val="ListParagraph"/>
        <w:numPr>
          <w:ilvl w:val="0"/>
          <w:numId w:val="2"/>
        </w:numPr>
        <w:spacing w:after="60"/>
      </w:pPr>
      <w:r>
        <w:rPr>
          <w:rFonts w:ascii="Arial" w:cs="Arial" w:eastAsia="Arial" w:hAnsi="Arial"/>
          <w:sz w:val="22"/>
          <w:szCs w:val="22"/>
        </w:rPr>
        <w:t xml:space="preserve">Every FK has an index.</w:t>
      </w:r>
    </w:p>
    <w:p>
      <w:pPr>
        <w:pStyle w:val="ListParagraph"/>
        <w:numPr>
          <w:ilvl w:val="0"/>
          <w:numId w:val="2"/>
        </w:numPr>
        <w:spacing w:after="60"/>
      </w:pPr>
      <w:r>
        <w:rPr>
          <w:rFonts w:ascii="Arial" w:cs="Arial" w:eastAsia="Arial" w:hAnsi="Arial"/>
          <w:sz w:val="22"/>
          <w:szCs w:val="22"/>
        </w:rPr>
        <w:t xml:space="preserve">deal_id is usually the leading column on a composite index for deal-scoped tables.</w:t>
      </w:r>
    </w:p>
    <w:p>
      <w:pPr>
        <w:pStyle w:val="ListParagraph"/>
        <w:numPr>
          <w:ilvl w:val="0"/>
          <w:numId w:val="2"/>
        </w:numPr>
        <w:spacing w:after="60"/>
      </w:pPr>
      <w:r>
        <w:rPr>
          <w:rFonts w:ascii="Arial" w:cs="Arial" w:eastAsia="Arial" w:hAnsi="Arial"/>
          <w:sz w:val="22"/>
          <w:szCs w:val="22"/>
        </w:rPr>
        <w:t xml:space="preserve">period_financial_items: idx(deal_id, period_id, line_key).</w:t>
      </w:r>
    </w:p>
    <w:p>
      <w:pPr>
        <w:pStyle w:val="ListParagraph"/>
        <w:numPr>
          <w:ilvl w:val="0"/>
          <w:numId w:val="2"/>
        </w:numPr>
        <w:spacing w:after="60"/>
      </w:pPr>
      <w:r>
        <w:rPr>
          <w:rFonts w:ascii="Arial" w:cs="Arial" w:eastAsia="Arial" w:hAnsi="Arial"/>
          <w:sz w:val="22"/>
          <w:szCs w:val="22"/>
        </w:rPr>
        <w:t xml:space="preserve">forecast_period_items: idx(forecast_case_version_id, line_key) + idx(line_key) for cross-deal sector analytics.</w:t>
      </w:r>
    </w:p>
    <w:p>
      <w:pPr>
        <w:pStyle w:val="ListParagraph"/>
        <w:numPr>
          <w:ilvl w:val="0"/>
          <w:numId w:val="2"/>
        </w:numPr>
        <w:spacing w:after="60"/>
      </w:pPr>
      <w:r>
        <w:rPr>
          <w:rFonts w:ascii="Arial" w:cs="Arial" w:eastAsia="Arial" w:hAnsi="Arial"/>
          <w:sz w:val="22"/>
          <w:szCs w:val="22"/>
        </w:rPr>
        <w:t xml:space="preserve">activity_events: idx(deal_id, occurred_at DESC) + idx(event_type, occurred_at DESC).</w:t>
      </w:r>
    </w:p>
    <w:p>
      <w:pPr>
        <w:pStyle w:val="Heading3"/>
        <w:spacing w:after="80" w:before="180"/>
      </w:pPr>
      <w:r>
        <w:rPr>
          <w:rFonts w:ascii="Arial" w:cs="Arial" w:eastAsia="Arial" w:hAnsi="Arial"/>
          <w:b/>
          <w:bCs/>
          <w:color w:val="263849"/>
          <w:sz w:val="26"/>
          <w:szCs w:val="26"/>
        </w:rPr>
        <w:t xml:space="preserve">Transactional boundaries</w:t>
      </w:r>
    </w:p>
    <w:p>
      <w:pPr>
        <w:pStyle w:val="ListParagraph"/>
        <w:numPr>
          <w:ilvl w:val="0"/>
          <w:numId w:val="2"/>
        </w:numPr>
        <w:spacing w:after="60"/>
      </w:pPr>
      <w:r>
        <w:rPr>
          <w:rFonts w:ascii="Arial" w:cs="Arial" w:eastAsia="Arial" w:hAnsi="Arial"/>
          <w:sz w:val="22"/>
          <w:szCs w:val="22"/>
        </w:rPr>
        <w:t xml:space="preserve">Document commit is one transaction. Engine cascades are same-transaction to preserve consistency.</w:t>
      </w:r>
    </w:p>
    <w:p>
      <w:pPr>
        <w:pStyle w:val="ListParagraph"/>
        <w:numPr>
          <w:ilvl w:val="0"/>
          <w:numId w:val="2"/>
        </w:numPr>
        <w:spacing w:after="60"/>
      </w:pPr>
      <w:r>
        <w:rPr>
          <w:rFonts w:ascii="Arial" w:cs="Arial" w:eastAsia="Arial" w:hAnsi="Arial"/>
          <w:sz w:val="22"/>
          <w:szCs w:val="22"/>
        </w:rPr>
        <w:t xml:space="preserve">Reforecast is one transaction (new version created, old marked is_active=false, refresh-impact rows written).</w:t>
      </w:r>
    </w:p>
    <w:p>
      <w:pPr>
        <w:pStyle w:val="ListParagraph"/>
        <w:numPr>
          <w:ilvl w:val="0"/>
          <w:numId w:val="2"/>
        </w:numPr>
        <w:spacing w:after="60"/>
      </w:pPr>
      <w:r>
        <w:rPr>
          <w:rFonts w:ascii="Arial" w:cs="Arial" w:eastAsia="Arial" w:hAnsi="Arial"/>
          <w:sz w:val="22"/>
          <w:szCs w:val="22"/>
        </w:rPr>
        <w:t xml:space="preserve">Read paths use READ COMMITTED. No explicit serializable isolation.</w:t>
      </w:r>
    </w:p>
    <w:p>
      <w:pPr>
        <w:pStyle w:val="Heading1"/>
        <w:pageBreakBefore/>
        <w:spacing w:after="180" w:before="240"/>
      </w:pPr>
      <w:r>
        <w:rPr>
          <w:rFonts w:ascii="Arial" w:cs="Arial" w:eastAsia="Arial" w:hAnsi="Arial"/>
          <w:b/>
          <w:bCs/>
          <w:color w:val="1F6FA5"/>
          <w:sz w:val="40"/>
          <w:szCs w:val="40"/>
        </w:rPr>
        <w:t xml:space="preserve">Part III — Financial template</w:t>
      </w:r>
    </w:p>
    <w:p>
      <w:pPr>
        <w:spacing w:after="140" w:line="280"/>
        <w:jc w:val="both"/>
      </w:pPr>
      <w:r>
        <w:rPr>
          <w:rFonts w:ascii="Arial" w:cs="Arial" w:eastAsia="Arial" w:hAnsi="Arial"/>
          <w:sz w:val="22"/>
          <w:szCs w:val="22"/>
        </w:rPr>
        <w:t xml:space="preserve">This part defines how financial data is structured inside the platform once ingested. It is distinct from Part X TopSheet, which specifies the Excel template used to carry data in. The financial template is about the shape of actuals and forecasts once they are stored.</w:t>
      </w:r>
    </w:p>
    <w:p>
      <w:pPr>
        <w:pStyle w:val="Heading2"/>
        <w:spacing w:after="120" w:before="240"/>
      </w:pPr>
      <w:r>
        <w:rPr>
          <w:rFonts w:ascii="Arial" w:cs="Arial" w:eastAsia="Arial" w:hAnsi="Arial"/>
          <w:b/>
          <w:bCs/>
          <w:color w:val="263849"/>
          <w:sz w:val="30"/>
          <w:szCs w:val="30"/>
        </w:rPr>
        <w:t xml:space="preserve">3.1 Two concepts often conflated</w:t>
      </w:r>
    </w:p>
    <w:p>
      <w:pPr>
        <w:pStyle w:val="ListParagraph"/>
        <w:numPr>
          <w:ilvl w:val="0"/>
          <w:numId w:val="2"/>
        </w:numPr>
        <w:spacing w:after="60"/>
      </w:pPr>
      <w:r>
        <w:rPr>
          <w:rFonts w:ascii="Arial" w:cs="Arial" w:eastAsia="Arial" w:hAnsi="Arial"/>
          <w:b/>
          <w:bCs/>
          <w:sz w:val="22"/>
          <w:szCs w:val="22"/>
        </w:rPr>
        <w:t xml:space="preserve">TopSheet Excel template: </w:t>
      </w:r>
      <w:r>
        <w:rPr>
          <w:rFonts w:ascii="Arial" w:cs="Arial" w:eastAsia="Arial" w:hAnsi="Arial"/>
          <w:sz w:val="22"/>
          <w:szCs w:val="22"/>
        </w:rPr>
        <w:t xml:space="preserve">the 26-tab Excel workbook for onboarding and update. Covered in Part X.</w:t>
      </w:r>
    </w:p>
    <w:p>
      <w:pPr>
        <w:pStyle w:val="ListParagraph"/>
        <w:numPr>
          <w:ilvl w:val="0"/>
          <w:numId w:val="2"/>
        </w:numPr>
        <w:spacing w:after="60"/>
      </w:pPr>
      <w:r>
        <w:rPr>
          <w:rFonts w:ascii="Arial" w:cs="Arial" w:eastAsia="Arial" w:hAnsi="Arial"/>
          <w:b/>
          <w:bCs/>
          <w:sz w:val="22"/>
          <w:szCs w:val="22"/>
        </w:rPr>
        <w:t xml:space="preserve">Financial template: </w:t>
      </w:r>
      <w:r>
        <w:rPr>
          <w:rFonts w:ascii="Arial" w:cs="Arial" w:eastAsia="Arial" w:hAnsi="Arial"/>
          <w:sz w:val="22"/>
          <w:szCs w:val="22"/>
        </w:rPr>
        <w:t xml:space="preserve">the 67-row generic cashflow model + sector sub-templates + covenant ratios + Moody's ratios that define the chart of accounts once data is inside the platform. This part.</w:t>
      </w:r>
    </w:p>
    <w:p>
      <w:pPr>
        <w:pStyle w:val="Heading2"/>
        <w:spacing w:after="120" w:before="240"/>
      </w:pPr>
      <w:r>
        <w:rPr>
          <w:rFonts w:ascii="Arial" w:cs="Arial" w:eastAsia="Arial" w:hAnsi="Arial"/>
          <w:b/>
          <w:bCs/>
          <w:color w:val="263849"/>
          <w:sz w:val="30"/>
          <w:szCs w:val="30"/>
        </w:rPr>
        <w:t xml:space="preserve">3.2 Line items are deal-specific at ingestion</w:t>
      </w:r>
    </w:p>
    <w:p>
      <w:pPr>
        <w:spacing w:after="140" w:line="280"/>
        <w:jc w:val="both"/>
      </w:pPr>
      <w:r>
        <w:rPr>
          <w:rFonts w:ascii="Arial" w:cs="Arial" w:eastAsia="Arial" w:hAnsi="Arial"/>
          <w:sz w:val="22"/>
          <w:szCs w:val="22"/>
        </w:rPr>
        <w:t xml:space="preserve">By user direction: line items will likely be deal-specific with common elements. Default labels and set membership are applied at ingestion based on the sector template, then overridden per-deal via deal_line_item_labels where the deal's reporting doesn't match the default exactly.</w:t>
      </w:r>
    </w:p>
    <w:p>
      <w:pPr>
        <w:spacing w:after="140" w:line="280"/>
        <w:jc w:val="both"/>
      </w:pPr>
      <w:r>
        <w:rPr>
          <w:rFonts w:ascii="Arial" w:cs="Arial" w:eastAsia="Arial" w:hAnsi="Arial"/>
          <w:sz w:val="22"/>
          <w:szCs w:val="22"/>
        </w:rPr>
        <w:t xml:space="preserve">The same logic applies to covenant thresholds: default thresholds are proposed from the sector template during ingestion, then the analyst adjusts them before commit. There is no platform-enforced global set — the sector defaults are starting points.</w:t>
      </w:r>
    </w:p>
    <w:p>
      <w:pPr>
        <w:pBdr>
          <w:left w:val="single" w:color="1F6FA5" w:sz="16" w:space="10"/>
        </w:pBdr>
        <w:spacing w:after="160" w:before="80"/>
        <w:ind w:left="200"/>
      </w:pPr>
      <w:r>
        <w:rPr>
          <w:rFonts w:ascii="Arial" w:cs="Arial" w:eastAsia="Arial" w:hAnsi="Arial"/>
          <w:i/>
          <w:iCs/>
          <w:color w:val="56718A"/>
          <w:sz w:val="22"/>
          <w:szCs w:val="22"/>
        </w:rPr>
        <w:t xml:space="preserve">Practical consequence: during proposal review, the TopSheet parser shows the analyst the sector default for every line and every covenant threshold, and they accept, amend, or remove per-deal. The committed deal_line_item_labels and covenant_thresholds rows then represent the deal's actual structure.</w:t>
      </w:r>
    </w:p>
    <w:p>
      <w:pPr>
        <w:pStyle w:val="Heading2"/>
        <w:spacing w:after="120" w:before="240"/>
      </w:pPr>
      <w:r>
        <w:rPr>
          <w:rFonts w:ascii="Arial" w:cs="Arial" w:eastAsia="Arial" w:hAnsi="Arial"/>
          <w:b/>
          <w:bCs/>
          <w:color w:val="263849"/>
          <w:sz w:val="30"/>
          <w:szCs w:val="30"/>
        </w:rPr>
        <w:t xml:space="preserve">3.3 The generic cashflow model — 67 rows</w:t>
      </w:r>
    </w:p>
    <w:p>
      <w:pPr>
        <w:spacing w:after="140" w:line="280"/>
        <w:jc w:val="both"/>
      </w:pPr>
      <w:r>
        <w:rPr>
          <w:rFonts w:ascii="Arial" w:cs="Arial" w:eastAsia="Arial" w:hAnsi="Arial"/>
          <w:sz w:val="22"/>
          <w:szCs w:val="22"/>
        </w:rPr>
        <w:t xml:space="preserve">The generic cashflow model is the common skeleton underpinning every sector. All 67 rows exist in line_item_definitions and can be instantiated for any deal; the sector sub-template suggests which subset applies.</w:t>
      </w:r>
    </w:p>
    <w:p>
      <w:pPr>
        <w:pStyle w:val="Heading3"/>
        <w:spacing w:after="80" w:before="180"/>
      </w:pPr>
      <w:r>
        <w:rPr>
          <w:rFonts w:ascii="Arial" w:cs="Arial" w:eastAsia="Arial" w:hAnsi="Arial"/>
          <w:b/>
          <w:bCs/>
          <w:color w:val="263849"/>
          <w:sz w:val="26"/>
          <w:szCs w:val="26"/>
        </w:rPr>
        <w:t xml:space="preserve">Section 1 — Revenue (rows 1–10)</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960"/>
      </w:tblGrid>
      <w:tr>
        <w:trPr>
          <w:tblHeader/>
        </w:trPr>
        <w:tc>
          <w:tcPr>
            <w:tcW w:type="dxa" w:w="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line_key</w:t>
            </w:r>
          </w:p>
        </w:tc>
        <w:tc>
          <w:tcPr>
            <w:tcW w:type="dxa" w:w="5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Typical meaning</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revenue_primary_contracted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Long-term contracted revenue (PPA, availability payment, lease rent)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revenue_primary_uncontracted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Merchant / spot-market exposure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revenue_availability_based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Availability payment net of deductions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revenue_performance_based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Performance-linked payments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revenue_regulated_rab</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Asset Base revenue where applicable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revenue_inflation_linked_component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Portion of revenue indexed to inflation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revenue_other_sector_specific</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Sector-specific revenue (landing fees, curtailment credits, CfD CFD settlement)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revenue_intersegment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Cross-segment transfers where deal is multi-segment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9</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revenue_deductions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Rebates, refunds, contractual penalties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revenue_total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sum of rows 1–9</w:t>
            </w:r>
          </w:p>
        </w:tc>
      </w:tr>
    </w:tbl>
    <w:p>
      <w:pPr>
        <w:pStyle w:val="Heading3"/>
        <w:spacing w:after="80" w:before="180"/>
      </w:pPr>
      <w:r>
        <w:rPr>
          <w:rFonts w:ascii="Arial" w:cs="Arial" w:eastAsia="Arial" w:hAnsi="Arial"/>
          <w:b/>
          <w:bCs/>
          <w:color w:val="263849"/>
          <w:sz w:val="26"/>
          <w:szCs w:val="26"/>
        </w:rPr>
        <w:t xml:space="preserve">Section 2 — Operating costs (rows 11–26)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960"/>
      </w:tblGrid>
      <w:tr>
        <w:trPr>
          <w:tblHeader/>
        </w:trPr>
        <w:tc>
          <w:tcPr>
            <w:tcW w:type="dxa" w:w="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line_key</w:t>
            </w:r>
          </w:p>
        </w:tc>
        <w:tc>
          <w:tcPr>
            <w:tcW w:type="dxa" w:w="5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Typical meaning</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opex_om_fixed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Fixed component of O&amp;M contract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opex_om_variable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Variable component linked to production/output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opex_power_cost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Energy purchased (e.g. data centre), grid charges, network access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opex_feedstock_fuel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Fuel or feedstock inputs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opex_insurance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Property, operational, BI, liability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opex_lease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Land lease, equipment lease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opex_staff</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Internal staff costs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18</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opex_property_taxes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Local property / concession taxes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19</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opex_mra_contribution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Maintenance reserve contribution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opex_management_fees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Management / administration fees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opex_it_telecoms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IT and telecoms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opex_professional_fees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Legal, audit, advisory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opex_regulatory_fees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body levies, licence fees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opex_other_sector_specific</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Sector-specific opex (pavement treatment, marine insurance, etc.)</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opex_indexation_adjustment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True-up for indexation vs base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opex_total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sum of rows 11–25</w:t>
            </w:r>
          </w:p>
        </w:tc>
      </w:tr>
    </w:tbl>
    <w:p>
      <w:pPr>
        <w:pStyle w:val="Heading3"/>
        <w:spacing w:after="80" w:before="180"/>
      </w:pPr>
      <w:r>
        <w:rPr>
          <w:rFonts w:ascii="Arial" w:cs="Arial" w:eastAsia="Arial" w:hAnsi="Arial"/>
          <w:b/>
          <w:bCs/>
          <w:color w:val="263849"/>
          <w:sz w:val="26"/>
          <w:szCs w:val="26"/>
        </w:rPr>
        <w:t xml:space="preserve">Section 3 — EBITDA build (rows 27–31)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960"/>
      </w:tblGrid>
      <w:tr>
        <w:trPr>
          <w:tblHeader/>
        </w:trPr>
        <w:tc>
          <w:tcPr>
            <w:tcW w:type="dxa" w:w="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line_key</w:t>
            </w:r>
          </w:p>
        </w:tc>
        <w:tc>
          <w:tcPr>
            <w:tcW w:type="dxa" w:w="5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Typical meaning</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revenue_total - opex_total</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28</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depreciation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29</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amortisation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ebitda - depreciation - amortisation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ebitda_margin_pct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ebitda / revenue_total</w:t>
            </w:r>
          </w:p>
        </w:tc>
      </w:tr>
    </w:tbl>
    <w:p>
      <w:pPr>
        <w:pStyle w:val="Heading3"/>
        <w:spacing w:after="80" w:before="180"/>
      </w:pPr>
      <w:r>
        <w:rPr>
          <w:rFonts w:ascii="Arial" w:cs="Arial" w:eastAsia="Arial" w:hAnsi="Arial"/>
          <w:b/>
          <w:bCs/>
          <w:color w:val="263849"/>
          <w:sz w:val="26"/>
          <w:szCs w:val="26"/>
        </w:rPr>
        <w:t xml:space="preserve">Section 4 — Working capital + tax (rows 32–40)</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960"/>
      </w:tblGrid>
      <w:tr>
        <w:trPr>
          <w:tblHeader/>
        </w:trPr>
        <w:tc>
          <w:tcPr>
            <w:tcW w:type="dxa" w:w="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line_key</w:t>
            </w:r>
          </w:p>
        </w:tc>
        <w:tc>
          <w:tcPr>
            <w:tcW w:type="dxa" w:w="5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Typical meaning</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wc_receivables_mov</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Change in receivables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wc_payables_mov</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Change in payables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wc_inventory_mov</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Change in inventory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tax_paid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tax_losses_used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interest_received_reserves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Interest on cash reserve balances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38</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non_cash_adjustments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39</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cfads_pre_maintenance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maintenance_capex</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3"/>
        <w:spacing w:after="80" w:before="180"/>
      </w:pPr>
      <w:r>
        <w:rPr>
          <w:rFonts w:ascii="Arial" w:cs="Arial" w:eastAsia="Arial" w:hAnsi="Arial"/>
          <w:b/>
          <w:bCs/>
          <w:color w:val="263849"/>
          <w:sz w:val="26"/>
          <w:szCs w:val="26"/>
        </w:rPr>
        <w:t xml:space="preserve">Section 5 — CFADS and debt service (rows 41–55)</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960"/>
      </w:tblGrid>
      <w:tr>
        <w:trPr>
          <w:tblHeader/>
        </w:trPr>
        <w:tc>
          <w:tcPr>
            <w:tcW w:type="dxa" w:w="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line_key</w:t>
            </w:r>
          </w:p>
        </w:tc>
        <w:tc>
          <w:tcPr>
            <w:tcW w:type="dxa" w:w="5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Typical meaning</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cfads_post_maintenance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cfads_pre_maintenance - maintenance_capex. Numerator of DSCR.</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senior_interest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senior_principal_scheduled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senior_principal_prepayment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senior_commitment_fee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mezz_interest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mezz_principal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48</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shareholder_loan_interest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49</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shareholder_loan_principal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total_debt_service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rows 42 + 43 + 44 + 45 + 46 + 47 (mezz included per ratio_level)</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row 41 / row 50</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cash_sweep</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distributions_equity</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distribution_lockup_flag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 — true if distributions blocked this period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excess_cash_retained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3"/>
        <w:spacing w:after="80" w:before="180"/>
      </w:pPr>
      <w:r>
        <w:rPr>
          <w:rFonts w:ascii="Arial" w:cs="Arial" w:eastAsia="Arial" w:hAnsi="Arial"/>
          <w:b/>
          <w:bCs/>
          <w:color w:val="263849"/>
          <w:sz w:val="26"/>
          <w:szCs w:val="26"/>
        </w:rPr>
        <w:t xml:space="preserve">Section 6 — Reserves and balance sheet (rows 56–67)</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960"/>
      </w:tblGrid>
      <w:tr>
        <w:trPr>
          <w:tblHeader/>
        </w:trPr>
        <w:tc>
          <w:tcPr>
            <w:tcW w:type="dxa" w:w="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line_key</w:t>
            </w:r>
          </w:p>
        </w:tc>
        <w:tc>
          <w:tcPr>
            <w:tcW w:type="dxa" w:w="5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Typical meaning</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dsra_opening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dsra_contribution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58</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dsra_withdrawal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59</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dsra_closing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mra_opening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mra_contribution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mra_withdrawal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mra_closing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cash_opening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cash_movement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cash_closing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net_debt_closing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 drawn debt - cash_closing - reserves</w:t>
            </w:r>
          </w:p>
        </w:tc>
      </w:tr>
    </w:tbl>
    <w:p>
      <w:pPr>
        <w:pStyle w:val="Heading2"/>
        <w:spacing w:after="120" w:before="240"/>
      </w:pPr>
      <w:r>
        <w:rPr>
          <w:rFonts w:ascii="Arial" w:cs="Arial" w:eastAsia="Arial" w:hAnsi="Arial"/>
          <w:b/>
          <w:bCs/>
          <w:color w:val="263849"/>
          <w:sz w:val="30"/>
          <w:szCs w:val="30"/>
        </w:rPr>
        <w:t xml:space="preserve">3.4 Sector sub-templates</w:t>
      </w:r>
    </w:p>
    <w:p>
      <w:pPr>
        <w:spacing w:after="140" w:line="280"/>
        <w:jc w:val="both"/>
      </w:pPr>
      <w:r>
        <w:rPr>
          <w:rFonts w:ascii="Arial" w:cs="Arial" w:eastAsia="Arial" w:hAnsi="Arial"/>
          <w:sz w:val="22"/>
          <w:szCs w:val="22"/>
        </w:rPr>
        <w:t xml:space="preserve">Each sector has a sub-template that (a) selects the relevant subset of the 67 generic rows, (b) adds sector-specific KPI rows (sector_kpi_1 … sector_kpi_n), and (c) proposes a default covenant set. The following table lists the eight sectors and summarises each.</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Current state: only the project finance sector sub-template (the infrastructure/PF variant used for airports, toll roads, ports, rail, OWF, solar) is fully wired end-to-end. Data-centre and real-estate sector templates have partial coverage; social_infrastructure and clean_tech_hub are stub-level. This is a known outstanding item — the rebuild should complete the non-PF sector templates with an analyst-reviewed set of default line items and covenant thresholds.</w:t>
      </w:r>
    </w:p>
    <w:p>
      <w:pPr>
        <w:pBdr>
          <w:left w:val="single" w:color="C8821F" w:sz="16" w:space="10"/>
        </w:pBdr>
        <w:spacing w:after="160" w:before="80"/>
        <w:ind w:left="200"/>
      </w:pPr>
      <w:r>
        <w:rPr>
          <w:rFonts w:ascii="Arial" w:cs="Arial" w:eastAsia="Arial" w:hAnsi="Arial"/>
          <w:b/>
          <w:bCs/>
          <w:color w:val="C8821F"/>
          <w:sz w:val="22"/>
          <w:szCs w:val="22"/>
        </w:rPr>
        <w:t xml:space="preserve">ASSUMPTION — Claude — </w:t>
      </w:r>
      <w:r>
        <w:rPr>
          <w:rFonts w:ascii="Arial" w:cs="Arial" w:eastAsia="Arial" w:hAnsi="Arial"/>
          <w:color w:val="263849"/>
          <w:sz w:val="22"/>
          <w:szCs w:val="22"/>
        </w:rPr>
        <w:t xml:space="preserve">For this document I am describing what each sector template is intended to contain, based on what is in the code today plus industry-standard shape. A subject-matter reviewer should pin down the exact default line set and thresholds for each non-PF sector.</w:t>
      </w:r>
    </w:p>
    <w:p>
      <w:pPr>
        <w:pStyle w:val="Heading3"/>
        <w:spacing w:after="80" w:before="180"/>
      </w:pPr>
      <w:r>
        <w:rPr>
          <w:rFonts w:ascii="Arial" w:cs="Arial" w:eastAsia="Arial" w:hAnsi="Arial"/>
          <w:b/>
          <w:bCs/>
          <w:color w:val="263849"/>
          <w:sz w:val="26"/>
          <w:szCs w:val="26"/>
        </w:rPr>
        <w:t xml:space="preserve">3.4.1 data_centre</w:t>
      </w:r>
    </w:p>
    <w:p>
      <w:pPr>
        <w:pStyle w:val="ListParagraph"/>
        <w:numPr>
          <w:ilvl w:val="0"/>
          <w:numId w:val="2"/>
        </w:numPr>
        <w:spacing w:after="60"/>
      </w:pPr>
      <w:r>
        <w:rPr>
          <w:rFonts w:ascii="Arial" w:cs="Arial" w:eastAsia="Arial" w:hAnsi="Arial"/>
          <w:sz w:val="22"/>
          <w:szCs w:val="22"/>
        </w:rPr>
        <w:t xml:space="preserve">Revenue structure: primary contracted (tenant MSA) dominant, some merchant exposure on spot colocation.</w:t>
      </w:r>
    </w:p>
    <w:p>
      <w:pPr>
        <w:pStyle w:val="ListParagraph"/>
        <w:numPr>
          <w:ilvl w:val="0"/>
          <w:numId w:val="2"/>
        </w:numPr>
        <w:spacing w:after="60"/>
      </w:pPr>
      <w:r>
        <w:rPr>
          <w:rFonts w:ascii="Arial" w:cs="Arial" w:eastAsia="Arial" w:hAnsi="Arial"/>
          <w:sz w:val="22"/>
          <w:szCs w:val="22"/>
        </w:rPr>
        <w:t xml:space="preserve">Key opex: opex_power_cost (PUE-adjusted), opex_om_fixed, opex_om_variable, opex_it_telecoms, opex_management_fees.</w:t>
      </w:r>
    </w:p>
    <w:p>
      <w:pPr>
        <w:pStyle w:val="ListParagraph"/>
        <w:numPr>
          <w:ilvl w:val="0"/>
          <w:numId w:val="2"/>
        </w:numPr>
        <w:spacing w:after="60"/>
      </w:pPr>
      <w:r>
        <w:rPr>
          <w:rFonts w:ascii="Arial" w:cs="Arial" w:eastAsia="Arial" w:hAnsi="Arial"/>
          <w:sz w:val="22"/>
          <w:szCs w:val="22"/>
        </w:rPr>
        <w:t xml:space="preserve">KPIs (sector_kpi_1..5): contracted capacity MW, utilisation %, PUE ratio, tenant revenue per MW, churn rate %.</w:t>
      </w:r>
    </w:p>
    <w:p>
      <w:pPr>
        <w:pStyle w:val="ListParagraph"/>
        <w:numPr>
          <w:ilvl w:val="0"/>
          <w:numId w:val="2"/>
        </w:numPr>
        <w:spacing w:after="60"/>
      </w:pPr>
      <w:r>
        <w:rPr>
          <w:rFonts w:ascii="Arial" w:cs="Arial" w:eastAsia="Arial" w:hAnsi="Arial"/>
          <w:sz w:val="22"/>
          <w:szCs w:val="22"/>
        </w:rPr>
        <w:t xml:space="preserve">Default covenants: Historic DSCR, Forward DSCR (4Q rolling), LLCR, LTV, DSRA minimum.</w:t>
      </w:r>
    </w:p>
    <w:p>
      <w:pPr>
        <w:pStyle w:val="Heading3"/>
        <w:spacing w:after="80" w:before="180"/>
      </w:pPr>
      <w:r>
        <w:rPr>
          <w:rFonts w:ascii="Arial" w:cs="Arial" w:eastAsia="Arial" w:hAnsi="Arial"/>
          <w:b/>
          <w:bCs/>
          <w:color w:val="263849"/>
          <w:sz w:val="26"/>
          <w:szCs w:val="26"/>
        </w:rPr>
        <w:t xml:space="preserve">3.4.2 wind_farm</w:t>
      </w:r>
    </w:p>
    <w:p>
      <w:pPr>
        <w:pStyle w:val="ListParagraph"/>
        <w:numPr>
          <w:ilvl w:val="0"/>
          <w:numId w:val="2"/>
        </w:numPr>
        <w:spacing w:after="60"/>
      </w:pPr>
      <w:r>
        <w:rPr>
          <w:rFonts w:ascii="Arial" w:cs="Arial" w:eastAsia="Arial" w:hAnsi="Arial"/>
          <w:sz w:val="22"/>
          <w:szCs w:val="22"/>
        </w:rPr>
        <w:t xml:space="preserve">Revenue: CfD component + merchant component; inflation-linked CfD strike.</w:t>
      </w:r>
    </w:p>
    <w:p>
      <w:pPr>
        <w:pStyle w:val="ListParagraph"/>
        <w:numPr>
          <w:ilvl w:val="0"/>
          <w:numId w:val="2"/>
        </w:numPr>
        <w:spacing w:after="60"/>
      </w:pPr>
      <w:r>
        <w:rPr>
          <w:rFonts w:ascii="Arial" w:cs="Arial" w:eastAsia="Arial" w:hAnsi="Arial"/>
          <w:sz w:val="22"/>
          <w:szCs w:val="22"/>
        </w:rPr>
        <w:t xml:space="preserve">Key opex: opex_om_fixed (long-term service agreement), opex_insurance (cable + blade), opex_lease (seabed).</w:t>
      </w:r>
    </w:p>
    <w:p>
      <w:pPr>
        <w:pStyle w:val="ListParagraph"/>
        <w:numPr>
          <w:ilvl w:val="0"/>
          <w:numId w:val="2"/>
        </w:numPr>
        <w:spacing w:after="60"/>
      </w:pPr>
      <w:r>
        <w:rPr>
          <w:rFonts w:ascii="Arial" w:cs="Arial" w:eastAsia="Arial" w:hAnsi="Arial"/>
          <w:sz w:val="22"/>
          <w:szCs w:val="22"/>
        </w:rPr>
        <w:t xml:space="preserve">KPIs (sector_kpi_1..6): generation (GWh), capacity factor %, availability %, carbon intensity gCO2/kWh, O&amp;M cost per MW, unscheduled downtime hours.</w:t>
      </w:r>
    </w:p>
    <w:p>
      <w:pPr>
        <w:pStyle w:val="ListParagraph"/>
        <w:numPr>
          <w:ilvl w:val="0"/>
          <w:numId w:val="2"/>
        </w:numPr>
        <w:spacing w:after="60"/>
      </w:pPr>
      <w:r>
        <w:rPr>
          <w:rFonts w:ascii="Arial" w:cs="Arial" w:eastAsia="Arial" w:hAnsi="Arial"/>
          <w:sz w:val="22"/>
          <w:szCs w:val="22"/>
        </w:rPr>
        <w:t xml:space="preserve">Default covenants: Backward DSCR, Forward DSCR, LLCR, PLCR, Gearing, DSRA, MRA, carbon intensity ESG SPT.</w:t>
      </w:r>
    </w:p>
    <w:p>
      <w:pPr>
        <w:pStyle w:val="Heading3"/>
        <w:spacing w:after="80" w:before="180"/>
      </w:pPr>
      <w:r>
        <w:rPr>
          <w:rFonts w:ascii="Arial" w:cs="Arial" w:eastAsia="Arial" w:hAnsi="Arial"/>
          <w:b/>
          <w:bCs/>
          <w:color w:val="263849"/>
          <w:sz w:val="26"/>
          <w:szCs w:val="26"/>
        </w:rPr>
        <w:t xml:space="preserve">3.4.3 port</w:t>
      </w:r>
    </w:p>
    <w:p>
      <w:pPr>
        <w:pStyle w:val="ListParagraph"/>
        <w:numPr>
          <w:ilvl w:val="0"/>
          <w:numId w:val="2"/>
        </w:numPr>
        <w:spacing w:after="60"/>
      </w:pPr>
      <w:r>
        <w:rPr>
          <w:rFonts w:ascii="Arial" w:cs="Arial" w:eastAsia="Arial" w:hAnsi="Arial"/>
          <w:sz w:val="22"/>
          <w:szCs w:val="22"/>
        </w:rPr>
        <w:t xml:space="preserve">Revenue: throughput fees (per TEU), storage, ancillary services.</w:t>
      </w:r>
    </w:p>
    <w:p>
      <w:pPr>
        <w:pStyle w:val="ListParagraph"/>
        <w:numPr>
          <w:ilvl w:val="0"/>
          <w:numId w:val="2"/>
        </w:numPr>
        <w:spacing w:after="60"/>
      </w:pPr>
      <w:r>
        <w:rPr>
          <w:rFonts w:ascii="Arial" w:cs="Arial" w:eastAsia="Arial" w:hAnsi="Arial"/>
          <w:sz w:val="22"/>
          <w:szCs w:val="22"/>
        </w:rPr>
        <w:t xml:space="preserve">Key opex: opex_om_fixed, opex_property_taxes (concession fee), opex_other_sector_specific (marine insurance).</w:t>
      </w:r>
    </w:p>
    <w:p>
      <w:pPr>
        <w:pStyle w:val="ListParagraph"/>
        <w:numPr>
          <w:ilvl w:val="0"/>
          <w:numId w:val="2"/>
        </w:numPr>
        <w:spacing w:after="60"/>
      </w:pPr>
      <w:r>
        <w:rPr>
          <w:rFonts w:ascii="Arial" w:cs="Arial" w:eastAsia="Arial" w:hAnsi="Arial"/>
          <w:sz w:val="22"/>
          <w:szCs w:val="22"/>
        </w:rPr>
        <w:t xml:space="preserve">KPIs: throughput TEU, average rate per TEU, occupancy %, turnaround hours, top-offtaker concentration.</w:t>
      </w:r>
    </w:p>
    <w:p>
      <w:pPr>
        <w:pStyle w:val="ListParagraph"/>
        <w:numPr>
          <w:ilvl w:val="0"/>
          <w:numId w:val="2"/>
        </w:numPr>
        <w:spacing w:after="60"/>
      </w:pPr>
      <w:r>
        <w:rPr>
          <w:rFonts w:ascii="Arial" w:cs="Arial" w:eastAsia="Arial" w:hAnsi="Arial"/>
          <w:sz w:val="22"/>
          <w:szCs w:val="22"/>
        </w:rPr>
        <w:t xml:space="preserve">Default covenants: Backward DSCR, Net Debt / EBITDA, LTV, concentration covenant.</w:t>
      </w:r>
    </w:p>
    <w:p>
      <w:pPr>
        <w:pStyle w:val="Heading3"/>
        <w:spacing w:after="80" w:before="180"/>
      </w:pPr>
      <w:r>
        <w:rPr>
          <w:rFonts w:ascii="Arial" w:cs="Arial" w:eastAsia="Arial" w:hAnsi="Arial"/>
          <w:b/>
          <w:bCs/>
          <w:color w:val="263849"/>
          <w:sz w:val="26"/>
          <w:szCs w:val="26"/>
        </w:rPr>
        <w:t xml:space="preserve">3.4.4 airport (project finance / infrastructure variant) — primary fully-wired template</w:t>
      </w:r>
    </w:p>
    <w:p>
      <w:pPr>
        <w:pStyle w:val="ListParagraph"/>
        <w:numPr>
          <w:ilvl w:val="0"/>
          <w:numId w:val="2"/>
        </w:numPr>
        <w:spacing w:after="60"/>
      </w:pPr>
      <w:r>
        <w:rPr>
          <w:rFonts w:ascii="Arial" w:cs="Arial" w:eastAsia="Arial" w:hAnsi="Arial"/>
          <w:sz w:val="22"/>
          <w:szCs w:val="22"/>
        </w:rPr>
        <w:t xml:space="preserve">Revenue: aero (per passenger), non-aero (retail rents, F&amp;B, car parks).</w:t>
      </w:r>
    </w:p>
    <w:p>
      <w:pPr>
        <w:pStyle w:val="ListParagraph"/>
        <w:numPr>
          <w:ilvl w:val="0"/>
          <w:numId w:val="2"/>
        </w:numPr>
        <w:spacing w:after="60"/>
      </w:pPr>
      <w:r>
        <w:rPr>
          <w:rFonts w:ascii="Arial" w:cs="Arial" w:eastAsia="Arial" w:hAnsi="Arial"/>
          <w:sz w:val="22"/>
          <w:szCs w:val="22"/>
        </w:rPr>
        <w:t xml:space="preserve">Key opex: opex_staff, opex_om_fixed, opex_insurance, opex_property_taxes.</w:t>
      </w:r>
    </w:p>
    <w:p>
      <w:pPr>
        <w:pStyle w:val="ListParagraph"/>
        <w:numPr>
          <w:ilvl w:val="0"/>
          <w:numId w:val="2"/>
        </w:numPr>
        <w:spacing w:after="60"/>
      </w:pPr>
      <w:r>
        <w:rPr>
          <w:rFonts w:ascii="Arial" w:cs="Arial" w:eastAsia="Arial" w:hAnsi="Arial"/>
          <w:sz w:val="22"/>
          <w:szCs w:val="22"/>
        </w:rPr>
        <w:t xml:space="preserve">KPIs (Gatwick example, sector_kpi_1..5): passengers (millions), aero revenue/pax, non-aero revenue/pax, EBITDA/pax, cost/pax.</w:t>
      </w:r>
    </w:p>
    <w:p>
      <w:pPr>
        <w:pStyle w:val="ListParagraph"/>
        <w:numPr>
          <w:ilvl w:val="0"/>
          <w:numId w:val="2"/>
        </w:numPr>
        <w:spacing w:after="60"/>
      </w:pPr>
      <w:r>
        <w:rPr>
          <w:rFonts w:ascii="Arial" w:cs="Arial" w:eastAsia="Arial" w:hAnsi="Arial"/>
          <w:sz w:val="22"/>
          <w:szCs w:val="22"/>
        </w:rPr>
        <w:t xml:space="preserve">Default covenants: Senior DSCR, ICR, Net Debt / EBITDA, RAR where regulated, passenger-reporting information covenant.</w:t>
      </w:r>
    </w:p>
    <w:p>
      <w:pPr>
        <w:pBdr>
          <w:left w:val="single" w:color="1F6FA5" w:sz="16" w:space="10"/>
        </w:pBdr>
        <w:spacing w:after="160" w:before="80"/>
        <w:ind w:left="200"/>
      </w:pPr>
      <w:r>
        <w:rPr>
          <w:rFonts w:ascii="Arial" w:cs="Arial" w:eastAsia="Arial" w:hAnsi="Arial"/>
          <w:i/>
          <w:iCs/>
          <w:color w:val="56718A"/>
          <w:sz w:val="22"/>
          <w:szCs w:val="22"/>
        </w:rPr>
        <w:t xml:space="preserve">This is the sector sub-template that is fully exercised today. Gatwick is the worked example throughout the platform.</w:t>
      </w:r>
    </w:p>
    <w:p>
      <w:pPr>
        <w:pStyle w:val="Heading3"/>
        <w:spacing w:after="80" w:before="180"/>
      </w:pPr>
      <w:r>
        <w:rPr>
          <w:rFonts w:ascii="Arial" w:cs="Arial" w:eastAsia="Arial" w:hAnsi="Arial"/>
          <w:b/>
          <w:bCs/>
          <w:color w:val="263849"/>
          <w:sz w:val="26"/>
          <w:szCs w:val="26"/>
        </w:rPr>
        <w:t xml:space="preserve">3.4.5 toll_road</w:t>
      </w:r>
    </w:p>
    <w:p>
      <w:pPr>
        <w:pStyle w:val="ListParagraph"/>
        <w:numPr>
          <w:ilvl w:val="0"/>
          <w:numId w:val="2"/>
        </w:numPr>
        <w:spacing w:after="60"/>
      </w:pPr>
      <w:r>
        <w:rPr>
          <w:rFonts w:ascii="Arial" w:cs="Arial" w:eastAsia="Arial" w:hAnsi="Arial"/>
          <w:sz w:val="22"/>
          <w:szCs w:val="22"/>
        </w:rPr>
        <w:t xml:space="preserve">Revenue: toll revenue (per vehicle per class), availability payments where applicable.</w:t>
      </w:r>
    </w:p>
    <w:p>
      <w:pPr>
        <w:pStyle w:val="ListParagraph"/>
        <w:numPr>
          <w:ilvl w:val="0"/>
          <w:numId w:val="2"/>
        </w:numPr>
        <w:spacing w:after="60"/>
      </w:pPr>
      <w:r>
        <w:rPr>
          <w:rFonts w:ascii="Arial" w:cs="Arial" w:eastAsia="Arial" w:hAnsi="Arial"/>
          <w:sz w:val="22"/>
          <w:szCs w:val="22"/>
        </w:rPr>
        <w:t xml:space="preserve">Key opex: opex_om_fixed (lane and pavement), opex_other_sector_specific (pavement lifecycle).</w:t>
      </w:r>
    </w:p>
    <w:p>
      <w:pPr>
        <w:pStyle w:val="ListParagraph"/>
        <w:numPr>
          <w:ilvl w:val="0"/>
          <w:numId w:val="2"/>
        </w:numPr>
        <w:spacing w:after="60"/>
      </w:pPr>
      <w:r>
        <w:rPr>
          <w:rFonts w:ascii="Arial" w:cs="Arial" w:eastAsia="Arial" w:hAnsi="Arial"/>
          <w:sz w:val="22"/>
          <w:szCs w:val="22"/>
        </w:rPr>
        <w:t xml:space="preserve">KPIs: traffic volume, average toll, class mix, heavy-vehicle share, pavement condition index.</w:t>
      </w:r>
    </w:p>
    <w:p>
      <w:pPr>
        <w:pStyle w:val="ListParagraph"/>
        <w:numPr>
          <w:ilvl w:val="0"/>
          <w:numId w:val="2"/>
        </w:numPr>
        <w:spacing w:after="60"/>
      </w:pPr>
      <w:r>
        <w:rPr>
          <w:rFonts w:ascii="Arial" w:cs="Arial" w:eastAsia="Arial" w:hAnsi="Arial"/>
          <w:sz w:val="22"/>
          <w:szCs w:val="22"/>
        </w:rPr>
        <w:t xml:space="preserve">Default covenants: Backward DSCR, PLCR, MRA funded, traffic reporting.</w:t>
      </w:r>
    </w:p>
    <w:p>
      <w:pPr>
        <w:pStyle w:val="Heading3"/>
        <w:spacing w:after="80" w:before="180"/>
      </w:pPr>
      <w:r>
        <w:rPr>
          <w:rFonts w:ascii="Arial" w:cs="Arial" w:eastAsia="Arial" w:hAnsi="Arial"/>
          <w:b/>
          <w:bCs/>
          <w:color w:val="263849"/>
          <w:sz w:val="26"/>
          <w:szCs w:val="26"/>
        </w:rPr>
        <w:t xml:space="preserve">3.4.6 social_infrastructure</w:t>
      </w:r>
    </w:p>
    <w:p>
      <w:pPr>
        <w:pStyle w:val="ListParagraph"/>
        <w:numPr>
          <w:ilvl w:val="0"/>
          <w:numId w:val="2"/>
        </w:numPr>
        <w:spacing w:after="60"/>
      </w:pPr>
      <w:r>
        <w:rPr>
          <w:rFonts w:ascii="Arial" w:cs="Arial" w:eastAsia="Arial" w:hAnsi="Arial"/>
          <w:sz w:val="22"/>
          <w:szCs w:val="22"/>
        </w:rPr>
        <w:t xml:space="preserve">Revenue: availability payment with deduction regime.</w:t>
      </w:r>
    </w:p>
    <w:p>
      <w:pPr>
        <w:pStyle w:val="ListParagraph"/>
        <w:numPr>
          <w:ilvl w:val="0"/>
          <w:numId w:val="2"/>
        </w:numPr>
        <w:spacing w:after="60"/>
      </w:pPr>
      <w:r>
        <w:rPr>
          <w:rFonts w:ascii="Arial" w:cs="Arial" w:eastAsia="Arial" w:hAnsi="Arial"/>
          <w:sz w:val="22"/>
          <w:szCs w:val="22"/>
        </w:rPr>
        <w:t xml:space="preserve">Key opex: opex_om_fixed, lifecycle capex.</w:t>
      </w:r>
    </w:p>
    <w:p>
      <w:pPr>
        <w:pStyle w:val="ListParagraph"/>
        <w:numPr>
          <w:ilvl w:val="0"/>
          <w:numId w:val="2"/>
        </w:numPr>
        <w:spacing w:after="60"/>
      </w:pPr>
      <w:r>
        <w:rPr>
          <w:rFonts w:ascii="Arial" w:cs="Arial" w:eastAsia="Arial" w:hAnsi="Arial"/>
          <w:sz w:val="22"/>
          <w:szCs w:val="22"/>
        </w:rPr>
        <w:t xml:space="preserve">KPIs: availability %, deduction events, payment mechanism score.</w:t>
      </w:r>
    </w:p>
    <w:p>
      <w:pPr>
        <w:pStyle w:val="ListParagraph"/>
        <w:numPr>
          <w:ilvl w:val="0"/>
          <w:numId w:val="2"/>
        </w:numPr>
        <w:spacing w:after="60"/>
      </w:pPr>
      <w:r>
        <w:rPr>
          <w:rFonts w:ascii="Arial" w:cs="Arial" w:eastAsia="Arial" w:hAnsi="Arial"/>
          <w:sz w:val="22"/>
          <w:szCs w:val="22"/>
        </w:rPr>
        <w:t xml:space="preserve">Default covenants: Backward DSCR, ACR, MRA funded.</w:t>
      </w:r>
    </w:p>
    <w:p>
      <w:pPr>
        <w:pStyle w:val="Heading3"/>
        <w:spacing w:after="80" w:before="180"/>
      </w:pPr>
      <w:r>
        <w:rPr>
          <w:rFonts w:ascii="Arial" w:cs="Arial" w:eastAsia="Arial" w:hAnsi="Arial"/>
          <w:b/>
          <w:bCs/>
          <w:color w:val="263849"/>
          <w:sz w:val="26"/>
          <w:szCs w:val="26"/>
        </w:rPr>
        <w:t xml:space="preserve">3.4.7 real_estate</w:t>
      </w:r>
    </w:p>
    <w:p>
      <w:pPr>
        <w:pStyle w:val="ListParagraph"/>
        <w:numPr>
          <w:ilvl w:val="0"/>
          <w:numId w:val="2"/>
        </w:numPr>
        <w:spacing w:after="60"/>
      </w:pPr>
      <w:r>
        <w:rPr>
          <w:rFonts w:ascii="Arial" w:cs="Arial" w:eastAsia="Arial" w:hAnsi="Arial"/>
          <w:sz w:val="22"/>
          <w:szCs w:val="22"/>
        </w:rPr>
        <w:t xml:space="preserve">Revenue: rental income, service charge recovery.</w:t>
      </w:r>
    </w:p>
    <w:p>
      <w:pPr>
        <w:pStyle w:val="ListParagraph"/>
        <w:numPr>
          <w:ilvl w:val="0"/>
          <w:numId w:val="2"/>
        </w:numPr>
        <w:spacing w:after="60"/>
      </w:pPr>
      <w:r>
        <w:rPr>
          <w:rFonts w:ascii="Arial" w:cs="Arial" w:eastAsia="Arial" w:hAnsi="Arial"/>
          <w:sz w:val="22"/>
          <w:szCs w:val="22"/>
        </w:rPr>
        <w:t xml:space="preserve">Key opex: opex_om_fixed (property management), opex_property_taxes, opex_insurance, capex (EPC retrofit).</w:t>
      </w:r>
    </w:p>
    <w:p>
      <w:pPr>
        <w:pStyle w:val="ListParagraph"/>
        <w:numPr>
          <w:ilvl w:val="0"/>
          <w:numId w:val="2"/>
        </w:numPr>
        <w:spacing w:after="60"/>
      </w:pPr>
      <w:r>
        <w:rPr>
          <w:rFonts w:ascii="Arial" w:cs="Arial" w:eastAsia="Arial" w:hAnsi="Arial"/>
          <w:sz w:val="22"/>
          <w:szCs w:val="22"/>
        </w:rPr>
        <w:t xml:space="preserve">KPIs: occupancy %, average rent, lease WAULT, EPC rating distribution, arrears %.</w:t>
      </w:r>
    </w:p>
    <w:p>
      <w:pPr>
        <w:pStyle w:val="ListParagraph"/>
        <w:numPr>
          <w:ilvl w:val="0"/>
          <w:numId w:val="2"/>
        </w:numPr>
        <w:spacing w:after="60"/>
      </w:pPr>
      <w:r>
        <w:rPr>
          <w:rFonts w:ascii="Arial" w:cs="Arial" w:eastAsia="Arial" w:hAnsi="Arial"/>
          <w:sz w:val="22"/>
          <w:szCs w:val="22"/>
        </w:rPr>
        <w:t xml:space="preserve">Default covenants: ICR, DSCR, LTV, occupancy, EPC compliance (information).</w:t>
      </w:r>
    </w:p>
    <w:p>
      <w:pPr>
        <w:pStyle w:val="Heading3"/>
        <w:spacing w:after="80" w:before="180"/>
      </w:pPr>
      <w:r>
        <w:rPr>
          <w:rFonts w:ascii="Arial" w:cs="Arial" w:eastAsia="Arial" w:hAnsi="Arial"/>
          <w:b/>
          <w:bCs/>
          <w:color w:val="263849"/>
          <w:sz w:val="26"/>
          <w:szCs w:val="26"/>
        </w:rPr>
        <w:t xml:space="preserve">3.4.8 clean_tech_hub</w:t>
      </w:r>
    </w:p>
    <w:p>
      <w:pPr>
        <w:pStyle w:val="ListParagraph"/>
        <w:numPr>
          <w:ilvl w:val="0"/>
          <w:numId w:val="2"/>
        </w:numPr>
        <w:spacing w:after="60"/>
      </w:pPr>
      <w:r>
        <w:rPr>
          <w:rFonts w:ascii="Arial" w:cs="Arial" w:eastAsia="Arial" w:hAnsi="Arial"/>
          <w:sz w:val="22"/>
          <w:szCs w:val="22"/>
        </w:rPr>
        <w:t xml:space="preserve">Revenue: offtake from hydrogen, battery storage, carbon credits.</w:t>
      </w:r>
    </w:p>
    <w:p>
      <w:pPr>
        <w:pStyle w:val="ListParagraph"/>
        <w:numPr>
          <w:ilvl w:val="0"/>
          <w:numId w:val="2"/>
        </w:numPr>
        <w:spacing w:after="60"/>
      </w:pPr>
      <w:r>
        <w:rPr>
          <w:rFonts w:ascii="Arial" w:cs="Arial" w:eastAsia="Arial" w:hAnsi="Arial"/>
          <w:sz w:val="22"/>
          <w:szCs w:val="22"/>
        </w:rPr>
        <w:t xml:space="preserve">Key opex: opex_feedstock_fuel, grid charges, opex_om_fixed.</w:t>
      </w:r>
    </w:p>
    <w:p>
      <w:pPr>
        <w:pStyle w:val="ListParagraph"/>
        <w:numPr>
          <w:ilvl w:val="0"/>
          <w:numId w:val="2"/>
        </w:numPr>
        <w:spacing w:after="60"/>
      </w:pPr>
      <w:r>
        <w:rPr>
          <w:rFonts w:ascii="Arial" w:cs="Arial" w:eastAsia="Arial" w:hAnsi="Arial"/>
          <w:sz w:val="22"/>
          <w:szCs w:val="22"/>
        </w:rPr>
        <w:t xml:space="preserve">KPIs: output (tonnes H2 or MWh), grid export, carbon credit revenue per tonne abated.</w:t>
      </w:r>
    </w:p>
    <w:p>
      <w:pPr>
        <w:pStyle w:val="ListParagraph"/>
        <w:numPr>
          <w:ilvl w:val="0"/>
          <w:numId w:val="2"/>
        </w:numPr>
        <w:spacing w:after="60"/>
      </w:pPr>
      <w:r>
        <w:rPr>
          <w:rFonts w:ascii="Arial" w:cs="Arial" w:eastAsia="Arial" w:hAnsi="Arial"/>
          <w:sz w:val="22"/>
          <w:szCs w:val="22"/>
        </w:rPr>
        <w:t xml:space="preserve">Default covenants: Backward DSCR, LLCR, LTV.</w:t>
      </w:r>
    </w:p>
    <w:p>
      <w:pPr>
        <w:pStyle w:val="Heading2"/>
        <w:spacing w:after="120" w:before="240"/>
      </w:pPr>
      <w:r>
        <w:rPr>
          <w:rFonts w:ascii="Arial" w:cs="Arial" w:eastAsia="Arial" w:hAnsi="Arial"/>
          <w:b/>
          <w:bCs/>
          <w:color w:val="263849"/>
          <w:sz w:val="30"/>
          <w:szCs w:val="30"/>
        </w:rPr>
        <w:t xml:space="preserve">3.5 The 21 covenant ratios</w:t>
      </w:r>
    </w:p>
    <w:p>
      <w:pPr>
        <w:spacing w:after="140" w:line="280"/>
        <w:jc w:val="both"/>
      </w:pPr>
      <w:r>
        <w:rPr>
          <w:rFonts w:ascii="Arial" w:cs="Arial" w:eastAsia="Arial" w:hAnsi="Arial"/>
          <w:sz w:val="22"/>
          <w:szCs w:val="22"/>
        </w:rPr>
        <w:t xml:space="preserve">The platform supports 21 covenant ratios. Not every deal uses every one; the sector sub-template selects a subset and the TopSheet override refines. Full formulas are in Part IV and Appendix B.</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Direction</w:t>
            </w:r>
          </w:p>
        </w:tc>
        <w:tc>
          <w:tcPr>
            <w:tcW w:type="dxa" w:w="5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Formula sketch</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Historic DSCR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CFADS / Total Debt Service (backward period)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Forward DSCR (FLDSCR)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Projected CFADS / Projected DS (forward period)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Average DSCR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DSCR over remaining tenor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Minimum DSCR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 DSCR over remaining tenor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LLCR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NPV(project CFADS to debt maturity) / Outstanding debt. Discount at cost of debt at IC.</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NPV(project CFADS to end of life) / Outstanding debt. Discount at cost of debt at IC.</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Average LLCR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LLCR over tenor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Average PLCR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PLCR over tenor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Adjusted net cashflow / Interest only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 / Net Interest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PMICR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 - maintenance capex) / Interest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 Interest Cover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Operating cashflow / Cash interest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LTV</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Outstanding debt / Asset value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Average LTV</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LTV over tenor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Outstanding debt / Project cost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Gearing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Debt / (Debt + Equity)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Net Debt / EBITDA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(Debt - Cash) / EBITDA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Debt / RCF</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debt / Retained cashflow</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FFO / Net Debt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Funds from operations / Net debt (Moody's)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RCF / Net Debt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Retained cashflow / Net debt (Moody's)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ADSCR Break-Even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 haircut at which FLDSCR = 1.00×</w:t>
            </w:r>
          </w:p>
        </w:tc>
      </w:tr>
    </w:tbl>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Exact formulas — especially NPV tail treatment for LLCR/PLCR and the precise adjustment list for AICR — are outstanding. User direction: use cost of debt at IC as the discount rate. Final pinned formulas will be added to Appendix B.</w:t>
      </w:r>
    </w:p>
    <w:p>
      <w:pPr>
        <w:pStyle w:val="Heading2"/>
        <w:spacing w:after="120" w:before="240"/>
      </w:pPr>
      <w:r>
        <w:rPr>
          <w:rFonts w:ascii="Arial" w:cs="Arial" w:eastAsia="Arial" w:hAnsi="Arial"/>
          <w:b/>
          <w:bCs/>
          <w:color w:val="263849"/>
          <w:sz w:val="30"/>
          <w:szCs w:val="30"/>
        </w:rPr>
        <w:t xml:space="preserve">3.6 Moody's ratio pack</w:t>
      </w:r>
    </w:p>
    <w:p>
      <w:pPr>
        <w:spacing w:after="140" w:line="280"/>
        <w:jc w:val="both"/>
      </w:pPr>
      <w:r>
        <w:rPr>
          <w:rFonts w:ascii="Arial" w:cs="Arial" w:eastAsia="Arial" w:hAnsi="Arial"/>
          <w:sz w:val="22"/>
          <w:szCs w:val="22"/>
        </w:rPr>
        <w:t xml:space="preserve">Twelve Moody's-methodology ratios are tracked where the deal is externally rated or internally rated on Moody's scale. Full definitions in Appendix A.</w:t>
      </w:r>
    </w:p>
    <w:p>
      <w:pPr>
        <w:pStyle w:val="ListParagraph"/>
        <w:numPr>
          <w:ilvl w:val="0"/>
          <w:numId w:val="2"/>
        </w:numPr>
        <w:spacing w:after="60"/>
      </w:pPr>
      <w:r>
        <w:rPr>
          <w:rFonts w:ascii="Arial" w:cs="Arial" w:eastAsia="Arial" w:hAnsi="Arial"/>
          <w:sz w:val="22"/>
          <w:szCs w:val="22"/>
        </w:rPr>
        <w:t xml:space="preserve">FFO / Net Debt, RCF / Net Debt (leverage)</w:t>
      </w:r>
    </w:p>
    <w:p>
      <w:pPr>
        <w:pStyle w:val="ListParagraph"/>
        <w:numPr>
          <w:ilvl w:val="0"/>
          <w:numId w:val="2"/>
        </w:numPr>
        <w:spacing w:after="60"/>
      </w:pPr>
      <w:r>
        <w:rPr>
          <w:rFonts w:ascii="Arial" w:cs="Arial" w:eastAsia="Arial" w:hAnsi="Arial"/>
          <w:sz w:val="22"/>
          <w:szCs w:val="22"/>
        </w:rPr>
        <w:t xml:space="preserve">AICR, Total DSCR, Cash Interest Cover (interest cover)</w:t>
      </w:r>
    </w:p>
    <w:p>
      <w:pPr>
        <w:pStyle w:val="ListParagraph"/>
        <w:numPr>
          <w:ilvl w:val="0"/>
          <w:numId w:val="2"/>
        </w:numPr>
        <w:spacing w:after="60"/>
      </w:pPr>
      <w:r>
        <w:rPr>
          <w:rFonts w:ascii="Arial" w:cs="Arial" w:eastAsia="Arial" w:hAnsi="Arial"/>
          <w:sz w:val="22"/>
          <w:szCs w:val="22"/>
        </w:rPr>
        <w:t xml:space="preserve">Avg DSCR, Min DSCR (cash cover over tenor)</w:t>
      </w:r>
    </w:p>
    <w:p>
      <w:pPr>
        <w:pStyle w:val="ListParagraph"/>
        <w:numPr>
          <w:ilvl w:val="0"/>
          <w:numId w:val="2"/>
        </w:numPr>
        <w:spacing w:after="60"/>
      </w:pPr>
      <w:r>
        <w:rPr>
          <w:rFonts w:ascii="Arial" w:cs="Arial" w:eastAsia="Arial" w:hAnsi="Arial"/>
          <w:sz w:val="22"/>
          <w:szCs w:val="22"/>
        </w:rPr>
        <w:t xml:space="preserve">Avg LLCR, Avg PLCR (life cover)</w:t>
      </w:r>
    </w:p>
    <w:p>
      <w:pPr>
        <w:pStyle w:val="ListParagraph"/>
        <w:numPr>
          <w:ilvl w:val="0"/>
          <w:numId w:val="2"/>
        </w:numPr>
        <w:spacing w:after="60"/>
      </w:pPr>
      <w:r>
        <w:rPr>
          <w:rFonts w:ascii="Arial" w:cs="Arial" w:eastAsia="Arial" w:hAnsi="Arial"/>
          <w:sz w:val="22"/>
          <w:szCs w:val="22"/>
        </w:rPr>
        <w:t xml:space="preserve">Avg LTV, Debt / RCF (leverage over tenor)</w:t>
      </w:r>
    </w:p>
    <w:p>
      <w:pPr>
        <w:pStyle w:val="ListParagraph"/>
        <w:numPr>
          <w:ilvl w:val="0"/>
          <w:numId w:val="2"/>
        </w:numPr>
        <w:spacing w:after="60"/>
      </w:pPr>
      <w:r>
        <w:rPr>
          <w:rFonts w:ascii="Arial" w:cs="Arial" w:eastAsia="Arial" w:hAnsi="Arial"/>
          <w:sz w:val="22"/>
          <w:szCs w:val="22"/>
        </w:rPr>
        <w:t xml:space="preserve">ADSCR Break-Even (stress headroom)</w:t>
      </w:r>
    </w:p>
    <w:p>
      <w:pPr>
        <w:pStyle w:val="Heading2"/>
        <w:spacing w:after="120" w:before="240"/>
      </w:pPr>
      <w:r>
        <w:rPr>
          <w:rFonts w:ascii="Arial" w:cs="Arial" w:eastAsia="Arial" w:hAnsi="Arial"/>
          <w:b/>
          <w:bCs/>
          <w:color w:val="263849"/>
          <w:sz w:val="30"/>
          <w:szCs w:val="30"/>
        </w:rPr>
        <w:t xml:space="preserve">3.7 Standard adjustment inputs</w:t>
      </w:r>
    </w:p>
    <w:p>
      <w:pPr>
        <w:spacing w:after="140" w:line="280"/>
        <w:jc w:val="both"/>
      </w:pPr>
      <w:r>
        <w:rPr>
          <w:rFonts w:ascii="Arial" w:cs="Arial" w:eastAsia="Arial" w:hAnsi="Arial"/>
          <w:sz w:val="22"/>
          <w:szCs w:val="22"/>
        </w:rPr>
        <w:t xml:space="preserve">For Moody's-method leverage and cover ratios, the platform stores standard adjustment inputs that bridge reported to adjusted values. These sit in period_financial_items alongside raw lines.</w:t>
      </w:r>
    </w:p>
    <w:p>
      <w:pPr>
        <w:pStyle w:val="ListParagraph"/>
        <w:numPr>
          <w:ilvl w:val="0"/>
          <w:numId w:val="2"/>
        </w:numPr>
        <w:spacing w:after="60"/>
      </w:pPr>
      <w:r>
        <w:rPr>
          <w:rFonts w:ascii="Arial" w:cs="Arial" w:eastAsia="Arial" w:hAnsi="Arial"/>
          <w:sz w:val="22"/>
          <w:szCs w:val="22"/>
        </w:rPr>
        <w:t xml:space="preserve">Operating lease capitalisation (8× method)</w:t>
      </w:r>
    </w:p>
    <w:p>
      <w:pPr>
        <w:pStyle w:val="ListParagraph"/>
        <w:numPr>
          <w:ilvl w:val="0"/>
          <w:numId w:val="2"/>
        </w:numPr>
        <w:spacing w:after="60"/>
      </w:pPr>
      <w:r>
        <w:rPr>
          <w:rFonts w:ascii="Arial" w:cs="Arial" w:eastAsia="Arial" w:hAnsi="Arial"/>
          <w:sz w:val="22"/>
          <w:szCs w:val="22"/>
        </w:rPr>
        <w:t xml:space="preserve">Pension deficit adjustment</w:t>
      </w:r>
    </w:p>
    <w:p>
      <w:pPr>
        <w:pStyle w:val="ListParagraph"/>
        <w:numPr>
          <w:ilvl w:val="0"/>
          <w:numId w:val="2"/>
        </w:numPr>
        <w:spacing w:after="60"/>
      </w:pPr>
      <w:r>
        <w:rPr>
          <w:rFonts w:ascii="Arial" w:cs="Arial" w:eastAsia="Arial" w:hAnsi="Arial"/>
          <w:sz w:val="22"/>
          <w:szCs w:val="22"/>
        </w:rPr>
        <w:t xml:space="preserve">Hybrid debt equity content</w:t>
      </w:r>
    </w:p>
    <w:p>
      <w:pPr>
        <w:pStyle w:val="ListParagraph"/>
        <w:numPr>
          <w:ilvl w:val="0"/>
          <w:numId w:val="2"/>
        </w:numPr>
        <w:spacing w:after="60"/>
      </w:pPr>
      <w:r>
        <w:rPr>
          <w:rFonts w:ascii="Arial" w:cs="Arial" w:eastAsia="Arial" w:hAnsi="Arial"/>
          <w:sz w:val="22"/>
          <w:szCs w:val="22"/>
        </w:rPr>
        <w:t xml:space="preserve">Securitisation reclassification</w:t>
      </w:r>
    </w:p>
    <w:p>
      <w:pPr>
        <w:pStyle w:val="ListParagraph"/>
        <w:numPr>
          <w:ilvl w:val="0"/>
          <w:numId w:val="2"/>
        </w:numPr>
        <w:spacing w:after="60"/>
      </w:pPr>
      <w:r>
        <w:rPr>
          <w:rFonts w:ascii="Arial" w:cs="Arial" w:eastAsia="Arial" w:hAnsi="Arial"/>
          <w:sz w:val="22"/>
          <w:szCs w:val="22"/>
        </w:rPr>
        <w:t xml:space="preserve">Minority distributions treatment</w:t>
      </w:r>
    </w:p>
    <w:p>
      <w:pPr>
        <w:pStyle w:val="ListParagraph"/>
        <w:numPr>
          <w:ilvl w:val="0"/>
          <w:numId w:val="2"/>
        </w:numPr>
        <w:spacing w:after="60"/>
      </w:pPr>
      <w:r>
        <w:rPr>
          <w:rFonts w:ascii="Arial" w:cs="Arial" w:eastAsia="Arial" w:hAnsi="Arial"/>
          <w:sz w:val="22"/>
          <w:szCs w:val="22"/>
        </w:rPr>
        <w:t xml:space="preserve">Non-recurring items add-back</w:t>
      </w:r>
    </w:p>
    <w:p>
      <w:pPr>
        <w:pStyle w:val="Heading2"/>
        <w:spacing w:after="120" w:before="240"/>
      </w:pPr>
      <w:r>
        <w:rPr>
          <w:rFonts w:ascii="Arial" w:cs="Arial" w:eastAsia="Arial" w:hAnsi="Arial"/>
          <w:b/>
          <w:bCs/>
          <w:color w:val="263849"/>
          <w:sz w:val="30"/>
          <w:szCs w:val="30"/>
        </w:rPr>
        <w:t xml:space="preserve">3.8 Storage shape</w:t>
      </w:r>
    </w:p>
    <w:p>
      <w:pPr>
        <w:spacing w:after="140" w:line="280"/>
        <w:jc w:val="both"/>
      </w:pPr>
      <w:r>
        <w:rPr>
          <w:rFonts w:ascii="Arial" w:cs="Arial" w:eastAsia="Arial" w:hAnsi="Arial"/>
          <w:sz w:val="22"/>
          <w:szCs w:val="22"/>
        </w:rPr>
        <w:t xml:space="preserve">Values live in two tables keyed by period × line_key: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Table</w:t>
            </w:r>
          </w:p>
        </w:tc>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Scope</w:t>
            </w:r>
          </w:p>
        </w:tc>
        <w:tc>
          <w:tcPr>
            <w:tcW w:type="dxa" w:w="4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Key shape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period_financial_items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Actuals from borrower reporting</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(period_id, line_key)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forecast_period_items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Life-of-deal forecast, frozen per version</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(forecast_case_version_id, period_flag, line_key)</w:t>
            </w:r>
          </w:p>
        </w:tc>
      </w:tr>
    </w:tbl>
    <w:p>
      <w:pPr>
        <w:spacing w:after="140" w:line="280"/>
        <w:jc w:val="both"/>
      </w:pPr>
      <w:r>
        <w:rPr>
          <w:rFonts w:ascii="Arial" w:cs="Arial" w:eastAsia="Arial" w:hAnsi="Arial"/>
          <w:sz w:val="22"/>
          <w:szCs w:val="22"/>
        </w:rPr>
        <w:t xml:space="preserve">deal_line_item_labels overlays per-deal display names. The same line_key can render with different sector labels — sector_kpi_1 is "Passengers (m)" for Gatwick and "Throughput (TEU)" for Project Alpha.</w:t>
      </w:r>
    </w:p>
    <w:p>
      <w:pPr>
        <w:pStyle w:val="Heading2"/>
        <w:spacing w:after="120" w:before="240"/>
      </w:pPr>
      <w:r>
        <w:rPr>
          <w:rFonts w:ascii="Arial" w:cs="Arial" w:eastAsia="Arial" w:hAnsi="Arial"/>
          <w:b/>
          <w:bCs/>
          <w:color w:val="263849"/>
          <w:sz w:val="30"/>
          <w:szCs w:val="30"/>
        </w:rPr>
        <w:t xml:space="preserve">3.9 Computed rows</w:t>
      </w:r>
    </w:p>
    <w:p>
      <w:pPr>
        <w:spacing w:after="140" w:line="280"/>
        <w:jc w:val="both"/>
      </w:pPr>
      <w:r>
        <w:rPr>
          <w:rFonts w:ascii="Arial" w:cs="Arial" w:eastAsia="Arial" w:hAnsi="Arial"/>
          <w:sz w:val="22"/>
          <w:szCs w:val="22"/>
        </w:rPr>
        <w:t xml:space="preserve">Several rows are computed server-side, not entered:</w:t>
      </w:r>
    </w:p>
    <w:p>
      <w:pPr>
        <w:pStyle w:val="ListParagraph"/>
        <w:numPr>
          <w:ilvl w:val="0"/>
          <w:numId w:val="2"/>
        </w:numPr>
        <w:spacing w:after="60"/>
      </w:pPr>
      <w:r>
        <w:rPr>
          <w:rFonts w:ascii="Arial" w:cs="Arial" w:eastAsia="Arial" w:hAnsi="Arial"/>
          <w:sz w:val="22"/>
          <w:szCs w:val="22"/>
        </w:rPr>
        <w:t xml:space="preserve">ebitda = revenue_total - opex_total</w:t>
      </w:r>
    </w:p>
    <w:p>
      <w:pPr>
        <w:pStyle w:val="ListParagraph"/>
        <w:numPr>
          <w:ilvl w:val="0"/>
          <w:numId w:val="2"/>
        </w:numPr>
        <w:spacing w:after="60"/>
      </w:pPr>
      <w:r>
        <w:rPr>
          <w:rFonts w:ascii="Arial" w:cs="Arial" w:eastAsia="Arial" w:hAnsi="Arial"/>
          <w:sz w:val="22"/>
          <w:szCs w:val="22"/>
        </w:rPr>
        <w:t xml:space="preserve">ebit = ebitda - depreciation - amortisation</w:t>
      </w:r>
    </w:p>
    <w:p>
      <w:pPr>
        <w:pStyle w:val="ListParagraph"/>
        <w:numPr>
          <w:ilvl w:val="0"/>
          <w:numId w:val="2"/>
        </w:numPr>
        <w:spacing w:after="60"/>
      </w:pPr>
      <w:r>
        <w:rPr>
          <w:rFonts w:ascii="Arial" w:cs="Arial" w:eastAsia="Arial" w:hAnsi="Arial"/>
          <w:sz w:val="22"/>
          <w:szCs w:val="22"/>
        </w:rPr>
        <w:t xml:space="preserve">cfads_pre_maintenance = ebitda - tax_paid - sum(wc movements) + interest_received_reserves</w:t>
      </w:r>
    </w:p>
    <w:p>
      <w:pPr>
        <w:pStyle w:val="ListParagraph"/>
        <w:numPr>
          <w:ilvl w:val="0"/>
          <w:numId w:val="2"/>
        </w:numPr>
        <w:spacing w:after="60"/>
      </w:pPr>
      <w:r>
        <w:rPr>
          <w:rFonts w:ascii="Arial" w:cs="Arial" w:eastAsia="Arial" w:hAnsi="Arial"/>
          <w:sz w:val="22"/>
          <w:szCs w:val="22"/>
        </w:rPr>
        <w:t xml:space="preserve">cfads_post_maintenance = cfads_pre_maintenance - maintenance_capex</w:t>
      </w:r>
    </w:p>
    <w:p>
      <w:pPr>
        <w:pStyle w:val="ListParagraph"/>
        <w:numPr>
          <w:ilvl w:val="0"/>
          <w:numId w:val="2"/>
        </w:numPr>
        <w:spacing w:after="60"/>
      </w:pPr>
      <w:r>
        <w:rPr>
          <w:rFonts w:ascii="Arial" w:cs="Arial" w:eastAsia="Arial" w:hAnsi="Arial"/>
          <w:sz w:val="22"/>
          <w:szCs w:val="22"/>
        </w:rPr>
        <w:t xml:space="preserve">total_debt_service = senior_interest + senior_principal_scheduled + senior_principal_prepayment + senior_commitment_fee + mezz_interest + mezz_principal</w:t>
      </w:r>
    </w:p>
    <w:p>
      <w:pPr>
        <w:pStyle w:val="ListParagraph"/>
        <w:numPr>
          <w:ilvl w:val="0"/>
          <w:numId w:val="2"/>
        </w:numPr>
        <w:spacing w:after="60"/>
      </w:pPr>
      <w:r>
        <w:rPr>
          <w:rFonts w:ascii="Arial" w:cs="Arial" w:eastAsia="Arial" w:hAnsi="Arial"/>
          <w:sz w:val="22"/>
          <w:szCs w:val="22"/>
        </w:rPr>
        <w:t xml:space="preserve">dscr = cfads_post_maintenance / total_debt_service</w:t>
      </w:r>
    </w:p>
    <w:p>
      <w:pPr>
        <w:pStyle w:val="ListParagraph"/>
        <w:numPr>
          <w:ilvl w:val="0"/>
          <w:numId w:val="2"/>
        </w:numPr>
        <w:spacing w:after="60"/>
      </w:pPr>
      <w:r>
        <w:rPr>
          <w:rFonts w:ascii="Arial" w:cs="Arial" w:eastAsia="Arial" w:hAnsi="Arial"/>
          <w:sz w:val="22"/>
          <w:szCs w:val="22"/>
        </w:rPr>
        <w:t xml:space="preserve">ebitda_margin_pct = ebitda / revenue_total</w:t>
      </w:r>
    </w:p>
    <w:p>
      <w:pPr>
        <w:pStyle w:val="ListParagraph"/>
        <w:numPr>
          <w:ilvl w:val="0"/>
          <w:numId w:val="2"/>
        </w:numPr>
        <w:spacing w:after="60"/>
      </w:pPr>
      <w:r>
        <w:rPr>
          <w:rFonts w:ascii="Arial" w:cs="Arial" w:eastAsia="Arial" w:hAnsi="Arial"/>
          <w:sz w:val="22"/>
          <w:szCs w:val="22"/>
        </w:rPr>
        <w:t xml:space="preserve">Reserve closings = opening + contributions - withdrawals</w:t>
      </w:r>
    </w:p>
    <w:p>
      <w:pPr>
        <w:pStyle w:val="ListParagraph"/>
        <w:numPr>
          <w:ilvl w:val="0"/>
          <w:numId w:val="2"/>
        </w:numPr>
        <w:spacing w:after="60"/>
      </w:pPr>
      <w:r>
        <w:rPr>
          <w:rFonts w:ascii="Arial" w:cs="Arial" w:eastAsia="Arial" w:hAnsi="Arial"/>
          <w:sz w:val="22"/>
          <w:szCs w:val="22"/>
        </w:rPr>
        <w:t xml:space="preserve">net_debt_closing = drawn_senior + drawn_mezz - cash_closing - dsra_closing - mra_closing</w:t>
      </w:r>
    </w:p>
    <w:p>
      <w:pPr>
        <w:pStyle w:val="Heading2"/>
        <w:spacing w:after="120" w:before="240"/>
      </w:pPr>
      <w:r>
        <w:rPr>
          <w:rFonts w:ascii="Arial" w:cs="Arial" w:eastAsia="Arial" w:hAnsi="Arial"/>
          <w:b/>
          <w:bCs/>
          <w:color w:val="263849"/>
          <w:sz w:val="30"/>
          <w:szCs w:val="30"/>
        </w:rPr>
        <w:t xml:space="preserve">3.10 Precision and rounding</w:t>
      </w:r>
    </w:p>
    <w:p>
      <w:pPr>
        <w:pStyle w:val="ListParagraph"/>
        <w:numPr>
          <w:ilvl w:val="0"/>
          <w:numId w:val="2"/>
        </w:numPr>
        <w:spacing w:after="60"/>
      </w:pPr>
      <w:r>
        <w:rPr>
          <w:rFonts w:ascii="Arial" w:cs="Arial" w:eastAsia="Arial" w:hAnsi="Arial"/>
          <w:sz w:val="22"/>
          <w:szCs w:val="22"/>
        </w:rPr>
        <w:t xml:space="preserve">Money values: NUMERIC(18,2) — two decimal places, 16 digits of integer headroom.</w:t>
      </w:r>
    </w:p>
    <w:p>
      <w:pPr>
        <w:pStyle w:val="ListParagraph"/>
        <w:numPr>
          <w:ilvl w:val="0"/>
          <w:numId w:val="2"/>
        </w:numPr>
        <w:spacing w:after="60"/>
      </w:pPr>
      <w:r>
        <w:rPr>
          <w:rFonts w:ascii="Arial" w:cs="Arial" w:eastAsia="Arial" w:hAnsi="Arial"/>
          <w:sz w:val="22"/>
          <w:szCs w:val="22"/>
        </w:rPr>
        <w:t xml:space="preserve">Ratios: NUMERIC(10,4) in storage; displayed to 2 decimals.</w:t>
      </w:r>
    </w:p>
    <w:p>
      <w:pPr>
        <w:pStyle w:val="ListParagraph"/>
        <w:numPr>
          <w:ilvl w:val="0"/>
          <w:numId w:val="2"/>
        </w:numPr>
        <w:spacing w:after="60"/>
      </w:pPr>
      <w:r>
        <w:rPr>
          <w:rFonts w:ascii="Arial" w:cs="Arial" w:eastAsia="Arial" w:hAnsi="Arial"/>
          <w:sz w:val="22"/>
          <w:szCs w:val="22"/>
        </w:rPr>
        <w:t xml:space="preserve">Percentages: NUMERIC(6,2) in storage.</w:t>
      </w:r>
    </w:p>
    <w:p>
      <w:pPr>
        <w:pStyle w:val="ListParagraph"/>
        <w:numPr>
          <w:ilvl w:val="0"/>
          <w:numId w:val="2"/>
        </w:numPr>
        <w:spacing w:after="60"/>
      </w:pPr>
      <w:r>
        <w:rPr>
          <w:rFonts w:ascii="Arial" w:cs="Arial" w:eastAsia="Arial" w:hAnsi="Arial"/>
          <w:sz w:val="22"/>
          <w:szCs w:val="22"/>
        </w:rPr>
        <w:t xml:space="preserve">FX rates: NUMERIC(12,7) in storage, computed to 5 decimal places per user direction.</w:t>
      </w:r>
    </w:p>
    <w:p>
      <w:pPr>
        <w:pStyle w:val="ListParagraph"/>
        <w:numPr>
          <w:ilvl w:val="0"/>
          <w:numId w:val="2"/>
        </w:numPr>
        <w:spacing w:after="60"/>
      </w:pPr>
      <w:r>
        <w:rPr>
          <w:rFonts w:ascii="Arial" w:cs="Arial" w:eastAsia="Arial" w:hAnsi="Arial"/>
          <w:sz w:val="22"/>
          <w:szCs w:val="22"/>
        </w:rPr>
        <w:t xml:space="preserve">All arithmetic uses NUMERIC throughout; no floating-point for canonical values.</w:t>
      </w:r>
    </w:p>
    <w:p>
      <w:pPr>
        <w:pStyle w:val="Heading2"/>
        <w:spacing w:after="120" w:before="240"/>
      </w:pPr>
      <w:r>
        <w:rPr>
          <w:rFonts w:ascii="Arial" w:cs="Arial" w:eastAsia="Arial" w:hAnsi="Arial"/>
          <w:b/>
          <w:bCs/>
          <w:color w:val="263849"/>
          <w:sz w:val="30"/>
          <w:szCs w:val="30"/>
        </w:rPr>
        <w:t xml:space="preserve">3.11 Where the templates live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800"/>
        <w:gridCol w:w="5760"/>
      </w:tblGrid>
      <w:tr>
        <w:trPr>
          <w:tblHeader/>
        </w:trPr>
        <w:tc>
          <w:tcPr>
            <w:tcW w:type="dxa" w:w="3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Asset</w:t>
            </w:r>
          </w:p>
        </w:tc>
        <w:tc>
          <w:tcPr>
            <w:tcW w:type="dxa" w:w="5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Path</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Generic 67-row cashflow preview (UI)</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client/app/plumbing/financial-template-preview.tsx</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 sub-templates (server)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server/main.py — SECTOR_TEMPLATES registry</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line_item_definitions seed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postgres/init.sql (and migrations.sql for additions)</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 KPI definitions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init.sql — sector_kpi_* rows with direction_of_good</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 ratio formulae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server/main.py — evaluate_covenant_metric()</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Moody's ratio formulae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Appendix A of this document + server/main.py</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TopSheet Tabs 11–14 for actuals/forecast carry-in</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scripts/create-topsheet-template.py, docs/topsheet-complete-specification.md</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Per-deal label overrides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deal_line_item_labels, populated from TopSheet Tab 12</w:t>
            </w:r>
          </w:p>
        </w:tc>
      </w:tr>
    </w:tbl>
    <w:p>
      <w:pPr>
        <w:pStyle w:val="Heading1"/>
        <w:pageBreakBefore/>
        <w:spacing w:after="180" w:before="240"/>
      </w:pPr>
      <w:r>
        <w:rPr>
          <w:rFonts w:ascii="Arial" w:cs="Arial" w:eastAsia="Arial" w:hAnsi="Arial"/>
          <w:b/>
          <w:bCs/>
          <w:color w:val="1F6FA5"/>
          <w:sz w:val="40"/>
          <w:szCs w:val="40"/>
        </w:rPr>
        <w:t xml:space="preserve">Part IV — Covenant framework</w:t>
      </w:r>
    </w:p>
    <w:p>
      <w:pPr>
        <w:pStyle w:val="Heading2"/>
        <w:spacing w:after="120" w:before="240"/>
      </w:pPr>
      <w:r>
        <w:rPr>
          <w:rFonts w:ascii="Arial" w:cs="Arial" w:eastAsia="Arial" w:hAnsi="Arial"/>
          <w:b/>
          <w:bCs/>
          <w:color w:val="263849"/>
          <w:sz w:val="30"/>
          <w:szCs w:val="30"/>
        </w:rPr>
        <w:t xml:space="preserve">4.1 Purpose</w:t>
      </w:r>
    </w:p>
    <w:p>
      <w:pPr>
        <w:spacing w:after="140" w:line="280"/>
        <w:jc w:val="both"/>
      </w:pPr>
      <w:r>
        <w:rPr>
          <w:rFonts w:ascii="Arial" w:cs="Arial" w:eastAsia="Arial" w:hAnsi="Arial"/>
          <w:sz w:val="22"/>
          <w:szCs w:val="22"/>
        </w:rPr>
        <w:t xml:space="preserve">Covenants are the principal contractual mechanism through which a lender constrains the borrower's behaviour and retains ability to act on deteriorating performance. In this platform every covenant is modelled explicitly: its metric is defined, its thresholds are stored, its test history is immutable, and its breach cascades through the Distribution Assessment, Performance Grade, and Alert engines.</w:t>
      </w:r>
    </w:p>
    <w:p>
      <w:pPr>
        <w:pStyle w:val="Heading2"/>
        <w:spacing w:after="120" w:before="240"/>
      </w:pPr>
      <w:r>
        <w:rPr>
          <w:rFonts w:ascii="Arial" w:cs="Arial" w:eastAsia="Arial" w:hAnsi="Arial"/>
          <w:b/>
          <w:bCs/>
          <w:color w:val="263849"/>
          <w:sz w:val="30"/>
          <w:szCs w:val="30"/>
        </w:rPr>
        <w:t xml:space="preserve">4.2 Categories of covenant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Category</w:t>
            </w:r>
          </w:p>
        </w:tc>
        <w:tc>
          <w:tcPr>
            <w:tcW w:type="dxa" w:w="7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Contents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Cash-cover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Historic DSCR, Forward DSCR (FLDSCR), Project Life Cover (PLCR), Loan Life Cover (LLCR), AICR, PMICR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Collateral / leverage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LTV, LTC, Gearing, Net Debt / EBITDA, Total Debt / RCF</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Reserve-account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 minimum balance, MRA funding level, O&amp;M reserve adequacy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 / lockup gates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Composite tests that block distributions without breaching (blocks vs breach is the key distinction)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Information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obligations, audited financials, compliance certificates, insurance renewal, KPI reporting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 pledges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Prohibitions on additional debt, disposals, mergers, change of control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Construction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Completion date covenants, progress certificates, lifecycle capex funding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Forward-looking projection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Minimum projected DSCR over rolling horizon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ESG-linked SPTs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strict covenants but tested like them — flex coupon via margin ratchets</w:t>
            </w:r>
          </w:p>
        </w:tc>
      </w:tr>
    </w:tbl>
    <w:p>
      <w:pPr>
        <w:pStyle w:val="Heading2"/>
        <w:spacing w:after="120" w:before="240"/>
      </w:pPr>
      <w:r>
        <w:rPr>
          <w:rFonts w:ascii="Arial" w:cs="Arial" w:eastAsia="Arial" w:hAnsi="Arial"/>
          <w:b/>
          <w:bCs/>
          <w:color w:val="263849"/>
          <w:sz w:val="30"/>
          <w:szCs w:val="30"/>
        </w:rPr>
        <w:t xml:space="preserve">4.3 Four-tier test outcomes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360"/>
      </w:tblGrid>
      <w:tr>
        <w:trPr>
          <w:tblHeader/>
        </w:trPr>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Tier</w:t>
            </w:r>
          </w:p>
        </w:tc>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Meaning</w:t>
            </w:r>
          </w:p>
        </w:tc>
        <w:tc>
          <w:tcPr>
            <w:tcW w:type="dxa" w:w="5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Downstream</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Clears lockup by margin</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Normal operation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lockup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Breaches lockup, clears trigger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Distributions blocked; deal continues; no acceleration right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Breaches trigger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Lender has acceleration right; Grade 4 candidate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default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Triggered + cure period expired / not cured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Event of default; Grade 4 certain; workout process</w:t>
            </w:r>
          </w:p>
        </w:tc>
      </w:tr>
    </w:tbl>
    <w:p>
      <w:pPr>
        <w:pBdr>
          <w:left w:val="single" w:color="1F6FA5" w:sz="16" w:space="10"/>
        </w:pBdr>
        <w:spacing w:after="160" w:before="80"/>
        <w:ind w:left="200"/>
      </w:pPr>
      <w:r>
        <w:rPr>
          <w:rFonts w:ascii="Arial" w:cs="Arial" w:eastAsia="Arial" w:hAnsi="Arial"/>
          <w:i/>
          <w:iCs/>
          <w:color w:val="56718A"/>
          <w:sz w:val="22"/>
          <w:szCs w:val="22"/>
        </w:rPr>
        <w:t xml:space="preserve">Lockup and trigger are separate levels. A well-structured deal has a 20–30% gap between them. Lockup protects the lender's claim on cashflows before the ratio deteriorates enough to warrant acceleration.</w:t>
      </w:r>
    </w:p>
    <w:p>
      <w:pPr>
        <w:pStyle w:val="Heading2"/>
        <w:spacing w:after="120" w:before="240"/>
      </w:pPr>
      <w:r>
        <w:rPr>
          <w:rFonts w:ascii="Arial" w:cs="Arial" w:eastAsia="Arial" w:hAnsi="Arial"/>
          <w:b/>
          <w:bCs/>
          <w:color w:val="263849"/>
          <w:sz w:val="30"/>
          <w:szCs w:val="30"/>
        </w:rPr>
        <w:t xml:space="preserve">4.4 Storage</w:t>
      </w:r>
    </w:p>
    <w:p>
      <w:pPr>
        <w:pStyle w:val="Heading3"/>
        <w:spacing w:after="80" w:before="180"/>
      </w:pPr>
      <w:r>
        <w:rPr>
          <w:rFonts w:ascii="Arial" w:cs="Arial" w:eastAsia="Arial" w:hAnsi="Arial"/>
          <w:b/>
          <w:bCs/>
          <w:color w:val="263849"/>
          <w:sz w:val="26"/>
          <w:szCs w:val="26"/>
        </w:rPr>
        <w:t xml:space="preserve">covenant_thresholds</w:t>
      </w:r>
    </w:p>
    <w:p>
      <w:pPr>
        <w:spacing w:after="140" w:line="280"/>
        <w:jc w:val="both"/>
      </w:pPr>
      <w:r>
        <w:rPr>
          <w:rFonts w:ascii="Arial" w:cs="Arial" w:eastAsia="Arial" w:hAnsi="Arial"/>
          <w:sz w:val="22"/>
          <w:szCs w:val="22"/>
        </w:rPr>
        <w:t xml:space="preserve">One row per covenant. Thresholds immutable per row — amendments create new rows with deal_amendment_id set and retire old (active=false).</w:t>
      </w:r>
    </w:p>
    <w:p>
      <w:pPr>
        <w:spacing w:after="140" w:line="280"/>
        <w:jc w:val="both"/>
      </w:pPr>
      <w:r>
        <w:rPr>
          <w:rFonts w:ascii="Arial" w:cs="Arial" w:eastAsia="Arial" w:hAnsi="Arial"/>
          <w:sz w:val="22"/>
          <w:szCs w:val="22"/>
        </w:rPr>
        <w:t xml:space="preserve">Key columns recap from Part II: covenant_name, metric_key, ratio_level (v8), test_frequency, lockup_level, trigger_level, direction_of_breach, measurement_window, cure_period_days, cure_mechanism, cure_cap_per_year, cure_cap_per_tenor, active, deal_amendment_id.</w:t>
      </w:r>
    </w:p>
    <w:p>
      <w:pPr>
        <w:pStyle w:val="Heading3"/>
        <w:spacing w:after="80" w:before="180"/>
      </w:pPr>
      <w:r>
        <w:rPr>
          <w:rFonts w:ascii="Arial" w:cs="Arial" w:eastAsia="Arial" w:hAnsi="Arial"/>
          <w:b/>
          <w:bCs/>
          <w:color w:val="263849"/>
          <w:sz w:val="26"/>
          <w:szCs w:val="26"/>
        </w:rPr>
        <w:t xml:space="preserve">covenant_tests</w:t>
      </w:r>
    </w:p>
    <w:p>
      <w:pPr>
        <w:spacing w:after="140" w:line="280"/>
        <w:jc w:val="both"/>
      </w:pPr>
      <w:r>
        <w:rPr>
          <w:rFonts w:ascii="Arial" w:cs="Arial" w:eastAsia="Arial" w:hAnsi="Arial"/>
          <w:sz w:val="22"/>
          <w:szCs w:val="22"/>
        </w:rPr>
        <w:t xml:space="preserve">Append-only test log. Immutable. One row per covenant per test date. Columns: actual_value, lockup_level, trigger_level (frozen at test time), headroom_pct, result, cure_status, rationale, source_*.</w:t>
      </w:r>
    </w:p>
    <w:p>
      <w:pPr>
        <w:pStyle w:val="Heading2"/>
        <w:spacing w:after="120" w:before="240"/>
      </w:pPr>
      <w:r>
        <w:rPr>
          <w:rFonts w:ascii="Arial" w:cs="Arial" w:eastAsia="Arial" w:hAnsi="Arial"/>
          <w:b/>
          <w:bCs/>
          <w:color w:val="263849"/>
          <w:sz w:val="30"/>
          <w:szCs w:val="30"/>
        </w:rPr>
        <w:t xml:space="preserve">4.5 Metric registry</w:t>
      </w:r>
    </w:p>
    <w:p>
      <w:pPr>
        <w:spacing w:after="140" w:line="280"/>
        <w:jc w:val="both"/>
      </w:pPr>
      <w:r>
        <w:rPr>
          <w:rFonts w:ascii="Arial" w:cs="Arial" w:eastAsia="Arial" w:hAnsi="Arial"/>
          <w:sz w:val="22"/>
          <w:szCs w:val="22"/>
        </w:rPr>
        <w:t xml:space="preserve">Every covenant references a metric_key which resolves in the server's metric registry to a computation function. The registry is keyed on strings and returns a Python callable that takes a (deal_id, period_id) tuple and returns a NUMERIC. The common metric keys are: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metric_key</w:t>
            </w:r>
          </w:p>
        </w:tc>
        <w:tc>
          <w:tcPr>
            <w:tcW w:type="dxa" w:w="7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Computation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dscr_historic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period_financial_items.cfads_post_maintenance / total_debt_service for the latest closed period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dscr_forward_4q</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Sum over next 4 periods of forecast cfads / forecast DS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dscr_average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DSCR over remaining tenor of forecast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dscr_minimum</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 DSCR over remaining tenor of forecast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llcr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NPV of forecast cfads to debt maturity, discounted at cost_of_debt_at_ic, divided by outstanding debt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plcr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NPV of forecast cfads to end_of_life, same discount rate, divided by outstanding debt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avg_llcr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LLCR across all remaining test dates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avg_plcr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PLCR across all remaining test dates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aicr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Adjusted net cashflow / interest. Adjustments list in Appendix B.</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 / (senior_interest + mezz_interest)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pmicr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 - maintenance_capex) / interest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cash_icr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operating_cashflow / cash_interest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ltv</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outstanding_debt_at_ratio_level / asset_value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avg_ltv</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LTV over remaining tenor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outstanding_debt / project_cost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gearing</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debt / (debt + equity)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net_debt_ebitda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(outstanding_debt - cash) / ebitda</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total_debt_rcf</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total_debt / retained_cashflow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ffo_net_debt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ffo / net_debt (Moody's)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rcf_net_debt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rcf / net_debt (Moody's)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adscr_break_even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 haircut at which forward DSCR = 1.00×</w:t>
            </w:r>
          </w:p>
        </w:tc>
      </w:tr>
    </w:tbl>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The exact formula for LLCR/PLCR tail treatment, reserve netting, and the adjustment list for AICR is outstanding. User direction: discount rate is cost of debt at IC. A full formula appendix will be produced once pinned.</w:t>
      </w:r>
    </w:p>
    <w:p>
      <w:pPr>
        <w:pStyle w:val="Heading2"/>
        <w:spacing w:after="120" w:before="240"/>
      </w:pPr>
      <w:r>
        <w:rPr>
          <w:rFonts w:ascii="Arial" w:cs="Arial" w:eastAsia="Arial" w:hAnsi="Arial"/>
          <w:b/>
          <w:bCs/>
          <w:color w:val="263849"/>
          <w:sz w:val="30"/>
          <w:szCs w:val="30"/>
        </w:rPr>
        <w:t xml:space="preserve">4.5b Metric direction registry (_RATIO_DIRECTION, server/main.py)</w:t>
      </w:r>
    </w:p>
    <w:p>
      <w:pPr>
        <w:spacing w:after="140" w:line="280"/>
        <w:jc w:val="both"/>
      </w:pPr>
      <w:r>
        <w:rPr>
          <w:rFonts w:ascii="Arial" w:cs="Arial" w:eastAsia="Arial" w:hAnsi="Arial"/>
          <w:sz w:val="22"/>
          <w:szCs w:val="22"/>
        </w:rPr>
        <w:t xml:space="preserve">Direction preferences the Trend Engine uses when computing headroom change. Every metric key the platform recognises maps to one of three directions:</w:t>
      </w:r>
    </w:p>
    <w:p>
      <w:pPr>
        <w:spacing w:after="80"/>
      </w:pPr>
      <w:r>
        <w:rPr>
          <w:rFonts w:ascii="Consolas" w:cs="Consolas" w:eastAsia="Consolas" w:hAnsi="Consolas"/>
          <w:color w:val="444444"/>
          <w:sz w:val="20"/>
          <w:szCs w:val="20"/>
        </w:rPr>
        <w:t xml:space="preserve"># Cash-cover ratios — higher is better
senior_dscr, senior_annual_dscr, senior_quarterly_dscr,
icr, fccr, pmicr, aicr, cash_interest_cover,
llcr, plcr, avg_llcr, avg_plcr,
rental_coverage, debt_yield, acr_re
# Leverage / collateral — lower is better
net_debt_ebitda, senior_net_debt_ebitda, total_net_debt_ebitda,
net_debt_rab,
ltv, avg_ltv, ltc, gearing,
acr_utility, acr,
total_debt_rcf</w:t>
      </w:r>
    </w:p>
    <w:p>
      <w:pPr>
        <w:pStyle w:val="Heading2"/>
        <w:spacing w:after="120" w:before="240"/>
      </w:pPr>
      <w:r>
        <w:rPr>
          <w:rFonts w:ascii="Arial" w:cs="Arial" w:eastAsia="Arial" w:hAnsi="Arial"/>
          <w:b/>
          <w:bCs/>
          <w:color w:val="263849"/>
          <w:sz w:val="30"/>
          <w:szCs w:val="30"/>
        </w:rPr>
        <w:t xml:space="preserve">4.5c Default threshold registry (_DEFAULT_THRESHOLD_ASSUMPTION, server/main.py)</w:t>
      </w:r>
    </w:p>
    <w:p>
      <w:pPr>
        <w:spacing w:after="140" w:line="280"/>
        <w:jc w:val="both"/>
      </w:pPr>
      <w:r>
        <w:rPr>
          <w:rFonts w:ascii="Arial" w:cs="Arial" w:eastAsia="Arial" w:hAnsi="Arial"/>
          <w:sz w:val="22"/>
          <w:szCs w:val="22"/>
        </w:rPr>
        <w:t xml:space="preserve">Fallback thresholds used by the Trend Engine when no covenant threshold is configured for the metric on the deal. These are NOT the active covenant thresholds — they are reference levels for headroom calculations in the absence of a pinned level.</w:t>
      </w:r>
    </w:p>
    <w:p>
      <w:pPr>
        <w:spacing w:after="80"/>
      </w:pPr>
      <w:r>
        <w:rPr>
          <w:rFonts w:ascii="Consolas" w:cs="Consolas" w:eastAsia="Consolas" w:hAnsi="Consolas"/>
          <w:color w:val="444444"/>
          <w:sz w:val="20"/>
          <w:szCs w:val="20"/>
        </w:rPr>
        <w:t xml:space="preserve">dscr: 1.0               senior_dscr: 1.0
icr: 1.0                llcr: 1.0
plcr: 1.0               net_debt_ebitda: 8.0
net_debt_rab: 0.85      ltv: 0.85
acr_utility: 0.85</w:t>
      </w:r>
    </w:p>
    <w:p>
      <w:pPr>
        <w:pStyle w:val="Heading2"/>
        <w:spacing w:after="120" w:before="240"/>
      </w:pPr>
      <w:r>
        <w:rPr>
          <w:rFonts w:ascii="Arial" w:cs="Arial" w:eastAsia="Arial" w:hAnsi="Arial"/>
          <w:b/>
          <w:bCs/>
          <w:color w:val="263849"/>
          <w:sz w:val="30"/>
          <w:szCs w:val="30"/>
        </w:rPr>
        <w:t xml:space="preserve">4.6 Headroom computation</w:t>
      </w:r>
    </w:p>
    <w:p>
      <w:pPr>
        <w:spacing w:after="140" w:line="280"/>
        <w:jc w:val="both"/>
      </w:pPr>
      <w:r>
        <w:rPr>
          <w:rFonts w:ascii="Arial" w:cs="Arial" w:eastAsia="Arial" w:hAnsi="Arial"/>
          <w:sz w:val="22"/>
          <w:szCs w:val="22"/>
        </w:rPr>
        <w:t xml:space="preserve">Headroom is the percentage distance between the actual value and the trigger level. Sign is such that headroom is positive when performing.</w:t>
      </w:r>
    </w:p>
    <w:p>
      <w:pPr>
        <w:pStyle w:val="Heading3"/>
        <w:spacing w:after="80" w:before="180"/>
      </w:pPr>
      <w:r>
        <w:rPr>
          <w:rFonts w:ascii="Arial" w:cs="Arial" w:eastAsia="Arial" w:hAnsi="Arial"/>
          <w:b/>
          <w:bCs/>
          <w:color w:val="263849"/>
          <w:sz w:val="26"/>
          <w:szCs w:val="26"/>
        </w:rPr>
        <w:t xml:space="preserve">Direction 'below' — DSCR-type</w:t>
      </w:r>
    </w:p>
    <w:p>
      <w:pPr>
        <w:spacing w:after="80"/>
      </w:pPr>
      <w:r>
        <w:rPr>
          <w:rFonts w:ascii="Consolas" w:cs="Consolas" w:eastAsia="Consolas" w:hAnsi="Consolas"/>
          <w:color w:val="444444"/>
          <w:sz w:val="20"/>
          <w:szCs w:val="20"/>
        </w:rPr>
        <w:t xml:space="preserve">headroom_pct = (actual_value - trigger_level) / trigger_level * 100</w:t>
      </w:r>
    </w:p>
    <w:p>
      <w:pPr>
        <w:pStyle w:val="Heading3"/>
        <w:spacing w:after="80" w:before="180"/>
      </w:pPr>
      <w:r>
        <w:rPr>
          <w:rFonts w:ascii="Arial" w:cs="Arial" w:eastAsia="Arial" w:hAnsi="Arial"/>
          <w:b/>
          <w:bCs/>
          <w:color w:val="263849"/>
          <w:sz w:val="26"/>
          <w:szCs w:val="26"/>
        </w:rPr>
        <w:t xml:space="preserve">Direction 'above' — LTV-type</w:t>
      </w:r>
    </w:p>
    <w:p>
      <w:pPr>
        <w:spacing w:after="80"/>
      </w:pPr>
      <w:r>
        <w:rPr>
          <w:rFonts w:ascii="Consolas" w:cs="Consolas" w:eastAsia="Consolas" w:hAnsi="Consolas"/>
          <w:color w:val="444444"/>
          <w:sz w:val="20"/>
          <w:szCs w:val="20"/>
        </w:rPr>
        <w:t xml:space="preserve">headroom_pct = (trigger_level - actual_value) / trigger_level * 100</w:t>
      </w:r>
    </w:p>
    <w:p>
      <w:pPr>
        <w:spacing w:after="140" w:line="280"/>
        <w:jc w:val="both"/>
      </w:pPr>
      <w:r>
        <w:rPr>
          <w:rFonts w:ascii="Arial" w:cs="Arial" w:eastAsia="Arial" w:hAnsi="Arial"/>
          <w:sz w:val="22"/>
          <w:szCs w:val="22"/>
        </w:rPr>
        <w:t xml:space="preserve">Both yield positive = performing, zero = at trigger, negative = breached. Headroom on both the primary cash-cover and primary collateral covenants feeds the Performance Grade Engine.</w:t>
      </w:r>
    </w:p>
    <w:p>
      <w:pPr>
        <w:pStyle w:val="Heading2"/>
        <w:spacing w:after="120" w:before="240"/>
      </w:pPr>
      <w:r>
        <w:rPr>
          <w:rFonts w:ascii="Arial" w:cs="Arial" w:eastAsia="Arial" w:hAnsi="Arial"/>
          <w:b/>
          <w:bCs/>
          <w:color w:val="263849"/>
          <w:sz w:val="30"/>
          <w:szCs w:val="30"/>
        </w:rPr>
        <w:t xml:space="preserve">4.7 Grade-engine headroom bands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Band</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Headroom</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Grade candidate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Green — performing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&gt;= 20%</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1 candidate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Amber — monitoring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10–20%</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2 candidate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Red — watchlist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10% but &gt; 0%</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3 candidate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Breach — at or past trigger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0%</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4 candidate</w:t>
            </w:r>
          </w:p>
        </w:tc>
      </w:tr>
    </w:tbl>
    <w:p>
      <w:pPr>
        <w:pBdr>
          <w:left w:val="single" w:color="1F6FA5" w:sz="16" w:space="10"/>
        </w:pBdr>
        <w:spacing w:after="160" w:before="80"/>
        <w:ind w:left="200"/>
      </w:pPr>
      <w:r>
        <w:rPr>
          <w:rFonts w:ascii="Arial" w:cs="Arial" w:eastAsia="Arial" w:hAnsi="Arial"/>
          <w:i/>
          <w:iCs/>
          <w:color w:val="56718A"/>
          <w:sz w:val="22"/>
          <w:szCs w:val="22"/>
        </w:rPr>
        <w:t xml:space="preserve">Both DSCR and the primary collateral covenant are checked. The WORSE of the two drives the grade — user confirmed requirement.</w:t>
      </w:r>
    </w:p>
    <w:p>
      <w:pPr>
        <w:pStyle w:val="Heading2"/>
        <w:spacing w:after="120" w:before="240"/>
      </w:pPr>
      <w:r>
        <w:rPr>
          <w:rFonts w:ascii="Arial" w:cs="Arial" w:eastAsia="Arial" w:hAnsi="Arial"/>
          <w:b/>
          <w:bCs/>
          <w:color w:val="263849"/>
          <w:sz w:val="30"/>
          <w:szCs w:val="30"/>
        </w:rPr>
        <w:t xml:space="preserve">4.8 Cure mechanisms</w:t>
      </w:r>
    </w:p>
    <w:p>
      <w:pPr>
        <w:spacing w:after="140" w:line="280"/>
        <w:jc w:val="both"/>
      </w:pPr>
      <w:r>
        <w:rPr>
          <w:rFonts w:ascii="Arial" w:cs="Arial" w:eastAsia="Arial" w:hAnsi="Arial"/>
          <w:sz w:val="22"/>
          <w:szCs w:val="22"/>
        </w:rPr>
        <w:t xml:space="preserve">When a covenant breaches trigger, most deals allow a cure window. Five supported mechanisms:</w:t>
      </w:r>
    </w:p>
    <w:p>
      <w:pPr>
        <w:pStyle w:val="Heading3"/>
        <w:spacing w:after="80" w:before="180"/>
      </w:pPr>
      <w:r>
        <w:rPr>
          <w:rFonts w:ascii="Arial" w:cs="Arial" w:eastAsia="Arial" w:hAnsi="Arial"/>
          <w:b/>
          <w:bCs/>
          <w:color w:val="263849"/>
          <w:sz w:val="26"/>
          <w:szCs w:val="26"/>
        </w:rPr>
        <w:t xml:space="preserve">4.8.1 Equity cure</w:t>
      </w:r>
    </w:p>
    <w:p>
      <w:pPr>
        <w:spacing w:after="140" w:line="280"/>
        <w:jc w:val="both"/>
      </w:pPr>
      <w:r>
        <w:rPr>
          <w:rFonts w:ascii="Arial" w:cs="Arial" w:eastAsia="Arial" w:hAnsi="Arial"/>
          <w:sz w:val="22"/>
          <w:szCs w:val="22"/>
        </w:rPr>
        <w:t xml:space="preserve">Sponsor injects equity. Typically as shareholder loan (which is then subordinated). Capped per year and per tenor.</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Exact math for equity cure → ratio recomputation: should the injection be treated as CFADS (numerator-side) or as debt reduction (denominator-side), and over what period? Industry practice varies. User direction: flag as TBD.</w:t>
      </w:r>
    </w:p>
    <w:p>
      <w:pPr>
        <w:pStyle w:val="Heading3"/>
        <w:spacing w:after="80" w:before="180"/>
      </w:pPr>
      <w:r>
        <w:rPr>
          <w:rFonts w:ascii="Arial" w:cs="Arial" w:eastAsia="Arial" w:hAnsi="Arial"/>
          <w:b/>
          <w:bCs/>
          <w:color w:val="263849"/>
          <w:sz w:val="26"/>
          <w:szCs w:val="26"/>
        </w:rPr>
        <w:t xml:space="preserve">4.8.2 Cash cure</w:t>
      </w:r>
    </w:p>
    <w:p>
      <w:pPr>
        <w:spacing w:after="140" w:line="280"/>
        <w:jc w:val="both"/>
      </w:pPr>
      <w:r>
        <w:rPr>
          <w:rFonts w:ascii="Arial" w:cs="Arial" w:eastAsia="Arial" w:hAnsi="Arial"/>
          <w:sz w:val="22"/>
          <w:szCs w:val="22"/>
        </w:rPr>
        <w:t xml:space="preserve">Free cash held above a threshold is deemed to reduce debt for ratio calculation purposes. Requires a carve-out in the covenant definition.</w:t>
      </w:r>
    </w:p>
    <w:p>
      <w:pPr>
        <w:pStyle w:val="Heading3"/>
        <w:spacing w:after="80" w:before="180"/>
      </w:pPr>
      <w:r>
        <w:rPr>
          <w:rFonts w:ascii="Arial" w:cs="Arial" w:eastAsia="Arial" w:hAnsi="Arial"/>
          <w:b/>
          <w:bCs/>
          <w:color w:val="263849"/>
          <w:sz w:val="26"/>
          <w:szCs w:val="26"/>
        </w:rPr>
        <w:t xml:space="preserve">4.8.3 Reserve cure</w:t>
      </w:r>
    </w:p>
    <w:p>
      <w:pPr>
        <w:spacing w:after="140" w:line="280"/>
        <w:jc w:val="both"/>
      </w:pPr>
      <w:r>
        <w:rPr>
          <w:rFonts w:ascii="Arial" w:cs="Arial" w:eastAsia="Arial" w:hAnsi="Arial"/>
          <w:sz w:val="22"/>
          <w:szCs w:val="22"/>
        </w:rPr>
        <w:t xml:space="preserve">Draw from DSRA/MRA to meet the debt service; reserves must be topped up within the cure window.</w:t>
      </w:r>
    </w:p>
    <w:p>
      <w:pPr>
        <w:pStyle w:val="Heading3"/>
        <w:spacing w:after="80" w:before="180"/>
      </w:pPr>
      <w:r>
        <w:rPr>
          <w:rFonts w:ascii="Arial" w:cs="Arial" w:eastAsia="Arial" w:hAnsi="Arial"/>
          <w:b/>
          <w:bCs/>
          <w:color w:val="263849"/>
          <w:sz w:val="26"/>
          <w:szCs w:val="26"/>
        </w:rPr>
        <w:t xml:space="preserve">4.8.4 Time cure</w:t>
      </w:r>
    </w:p>
    <w:p>
      <w:pPr>
        <w:spacing w:after="140" w:line="280"/>
        <w:jc w:val="both"/>
      </w:pPr>
      <w:r>
        <w:rPr>
          <w:rFonts w:ascii="Arial" w:cs="Arial" w:eastAsia="Arial" w:hAnsi="Arial"/>
          <w:sz w:val="22"/>
          <w:szCs w:val="22"/>
        </w:rPr>
        <w:t xml:space="preserve">Headroom must be restored at the next test date. No action needed in the interim; just grace.</w:t>
      </w:r>
    </w:p>
    <w:p>
      <w:pPr>
        <w:pStyle w:val="Heading3"/>
        <w:spacing w:after="80" w:before="180"/>
      </w:pPr>
      <w:r>
        <w:rPr>
          <w:rFonts w:ascii="Arial" w:cs="Arial" w:eastAsia="Arial" w:hAnsi="Arial"/>
          <w:b/>
          <w:bCs/>
          <w:color w:val="263849"/>
          <w:sz w:val="26"/>
          <w:szCs w:val="26"/>
        </w:rPr>
        <w:t xml:space="preserve">4.8.5 Step-in cure</w:t>
      </w:r>
    </w:p>
    <w:p>
      <w:pPr>
        <w:spacing w:after="140" w:line="280"/>
        <w:jc w:val="both"/>
      </w:pPr>
      <w:r>
        <w:rPr>
          <w:rFonts w:ascii="Arial" w:cs="Arial" w:eastAsia="Arial" w:hAnsi="Arial"/>
          <w:sz w:val="22"/>
          <w:szCs w:val="22"/>
        </w:rPr>
        <w:t xml:space="preserve">Facility agent / lender takes operational control. Effectively a soft enforcement.</w:t>
      </w:r>
    </w:p>
    <w:p>
      <w:pPr>
        <w:pStyle w:val="Heading2"/>
        <w:spacing w:after="120" w:before="240"/>
      </w:pPr>
      <w:r>
        <w:rPr>
          <w:rFonts w:ascii="Arial" w:cs="Arial" w:eastAsia="Arial" w:hAnsi="Arial"/>
          <w:b/>
          <w:bCs/>
          <w:color w:val="263849"/>
          <w:sz w:val="30"/>
          <w:szCs w:val="30"/>
        </w:rPr>
        <w:t xml:space="preserve">4.9 Covenant testing engine lifecycle</w:t>
      </w:r>
    </w:p>
    <w:p>
      <w:pPr>
        <w:pStyle w:val="ListParagraph"/>
        <w:numPr>
          <w:ilvl w:val="0"/>
          <w:numId w:val="2"/>
        </w:numPr>
        <w:spacing w:after="60"/>
      </w:pPr>
      <w:r>
        <w:rPr>
          <w:rFonts w:ascii="Arial" w:cs="Arial" w:eastAsia="Arial" w:hAnsi="Arial"/>
          <w:sz w:val="22"/>
          <w:szCs w:val="22"/>
        </w:rPr>
        <w:t xml:space="preserve">Triggered on commit of a new financial period (from document intake), or explicitly via POST /api/engines/covenant-tests/{slug}.</w:t>
      </w:r>
    </w:p>
    <w:p>
      <w:pPr>
        <w:pStyle w:val="ListParagraph"/>
        <w:numPr>
          <w:ilvl w:val="0"/>
          <w:numId w:val="2"/>
        </w:numPr>
        <w:spacing w:after="60"/>
      </w:pPr>
      <w:r>
        <w:rPr>
          <w:rFonts w:ascii="Arial" w:cs="Arial" w:eastAsia="Arial" w:hAnsi="Arial"/>
          <w:sz w:val="22"/>
          <w:szCs w:val="22"/>
        </w:rPr>
        <w:t xml:space="preserve">For each active covenant: resolve metric_key → callable → compute actual_value using the configured ratio_level.</w:t>
      </w:r>
    </w:p>
    <w:p>
      <w:pPr>
        <w:pStyle w:val="ListParagraph"/>
        <w:numPr>
          <w:ilvl w:val="0"/>
          <w:numId w:val="2"/>
        </w:numPr>
        <w:spacing w:after="60"/>
      </w:pPr>
      <w:r>
        <w:rPr>
          <w:rFonts w:ascii="Arial" w:cs="Arial" w:eastAsia="Arial" w:hAnsi="Arial"/>
          <w:sz w:val="22"/>
          <w:szCs w:val="22"/>
        </w:rPr>
        <w:t xml:space="preserve">Compare against lockup_level and trigger_level; classify result; compute headroom_pct; write covenant_tests row.</w:t>
      </w:r>
    </w:p>
    <w:p>
      <w:pPr>
        <w:pStyle w:val="ListParagraph"/>
        <w:numPr>
          <w:ilvl w:val="0"/>
          <w:numId w:val="2"/>
        </w:numPr>
        <w:spacing w:after="60"/>
      </w:pPr>
      <w:r>
        <w:rPr>
          <w:rFonts w:ascii="Arial" w:cs="Arial" w:eastAsia="Arial" w:hAnsi="Arial"/>
          <w:sz w:val="22"/>
          <w:szCs w:val="22"/>
        </w:rPr>
        <w:t xml:space="preserve">If newly in lockup/trigger/default: open compliance_alerts row; write activity_events.</w:t>
      </w:r>
    </w:p>
    <w:p>
      <w:pPr>
        <w:pStyle w:val="ListParagraph"/>
        <w:numPr>
          <w:ilvl w:val="0"/>
          <w:numId w:val="2"/>
        </w:numPr>
        <w:spacing w:after="60"/>
      </w:pPr>
      <w:r>
        <w:rPr>
          <w:rFonts w:ascii="Arial" w:cs="Arial" w:eastAsia="Arial" w:hAnsi="Arial"/>
          <w:sz w:val="22"/>
          <w:szCs w:val="22"/>
        </w:rPr>
        <w:t xml:space="preserve">Cascade: Distribution Assessment Engine re-run; Grade Engine re-run.</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Grade-engine multi-metric tie-breakers: when DSCR headroom and collateral headroom produce different band candidates, we take the worst. But when two band-candidates are equal and trend band disagrees, the precedence rule is not yet specified. Flag as outstanding.</w:t>
      </w:r>
    </w:p>
    <w:p>
      <w:pPr>
        <w:pStyle w:val="Heading2"/>
        <w:spacing w:after="120" w:before="240"/>
      </w:pPr>
      <w:r>
        <w:rPr>
          <w:rFonts w:ascii="Arial" w:cs="Arial" w:eastAsia="Arial" w:hAnsi="Arial"/>
          <w:b/>
          <w:bCs/>
          <w:color w:val="263849"/>
          <w:sz w:val="30"/>
          <w:szCs w:val="30"/>
        </w:rPr>
        <w:t xml:space="preserve">4.10 Testing frequency and lag</w:t>
      </w:r>
    </w:p>
    <w:p>
      <w:pPr>
        <w:spacing w:after="140" w:line="280"/>
        <w:jc w:val="both"/>
      </w:pPr>
      <w:r>
        <w:rPr>
          <w:rFonts w:ascii="Arial" w:cs="Arial" w:eastAsia="Arial" w:hAnsi="Arial"/>
          <w:sz w:val="22"/>
          <w:szCs w:val="22"/>
        </w:rPr>
        <w:t xml:space="preserve">Covenant test frequency runs from monthly (reserves) to annual (LTV/valuation). Tests are scheduled against deal_reporting_periods — the engine runs at period close plus reporting_lag_days, once the actuals have arrived and been approved.</w:t>
      </w:r>
    </w:p>
    <w:p>
      <w:pPr>
        <w:spacing w:after="140" w:line="280"/>
        <w:jc w:val="both"/>
      </w:pPr>
      <w:r>
        <w:rPr>
          <w:rFonts w:ascii="Arial" w:cs="Arial" w:eastAsia="Arial" w:hAnsi="Arial"/>
          <w:sz w:val="22"/>
          <w:szCs w:val="22"/>
        </w:rPr>
        <w:t xml:space="preserve">Continuous covenants (insurance maintenance, negative pledges) are evaluated whenever a related event arrives rather than on a schedule.</w:t>
      </w:r>
    </w:p>
    <w:p>
      <w:pPr>
        <w:pStyle w:val="Heading2"/>
        <w:spacing w:after="120" w:before="240"/>
      </w:pPr>
      <w:r>
        <w:rPr>
          <w:rFonts w:ascii="Arial" w:cs="Arial" w:eastAsia="Arial" w:hAnsi="Arial"/>
          <w:b/>
          <w:bCs/>
          <w:color w:val="263849"/>
          <w:sz w:val="30"/>
          <w:szCs w:val="30"/>
        </w:rPr>
        <w:t xml:space="preserve">4.11 Amendments and covenant evolution</w:t>
      </w:r>
    </w:p>
    <w:p>
      <w:pPr>
        <w:spacing w:after="140" w:line="280"/>
        <w:jc w:val="both"/>
      </w:pPr>
      <w:r>
        <w:rPr>
          <w:rFonts w:ascii="Arial" w:cs="Arial" w:eastAsia="Arial" w:hAnsi="Arial"/>
          <w:sz w:val="22"/>
          <w:szCs w:val="22"/>
        </w:rPr>
        <w:t xml:space="preserve">Covenants that change through the life of the deal (e.g. waiver of a specific test, reset of a level after an amendment) are handled via deal_amendments → amendment_change_impacts → covenant_thresholds supersession.</w:t>
      </w:r>
    </w:p>
    <w:p>
      <w:pPr>
        <w:pStyle w:val="ListParagraph"/>
        <w:numPr>
          <w:ilvl w:val="0"/>
          <w:numId w:val="2"/>
        </w:numPr>
        <w:spacing w:after="60"/>
      </w:pPr>
      <w:r>
        <w:rPr>
          <w:rFonts w:ascii="Arial" w:cs="Arial" w:eastAsia="Arial" w:hAnsi="Arial"/>
          <w:sz w:val="22"/>
          <w:szCs w:val="22"/>
        </w:rPr>
        <w:t xml:space="preserve">Insert new covenant_thresholds row with deal_amendment_id set, active=true, effective levels.</w:t>
      </w:r>
    </w:p>
    <w:p>
      <w:pPr>
        <w:pStyle w:val="ListParagraph"/>
        <w:numPr>
          <w:ilvl w:val="0"/>
          <w:numId w:val="2"/>
        </w:numPr>
        <w:spacing w:after="60"/>
      </w:pPr>
      <w:r>
        <w:rPr>
          <w:rFonts w:ascii="Arial" w:cs="Arial" w:eastAsia="Arial" w:hAnsi="Arial"/>
          <w:sz w:val="22"/>
          <w:szCs w:val="22"/>
        </w:rPr>
        <w:t xml:space="preserve">Update old row: active=false (leaves historical record).</w:t>
      </w:r>
    </w:p>
    <w:p>
      <w:pPr>
        <w:pStyle w:val="ListParagraph"/>
        <w:numPr>
          <w:ilvl w:val="0"/>
          <w:numId w:val="2"/>
        </w:numPr>
        <w:spacing w:after="60"/>
      </w:pPr>
      <w:r>
        <w:rPr>
          <w:rFonts w:ascii="Arial" w:cs="Arial" w:eastAsia="Arial" w:hAnsi="Arial"/>
          <w:sz w:val="22"/>
          <w:szCs w:val="22"/>
        </w:rPr>
        <w:t xml:space="preserve">amendment_change_impacts records the old and new level values.</w:t>
      </w:r>
    </w:p>
    <w:p>
      <w:pPr>
        <w:pStyle w:val="ListParagraph"/>
        <w:numPr>
          <w:ilvl w:val="0"/>
          <w:numId w:val="2"/>
        </w:numPr>
        <w:spacing w:after="60"/>
      </w:pPr>
      <w:r>
        <w:rPr>
          <w:rFonts w:ascii="Arial" w:cs="Arial" w:eastAsia="Arial" w:hAnsi="Arial"/>
          <w:sz w:val="22"/>
          <w:szCs w:val="22"/>
        </w:rPr>
        <w:t xml:space="preserve">Future covenant_tests are evaluated against the new active row; historical tests remain tied to the threshold levels they used (frozen on the test row).</w:t>
      </w:r>
    </w:p>
    <w:p>
      <w:pPr>
        <w:pStyle w:val="Heading2"/>
        <w:spacing w:after="120" w:before="240"/>
      </w:pPr>
      <w:r>
        <w:rPr>
          <w:rFonts w:ascii="Arial" w:cs="Arial" w:eastAsia="Arial" w:hAnsi="Arial"/>
          <w:b/>
          <w:bCs/>
          <w:color w:val="263849"/>
          <w:sz w:val="30"/>
          <w:szCs w:val="30"/>
        </w:rPr>
        <w:t xml:space="preserve">4.12 Sector default thresholds (illustrative)</w:t>
      </w:r>
    </w:p>
    <w:p>
      <w:pPr>
        <w:spacing w:after="140" w:line="280"/>
        <w:jc w:val="both"/>
      </w:pPr>
      <w:r>
        <w:rPr>
          <w:rFonts w:ascii="Arial" w:cs="Arial" w:eastAsia="Arial" w:hAnsi="Arial"/>
          <w:sz w:val="22"/>
          <w:szCs w:val="22"/>
        </w:rPr>
        <w:t xml:space="preserve">These are starting points proposed at ingestion. Analyst adjusts before commit.</w:t>
      </w:r>
    </w:p>
    <w:p>
      <w:pPr>
        <w:pStyle w:val="Heading3"/>
        <w:spacing w:after="80" w:before="180"/>
      </w:pPr>
      <w:r>
        <w:rPr>
          <w:rFonts w:ascii="Arial" w:cs="Arial" w:eastAsia="Arial" w:hAnsi="Arial"/>
          <w:b/>
          <w:bCs/>
          <w:color w:val="263849"/>
          <w:sz w:val="26"/>
          <w:szCs w:val="26"/>
        </w:rPr>
        <w:t xml:space="preserve">Data centre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3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Covenant</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Lockup</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Trigger</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Freq</w:t>
            </w:r>
          </w:p>
        </w:tc>
        <w:tc>
          <w:tcPr>
            <w:tcW w:type="dxa" w:w="3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Historic DSCR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Quarterly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 net of power cost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Forward DSCR (4Q)</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Quarterly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LLCR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1.35×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Tail-sensitive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LTV</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 minimum</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 months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months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Monthly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3"/>
        <w:spacing w:after="80" w:before="180"/>
      </w:pPr>
      <w:r>
        <w:rPr>
          <w:rFonts w:ascii="Arial" w:cs="Arial" w:eastAsia="Arial" w:hAnsi="Arial"/>
          <w:b/>
          <w:bCs/>
          <w:color w:val="263849"/>
          <w:sz w:val="26"/>
          <w:szCs w:val="26"/>
        </w:rPr>
        <w:t xml:space="preserve">Offshore wind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3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Covenant</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Lockup</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Trigger</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Freq</w:t>
            </w:r>
          </w:p>
        </w:tc>
        <w:tc>
          <w:tcPr>
            <w:tcW w:type="dxa" w:w="3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Backward DSCR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P50 yield underpin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Forward DSCR (12M)</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LLCR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1.30×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CfD + merchant haircut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Gearing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 months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months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Monthly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MRA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Funded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75%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Blade/gearbox lifecycle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Carbon ESG SPT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50 gCO2/kWh</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Margin ratchet trigger</w:t>
            </w:r>
          </w:p>
        </w:tc>
      </w:tr>
    </w:tbl>
    <w:p>
      <w:pPr>
        <w:pStyle w:val="Heading3"/>
        <w:spacing w:after="80" w:before="180"/>
      </w:pPr>
      <w:r>
        <w:rPr>
          <w:rFonts w:ascii="Arial" w:cs="Arial" w:eastAsia="Arial" w:hAnsi="Arial"/>
          <w:b/>
          <w:bCs/>
          <w:color w:val="263849"/>
          <w:sz w:val="26"/>
          <w:szCs w:val="26"/>
        </w:rPr>
        <w:t xml:space="preserve">Airport (fully-wired PF template)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3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Covenant</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Lockup</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Trigger</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Freq</w:t>
            </w:r>
          </w:p>
        </w:tc>
        <w:tc>
          <w:tcPr>
            <w:tcW w:type="dxa" w:w="3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Net Debt / EBITDA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RAR (regulated)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Where price-control applies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Passenger reporting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Monthly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Information</w:t>
            </w:r>
          </w:p>
        </w:tc>
      </w:tr>
    </w:tbl>
    <w:p>
      <w:pPr>
        <w:pStyle w:val="Heading3"/>
        <w:spacing w:after="80" w:before="180"/>
      </w:pPr>
      <w:r>
        <w:rPr>
          <w:rFonts w:ascii="Arial" w:cs="Arial" w:eastAsia="Arial" w:hAnsi="Arial"/>
          <w:b/>
          <w:bCs/>
          <w:color w:val="263849"/>
          <w:sz w:val="26"/>
          <w:szCs w:val="26"/>
        </w:rPr>
        <w:t xml:space="preserve">Toll road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3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Covenant</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Lockup</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Trigger</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Freq</w:t>
            </w:r>
          </w:p>
        </w:tc>
        <w:tc>
          <w:tcPr>
            <w:tcW w:type="dxa" w:w="3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Backward DSCR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1.30×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Concession life cover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MRA funded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Pavement lifecycle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Traffic reporting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Monthly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Information</w:t>
            </w:r>
          </w:p>
        </w:tc>
      </w:tr>
    </w:tbl>
    <w:p>
      <w:pPr>
        <w:pStyle w:val="Heading3"/>
        <w:spacing w:after="80" w:before="180"/>
      </w:pPr>
      <w:r>
        <w:rPr>
          <w:rFonts w:ascii="Arial" w:cs="Arial" w:eastAsia="Arial" w:hAnsi="Arial"/>
          <w:b/>
          <w:bCs/>
          <w:color w:val="263849"/>
          <w:sz w:val="26"/>
          <w:szCs w:val="26"/>
        </w:rPr>
        <w:t xml:space="preserve">PRS residential real estate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3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Covenant</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Lockup</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Trigger</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Freq</w:t>
            </w:r>
          </w:p>
        </w:tc>
        <w:tc>
          <w:tcPr>
            <w:tcW w:type="dxa" w:w="3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1.60×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Rental income / interest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Semi-annual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LTV</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Occupancy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85%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75%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Quarterly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EPC compliance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Non-compliant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Information</w:t>
            </w:r>
          </w:p>
        </w:tc>
      </w:tr>
    </w:tbl>
    <w:p>
      <w:pPr>
        <w:pStyle w:val="Heading3"/>
        <w:spacing w:after="80" w:before="180"/>
      </w:pPr>
      <w:r>
        <w:rPr>
          <w:rFonts w:ascii="Arial" w:cs="Arial" w:eastAsia="Arial" w:hAnsi="Arial"/>
          <w:b/>
          <w:bCs/>
          <w:color w:val="263849"/>
          <w:sz w:val="26"/>
          <w:szCs w:val="26"/>
        </w:rPr>
        <w:t xml:space="preserve">Solar PV, port, rail, social infrastructure, clean tech</w:t>
      </w:r>
    </w:p>
    <w:p>
      <w:pPr>
        <w:spacing w:after="140" w:line="280"/>
        <w:jc w:val="both"/>
      </w:pPr>
      <w:r>
        <w:rPr>
          <w:rFonts w:ascii="Arial" w:cs="Arial" w:eastAsia="Arial" w:hAnsi="Arial"/>
          <w:sz w:val="22"/>
          <w:szCs w:val="22"/>
        </w:rPr>
        <w:t xml:space="preserve">Each has an equivalent default covenant set. See A2 Covenant Register for the detail. The PRS, airport, toll road, and wind tables above illustrate the pattern.</w:t>
      </w:r>
    </w:p>
    <w:p>
      <w:pPr>
        <w:pStyle w:val="Heading2"/>
        <w:spacing w:after="120" w:before="240"/>
      </w:pPr>
      <w:r>
        <w:rPr>
          <w:rFonts w:ascii="Arial" w:cs="Arial" w:eastAsia="Arial" w:hAnsi="Arial"/>
          <w:b/>
          <w:bCs/>
          <w:color w:val="263849"/>
          <w:sz w:val="30"/>
          <w:szCs w:val="30"/>
        </w:rPr>
        <w:t xml:space="preserve">4.13 Worked example — Gatwick latest test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3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Covenant</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Lockup</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Trigger</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Latest</w:t>
            </w:r>
          </w:p>
        </w:tc>
        <w:tc>
          <w:tcPr>
            <w:tcW w:type="dxa" w:w="3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Tier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1.62×</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4.10×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Net Debt / EBITDA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5.8×</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Passenger reporting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Performing</w:t>
            </w:r>
          </w:p>
        </w:tc>
      </w:tr>
    </w:tbl>
    <w:p>
      <w:pPr>
        <w:spacing w:after="140" w:line="280"/>
        <w:jc w:val="both"/>
      </w:pPr>
      <w:r>
        <w:rPr>
          <w:rFonts w:ascii="Arial" w:cs="Arial" w:eastAsia="Arial" w:hAnsi="Arial"/>
          <w:sz w:val="22"/>
          <w:szCs w:val="22"/>
        </w:rPr>
        <w:t xml:space="preserve">Under the single-variant pandemic stress scenario: FY2026 forecast DSCR drops to 0.4× — well below trigger — which is why the stress is material and why a single-variant forecast case was created for this risk.</w:t>
      </w:r>
    </w:p>
    <w:p>
      <w:pPr>
        <w:pStyle w:val="Heading1"/>
        <w:pageBreakBefore/>
        <w:spacing w:after="180" w:before="240"/>
      </w:pPr>
      <w:r>
        <w:rPr>
          <w:rFonts w:ascii="Arial" w:cs="Arial" w:eastAsia="Arial" w:hAnsi="Arial"/>
          <w:b/>
          <w:bCs/>
          <w:color w:val="1F6FA5"/>
          <w:sz w:val="40"/>
          <w:szCs w:val="40"/>
        </w:rPr>
        <w:t xml:space="preserve">Part V — Risk framework</w:t>
      </w:r>
    </w:p>
    <w:p>
      <w:pPr>
        <w:pStyle w:val="Heading2"/>
        <w:spacing w:after="120" w:before="240"/>
      </w:pPr>
      <w:r>
        <w:rPr>
          <w:rFonts w:ascii="Arial" w:cs="Arial" w:eastAsia="Arial" w:hAnsi="Arial"/>
          <w:b/>
          <w:bCs/>
          <w:color w:val="263849"/>
          <w:sz w:val="30"/>
          <w:szCs w:val="30"/>
        </w:rPr>
        <w:t xml:space="preserve">5.1 Purpose</w:t>
      </w:r>
    </w:p>
    <w:p>
      <w:pPr>
        <w:spacing w:after="140" w:line="280"/>
        <w:jc w:val="both"/>
      </w:pPr>
      <w:r>
        <w:rPr>
          <w:rFonts w:ascii="Arial" w:cs="Arial" w:eastAsia="Arial" w:hAnsi="Arial"/>
          <w:sz w:val="22"/>
          <w:szCs w:val="22"/>
        </w:rPr>
        <w:t xml:space="preserve">The risk register is the structured record of identified risks against each deal. It exists to: (a) make IC-memo risks visible after investment; (b) drive the single-variant-stress forecast machinery, where each stress case links back to a risk_register row via driving_risk_id; (c) feed the deterministic Risk Narrative Generator that produces deal-page commentary; (d) give portfolio managers a cross-deal view of which risks are prevalent.</w:t>
      </w:r>
    </w:p>
    <w:p>
      <w:pPr>
        <w:pStyle w:val="Heading2"/>
        <w:spacing w:after="120" w:before="240"/>
      </w:pPr>
      <w:r>
        <w:rPr>
          <w:rFonts w:ascii="Arial" w:cs="Arial" w:eastAsia="Arial" w:hAnsi="Arial"/>
          <w:b/>
          <w:bCs/>
          <w:color w:val="263849"/>
          <w:sz w:val="30"/>
          <w:szCs w:val="30"/>
        </w:rPr>
        <w:t xml:space="preserve">5.2 Taxonomy</w:t>
      </w:r>
    </w:p>
    <w:p>
      <w:pPr>
        <w:spacing w:after="140" w:line="280"/>
        <w:jc w:val="both"/>
      </w:pPr>
      <w:r>
        <w:rPr>
          <w:rFonts w:ascii="Arial" w:cs="Arial" w:eastAsia="Arial" w:hAnsi="Arial"/>
          <w:sz w:val="22"/>
          <w:szCs w:val="22"/>
        </w:rPr>
        <w:t xml:space="preserve">Risks are organised hierarchically. The top-level families are shared across every sector; sub-categories narrow to sector-specific patterns. ~80 seeded nodes in risk_taxonomy.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Scope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Physical or operational asset risk — component failure, performance degradation, obsolescence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Demand, pricing, offtaker concentration, merchant exposure, contract rollover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Credit quality of counterparties: offtaker, EPC, O&amp;M, insurer, sponsor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change, political interference, permit revocation, expropriation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Physical climate, transition risk, biodiversity, social licence, governance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O&amp;M execution, availability, safety, labour, supply chain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Macro / FX</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Inflation, interest rates, FX exposure, macro cycle sensitivity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Liquidity / Refinancing</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Refi risk at maturity, covenant lite vs tight structure, reserve adequacy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Legal / Structural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Jurisdictional enforceability, perfection of security, subordination, covenant quality</w:t>
            </w:r>
          </w:p>
        </w:tc>
      </w:tr>
    </w:tbl>
    <w:p>
      <w:pPr>
        <w:pStyle w:val="Heading2"/>
        <w:spacing w:after="120" w:before="240"/>
      </w:pPr>
      <w:r>
        <w:rPr>
          <w:rFonts w:ascii="Arial" w:cs="Arial" w:eastAsia="Arial" w:hAnsi="Arial"/>
          <w:b/>
          <w:bCs/>
          <w:color w:val="263849"/>
          <w:sz w:val="30"/>
          <w:szCs w:val="30"/>
        </w:rPr>
        <w:t xml:space="preserve">5.3 Risk-to-scenario linkage</w:t>
      </w:r>
    </w:p>
    <w:p>
      <w:pPr>
        <w:spacing w:after="140" w:line="280"/>
        <w:jc w:val="both"/>
      </w:pPr>
      <w:r>
        <w:rPr>
          <w:rFonts w:ascii="Arial" w:cs="Arial" w:eastAsia="Arial" w:hAnsi="Arial"/>
          <w:sz w:val="22"/>
          <w:szCs w:val="22"/>
        </w:rPr>
        <w:t xml:space="preserve">A risk row becomes a stress scenario when the IC determines it materially affects one or more KPIs. The stress is stored as a forecast_cases row with scenario_kind='single_variant_stress' and driving_risk_id pointing back to the risk. The KPI chart overlay displays these as dashed lines inside the combined-downside band.</w:t>
      </w:r>
    </w:p>
    <w:p>
      <w:pPr>
        <w:spacing w:after="140" w:line="280"/>
        <w:jc w:val="both"/>
      </w:pPr>
      <w:r>
        <w:rPr>
          <w:rFonts w:ascii="Arial" w:cs="Arial" w:eastAsia="Arial" w:hAnsi="Arial"/>
          <w:sz w:val="22"/>
          <w:szCs w:val="22"/>
        </w:rPr>
        <w:t xml:space="preserve">Single-variant stresses are sparse: they appear only for the risks the IC explicitly stressed, and they cover only the KPIs directly affected. Most risks do not have a stress scenario.</w:t>
      </w:r>
    </w:p>
    <w:p>
      <w:pPr>
        <w:pStyle w:val="Heading2"/>
        <w:spacing w:after="120" w:before="240"/>
      </w:pPr>
      <w:r>
        <w:rPr>
          <w:rFonts w:ascii="Arial" w:cs="Arial" w:eastAsia="Arial" w:hAnsi="Arial"/>
          <w:b/>
          <w:bCs/>
          <w:color w:val="263849"/>
          <w:sz w:val="30"/>
          <w:szCs w:val="30"/>
        </w:rPr>
        <w:t xml:space="preserve">5.4 Likelihood and severity</w:t>
      </w:r>
    </w:p>
    <w:p>
      <w:pPr>
        <w:spacing w:after="140" w:line="280"/>
        <w:jc w:val="both"/>
      </w:pPr>
      <w:r>
        <w:rPr>
          <w:rFonts w:ascii="Arial" w:cs="Arial" w:eastAsia="Arial" w:hAnsi="Arial"/>
          <w:sz w:val="22"/>
          <w:szCs w:val="22"/>
        </w:rPr>
        <w:t xml:space="preserve">Both accept qualitative (word) or quantitative (1–5) values. The Risk Narrative Generator coerces qualitative to numeric via lookup tables: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Word</w:t>
            </w:r>
          </w:p>
        </w:tc>
        <w:tc>
          <w:tcPr>
            <w:tcW w:type="dxa" w:w="2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Numeric</w:t>
            </w:r>
          </w:p>
        </w:tc>
        <w:tc>
          <w:tcPr>
            <w:tcW w:type="dxa" w:w="5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Narrative band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rare / very_unlikely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 likelihood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unlikely / not_likely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Unlikely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possible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Plausible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likely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Likely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almost_certain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likelihood</w:t>
            </w:r>
          </w:p>
        </w:tc>
      </w:tr>
    </w:tbl>
    <w:p>
      <w:pPr>
        <w:spacing w:after="140" w:line="280"/>
        <w:jc w:val="both"/>
      </w:pPr>
      <w:r>
        <w:rPr>
          <w:rFonts w:ascii="Arial" w:cs="Arial" w:eastAsia="Arial" w:hAnsi="Arial"/>
          <w:sz w:val="22"/>
          <w:szCs w:val="22"/>
        </w:rPr>
        <w:t xml:space="preserve">Severity uses negligible / minor / moderate / major / severe for the same 1–5 mapping.</w:t>
      </w:r>
    </w:p>
    <w:p>
      <w:pPr>
        <w:pBdr>
          <w:left w:val="single" w:color="1F6FA5" w:sz="16" w:space="10"/>
        </w:pBdr>
        <w:spacing w:after="160" w:before="80"/>
        <w:ind w:left="200"/>
      </w:pPr>
      <w:r>
        <w:rPr>
          <w:rFonts w:ascii="Arial" w:cs="Arial" w:eastAsia="Arial" w:hAnsi="Arial"/>
          <w:i/>
          <w:iCs/>
          <w:color w:val="56718A"/>
          <w:sz w:val="22"/>
          <w:szCs w:val="22"/>
        </w:rPr>
        <w:t xml:space="preserve">Bug fix captured 2026-04: generate_risk_narrative() now tolerates qualitative input. Prior version crashed on int('likely'). The coercion is via _LIKELIHOOD_WORD_MAP and _SEVERITY_WORD_MAP in server/main.py.</w:t>
      </w:r>
    </w:p>
    <w:p>
      <w:pPr>
        <w:pStyle w:val="Heading2"/>
        <w:spacing w:after="120" w:before="240"/>
      </w:pPr>
      <w:r>
        <w:rPr>
          <w:rFonts w:ascii="Arial" w:cs="Arial" w:eastAsia="Arial" w:hAnsi="Arial"/>
          <w:b/>
          <w:bCs/>
          <w:color w:val="263849"/>
          <w:sz w:val="30"/>
          <w:szCs w:val="30"/>
        </w:rPr>
        <w:t xml:space="preserve">5.5 Direction of impact</w:t>
      </w:r>
    </w:p>
    <w:p>
      <w:pPr>
        <w:spacing w:after="140" w:line="280"/>
        <w:jc w:val="both"/>
      </w:pPr>
      <w:r>
        <w:rPr>
          <w:rFonts w:ascii="Arial" w:cs="Arial" w:eastAsia="Arial" w:hAnsi="Arial"/>
          <w:sz w:val="22"/>
          <w:szCs w:val="22"/>
        </w:rPr>
        <w:t xml:space="preserve">Controlled vocabulary in the direction_of_impact column:</w:t>
      </w:r>
    </w:p>
    <w:p>
      <w:pPr>
        <w:pStyle w:val="ListParagraph"/>
        <w:numPr>
          <w:ilvl w:val="0"/>
          <w:numId w:val="2"/>
        </w:numPr>
        <w:spacing w:after="60"/>
      </w:pPr>
      <w:r>
        <w:rPr>
          <w:rFonts w:ascii="Arial" w:cs="Arial" w:eastAsia="Arial" w:hAnsi="Arial"/>
          <w:sz w:val="22"/>
          <w:szCs w:val="22"/>
        </w:rPr>
        <w:t xml:space="preserve">revenue_down — reduces top line</w:t>
      </w:r>
    </w:p>
    <w:p>
      <w:pPr>
        <w:pStyle w:val="ListParagraph"/>
        <w:numPr>
          <w:ilvl w:val="0"/>
          <w:numId w:val="2"/>
        </w:numPr>
        <w:spacing w:after="60"/>
      </w:pPr>
      <w:r>
        <w:rPr>
          <w:rFonts w:ascii="Arial" w:cs="Arial" w:eastAsia="Arial" w:hAnsi="Arial"/>
          <w:sz w:val="22"/>
          <w:szCs w:val="22"/>
        </w:rPr>
        <w:t xml:space="preserve">cost_up — increases opex</w:t>
      </w:r>
    </w:p>
    <w:p>
      <w:pPr>
        <w:pStyle w:val="ListParagraph"/>
        <w:numPr>
          <w:ilvl w:val="0"/>
          <w:numId w:val="2"/>
        </w:numPr>
        <w:spacing w:after="60"/>
      </w:pPr>
      <w:r>
        <w:rPr>
          <w:rFonts w:ascii="Arial" w:cs="Arial" w:eastAsia="Arial" w:hAnsi="Arial"/>
          <w:sz w:val="22"/>
          <w:szCs w:val="22"/>
        </w:rPr>
        <w:t xml:space="preserve">capex_up — forces unbudgeted capex</w:t>
      </w:r>
    </w:p>
    <w:p>
      <w:pPr>
        <w:pStyle w:val="ListParagraph"/>
        <w:numPr>
          <w:ilvl w:val="0"/>
          <w:numId w:val="2"/>
        </w:numPr>
        <w:spacing w:after="60"/>
      </w:pPr>
      <w:r>
        <w:rPr>
          <w:rFonts w:ascii="Arial" w:cs="Arial" w:eastAsia="Arial" w:hAnsi="Arial"/>
          <w:sz w:val="22"/>
          <w:szCs w:val="22"/>
        </w:rPr>
        <w:t xml:space="preserve">valuation_down — hits asset value / LTV</w:t>
      </w:r>
    </w:p>
    <w:p>
      <w:pPr>
        <w:pStyle w:val="ListParagraph"/>
        <w:numPr>
          <w:ilvl w:val="0"/>
          <w:numId w:val="2"/>
        </w:numPr>
        <w:spacing w:after="60"/>
      </w:pPr>
      <w:r>
        <w:rPr>
          <w:rFonts w:ascii="Arial" w:cs="Arial" w:eastAsia="Arial" w:hAnsi="Arial"/>
          <w:sz w:val="22"/>
          <w:szCs w:val="22"/>
        </w:rPr>
        <w:t xml:space="preserve">covenant_breach — directly triggers a covenant</w:t>
      </w:r>
    </w:p>
    <w:p>
      <w:pPr>
        <w:pStyle w:val="ListParagraph"/>
        <w:numPr>
          <w:ilvl w:val="0"/>
          <w:numId w:val="2"/>
        </w:numPr>
        <w:spacing w:after="60"/>
      </w:pPr>
      <w:r>
        <w:rPr>
          <w:rFonts w:ascii="Arial" w:cs="Arial" w:eastAsia="Arial" w:hAnsi="Arial"/>
          <w:sz w:val="22"/>
          <w:szCs w:val="22"/>
        </w:rPr>
        <w:t xml:space="preserve">other — free-text rationale required</w:t>
      </w:r>
    </w:p>
    <w:p>
      <w:pPr>
        <w:pStyle w:val="Heading2"/>
        <w:spacing w:after="120" w:before="240"/>
      </w:pPr>
      <w:r>
        <w:rPr>
          <w:rFonts w:ascii="Arial" w:cs="Arial" w:eastAsia="Arial" w:hAnsi="Arial"/>
          <w:b/>
          <w:bCs/>
          <w:color w:val="263849"/>
          <w:sz w:val="30"/>
          <w:szCs w:val="30"/>
        </w:rPr>
        <w:t xml:space="preserve">5.6 Prevalent risks by sector</w:t>
      </w:r>
    </w:p>
    <w:p>
      <w:pPr>
        <w:spacing w:after="140" w:line="280"/>
        <w:jc w:val="both"/>
      </w:pPr>
      <w:r>
        <w:rPr>
          <w:rFonts w:ascii="Arial" w:cs="Arial" w:eastAsia="Arial" w:hAnsi="Arial"/>
          <w:sz w:val="22"/>
          <w:szCs w:val="22"/>
        </w:rPr>
        <w:t xml:space="preserve">The tables below are the risks we would expect at IC for a representative deal in each sector. Boldened in the repo's seed data are candidates for explicit single-variant stress scenarios.</w:t>
      </w:r>
    </w:p>
    <w:p>
      <w:pPr>
        <w:pStyle w:val="Heading3"/>
        <w:spacing w:after="80" w:before="180"/>
      </w:pPr>
      <w:r>
        <w:rPr>
          <w:rFonts w:ascii="Arial" w:cs="Arial" w:eastAsia="Arial" w:hAnsi="Arial"/>
          <w:b/>
          <w:bCs/>
          <w:color w:val="263849"/>
          <w:sz w:val="26"/>
          <w:szCs w:val="26"/>
        </w:rPr>
        <w:t xml:space="preserve">5.6.1 Data centre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Risk title</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Sev/Lik</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Hyperscaler tenant concentration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Single anchor &gt; 60% of revenue; loss at rollover would trigger lockup</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Power cost inflation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Macro / FX</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High</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PUE-adjusted power is largest opex; pass-through partial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Grid connection queue delay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Pre-COD queue risk for grid upgrades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Cooling system failure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Liquid-cooling adoption carries unproven-tech risk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Water availability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Drought-region restrictions can force PUE step-up</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Obsolescence from next-gen chip density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Older halls under-equipped for GPU racks &gt; 50 kW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Fibre cut / connectivity outage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Single-path fibre deals vulnerable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Cybersecurity incident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Tenant data-loss triggers MSA termination rights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Sponsor equity support step-down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Post-stabilisation cure commitment often reduced</w:t>
            </w:r>
          </w:p>
        </w:tc>
      </w:tr>
    </w:tbl>
    <w:p>
      <w:pPr>
        <w:pStyle w:val="Heading3"/>
        <w:spacing w:after="80" w:before="180"/>
      </w:pPr>
      <w:r>
        <w:rPr>
          <w:rFonts w:ascii="Arial" w:cs="Arial" w:eastAsia="Arial" w:hAnsi="Arial"/>
          <w:b/>
          <w:bCs/>
          <w:color w:val="263849"/>
          <w:sz w:val="26"/>
          <w:szCs w:val="26"/>
        </w:rPr>
        <w:t xml:space="preserve">5.6.2 Offshore wind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Risk title</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Sev/Lik</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Wind resource underperformance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P50 vs actual divergence. Stress candidate.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Merchant price exposure post-CfD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 years expose to wholesale prices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Cable failure / submarine exposure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Export cable = largest historical loss source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Blade defect from shared supplier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Industry-wide recalls 2023–25</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O&amp;M vessel availability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Winter storm access constraints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CfD contract enforceability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Retrospective strike-price review risk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Biodiversity / seabird protection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Curtailment during migration; Scotland precedent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Steel/copper price inflation pre-COD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Macro / FX</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Construction cost over-run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Carbon intensity SPT miss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Feeds margin ratchet</w:t>
            </w:r>
          </w:p>
        </w:tc>
      </w:tr>
    </w:tbl>
    <w:p>
      <w:pPr>
        <w:pStyle w:val="Heading3"/>
        <w:spacing w:after="80" w:before="180"/>
      </w:pPr>
      <w:r>
        <w:rPr>
          <w:rFonts w:ascii="Arial" w:cs="Arial" w:eastAsia="Arial" w:hAnsi="Arial"/>
          <w:b/>
          <w:bCs/>
          <w:color w:val="263849"/>
          <w:sz w:val="26"/>
          <w:szCs w:val="26"/>
        </w:rPr>
        <w:t xml:space="preserve">5.6.3 Solar PV</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Risk title</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Sev/Lik</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Irradiance underperformance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P75 assumption. Stress candidate.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Panel degradation accelerated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Cell-type-specific known issues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Grid curtailment / negative pricing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High-penetration markets DE/UK/ES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PPA counterparty credit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PPA downgrade post-signing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Inverter OEM solvency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Concentrated OEM base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Land lease renewal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Legal / Structural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20-year lease vs 25-year life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Hail / extreme weather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Physical climate risk</w:t>
            </w:r>
          </w:p>
        </w:tc>
      </w:tr>
    </w:tbl>
    <w:p>
      <w:pPr>
        <w:pStyle w:val="Heading3"/>
        <w:spacing w:after="80" w:before="180"/>
      </w:pPr>
      <w:r>
        <w:rPr>
          <w:rFonts w:ascii="Arial" w:cs="Arial" w:eastAsia="Arial" w:hAnsi="Arial"/>
          <w:b/>
          <w:bCs/>
          <w:color w:val="263849"/>
          <w:sz w:val="26"/>
          <w:szCs w:val="26"/>
        </w:rPr>
        <w:t xml:space="preserve">5.6.4 Airport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Risk title</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Sev/Lik</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Passenger Volume Risk (pandemic repeat)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Severe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Gatwick worked stress; -65% passengers, 4-year recovery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price control review</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Q7 review downward reset risk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Airline concentration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Top-3 &gt; 50%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Carbon / short-haul substitution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High</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Policy-driven demand compression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Runway / airspace capacity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Slot constraint; second-runway politics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Non-aero retail rent softness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Per-pax spend pressure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Industrial action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High</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ATC / ground handler strikes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Insurance hardening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Premiums &gt; CPI</w:t>
            </w:r>
          </w:p>
        </w:tc>
      </w:tr>
    </w:tbl>
    <w:p>
      <w:pPr>
        <w:pStyle w:val="Heading3"/>
        <w:spacing w:after="80" w:before="180"/>
      </w:pPr>
      <w:r>
        <w:rPr>
          <w:rFonts w:ascii="Arial" w:cs="Arial" w:eastAsia="Arial" w:hAnsi="Arial"/>
          <w:b/>
          <w:bCs/>
          <w:color w:val="263849"/>
          <w:sz w:val="26"/>
          <w:szCs w:val="26"/>
        </w:rPr>
        <w:t xml:space="preserve">5.6.5 Toll road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Risk title</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Sev/Lik</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Traffic volume underperformance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Freight volume cycle sensitivity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Tariff indexation cap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 real pricing in high CPI</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Parallel untolled route upgrade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Government free-route upgrade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 road-pricing overhaul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Fuel-duty replacement schemes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Pavement refurb cost overrun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Contingency reserve adequacy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Concession termination / step-in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Legal / Structural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Severe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Grantor termination for convenience</w:t>
            </w:r>
          </w:p>
        </w:tc>
      </w:tr>
    </w:tbl>
    <w:p>
      <w:pPr>
        <w:pStyle w:val="Heading3"/>
        <w:spacing w:after="80" w:before="180"/>
      </w:pPr>
      <w:r>
        <w:rPr>
          <w:rFonts w:ascii="Arial" w:cs="Arial" w:eastAsia="Arial" w:hAnsi="Arial"/>
          <w:b/>
          <w:bCs/>
          <w:color w:val="263849"/>
          <w:sz w:val="26"/>
          <w:szCs w:val="26"/>
        </w:rPr>
        <w:t xml:space="preserve">5.6.6 Rail / Tunnel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Risk title</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Sev/Lik</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Cross-channel passenger volume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Competition from air; Brexit friction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Freight volume and lorry substitution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Rail share vs RoRo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Major tunnel incident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Severe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1996 and 2008 precedents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Binational regulator disagreement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UK-FR IGC coordination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FX mismatch (EUR rev / GBP cost)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Macro / FX</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Hedging horizon &lt; debt tenor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Track-access charge renegotiation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Captive customer dispute</w:t>
            </w:r>
          </w:p>
        </w:tc>
      </w:tr>
    </w:tbl>
    <w:p>
      <w:pPr>
        <w:pStyle w:val="Heading3"/>
        <w:spacing w:after="80" w:before="180"/>
      </w:pPr>
      <w:r>
        <w:rPr>
          <w:rFonts w:ascii="Arial" w:cs="Arial" w:eastAsia="Arial" w:hAnsi="Arial"/>
          <w:b/>
          <w:bCs/>
          <w:color w:val="263849"/>
          <w:sz w:val="26"/>
          <w:szCs w:val="26"/>
        </w:rPr>
        <w:t xml:space="preserve">5.6.7 Port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Risk title</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Sev/Lik</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Shipping line concentration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Alliance restructuring redirects volumes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Global trade cycle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High</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Container throughput correlates GDP + trade tensions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Hinterland rail connection delay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Modal-shift target dependency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Decarbonisation / cold-ironing capex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Shore-power mandates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Sea-level rise / storm surge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30-year climate exposure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Crane / equipment obsolescence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Technology / Asset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Mega-vessel accommodation</w:t>
            </w:r>
          </w:p>
        </w:tc>
      </w:tr>
    </w:tbl>
    <w:p>
      <w:pPr>
        <w:pStyle w:val="Heading3"/>
        <w:spacing w:after="80" w:before="180"/>
      </w:pPr>
      <w:r>
        <w:rPr>
          <w:rFonts w:ascii="Arial" w:cs="Arial" w:eastAsia="Arial" w:hAnsi="Arial"/>
          <w:b/>
          <w:bCs/>
          <w:color w:val="263849"/>
          <w:sz w:val="26"/>
          <w:szCs w:val="26"/>
        </w:rPr>
        <w:t xml:space="preserve">5.6.8 PRS residential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Risk title</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Family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Sev/Lik</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Rent control / indexation cap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EU rent-cap proliferation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Occupancy decline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Demand cycle + BTR supply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Service charge inflation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Operational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High</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Utilities + labour &gt; rental uplift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EPC retrofit capex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High</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Minimum EPC ratings force capex</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Tenant credit / arrears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Cost-of-living default cycle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Property price downturn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 / Revenue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 / Med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LTV covenant trip at refinancing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Tax regime change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Regulatory / Political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 / Low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Non-dom, SDLT, investor-class demand</w:t>
            </w:r>
          </w:p>
        </w:tc>
      </w:tr>
    </w:tbl>
    <w:p>
      <w:pPr>
        <w:pStyle w:val="Heading2"/>
        <w:spacing w:after="120" w:before="240"/>
      </w:pPr>
      <w:r>
        <w:rPr>
          <w:rFonts w:ascii="Arial" w:cs="Arial" w:eastAsia="Arial" w:hAnsi="Arial"/>
          <w:b/>
          <w:bCs/>
          <w:color w:val="263849"/>
          <w:sz w:val="30"/>
          <w:szCs w:val="30"/>
        </w:rPr>
        <w:t xml:space="preserve">5.7 Cross-sector risks</w:t>
      </w:r>
    </w:p>
    <w:p>
      <w:pPr>
        <w:spacing w:after="140" w:line="280"/>
        <w:jc w:val="both"/>
      </w:pPr>
      <w:r>
        <w:rPr>
          <w:rFonts w:ascii="Arial" w:cs="Arial" w:eastAsia="Arial" w:hAnsi="Arial"/>
          <w:sz w:val="22"/>
          <w:szCs w:val="22"/>
        </w:rPr>
        <w:t xml:space="preserve">Apply to almost all deals and should be checked at every IC:</w:t>
      </w:r>
    </w:p>
    <w:p>
      <w:pPr>
        <w:pStyle w:val="ListParagraph"/>
        <w:numPr>
          <w:ilvl w:val="0"/>
          <w:numId w:val="2"/>
        </w:numPr>
        <w:spacing w:after="60"/>
      </w:pPr>
      <w:r>
        <w:rPr>
          <w:rFonts w:ascii="Arial" w:cs="Arial" w:eastAsia="Arial" w:hAnsi="Arial"/>
          <w:sz w:val="22"/>
          <w:szCs w:val="22"/>
        </w:rPr>
        <w:t xml:space="preserve">Refinancing risk at maturity</w:t>
      </w:r>
    </w:p>
    <w:p>
      <w:pPr>
        <w:pStyle w:val="ListParagraph"/>
        <w:numPr>
          <w:ilvl w:val="0"/>
          <w:numId w:val="2"/>
        </w:numPr>
        <w:spacing w:after="60"/>
      </w:pPr>
      <w:r>
        <w:rPr>
          <w:rFonts w:ascii="Arial" w:cs="Arial" w:eastAsia="Arial" w:hAnsi="Arial"/>
          <w:sz w:val="22"/>
          <w:szCs w:val="22"/>
        </w:rPr>
        <w:t xml:space="preserve">Interest-rate exposure on unhedged tail</w:t>
      </w:r>
    </w:p>
    <w:p>
      <w:pPr>
        <w:pStyle w:val="ListParagraph"/>
        <w:numPr>
          <w:ilvl w:val="0"/>
          <w:numId w:val="2"/>
        </w:numPr>
        <w:spacing w:after="60"/>
      </w:pPr>
      <w:r>
        <w:rPr>
          <w:rFonts w:ascii="Arial" w:cs="Arial" w:eastAsia="Arial" w:hAnsi="Arial"/>
          <w:sz w:val="22"/>
          <w:szCs w:val="22"/>
        </w:rPr>
        <w:t xml:space="preserve">Sponsor substitution / change of control</w:t>
      </w:r>
    </w:p>
    <w:p>
      <w:pPr>
        <w:pStyle w:val="ListParagraph"/>
        <w:numPr>
          <w:ilvl w:val="0"/>
          <w:numId w:val="2"/>
        </w:numPr>
        <w:spacing w:after="60"/>
      </w:pPr>
      <w:r>
        <w:rPr>
          <w:rFonts w:ascii="Arial" w:cs="Arial" w:eastAsia="Arial" w:hAnsi="Arial"/>
          <w:sz w:val="22"/>
          <w:szCs w:val="22"/>
        </w:rPr>
        <w:t xml:space="preserve">Insurance renewal at higher deductibles</w:t>
      </w:r>
    </w:p>
    <w:p>
      <w:pPr>
        <w:pStyle w:val="ListParagraph"/>
        <w:numPr>
          <w:ilvl w:val="0"/>
          <w:numId w:val="2"/>
        </w:numPr>
        <w:spacing w:after="60"/>
      </w:pPr>
      <w:r>
        <w:rPr>
          <w:rFonts w:ascii="Arial" w:cs="Arial" w:eastAsia="Arial" w:hAnsi="Arial"/>
          <w:sz w:val="22"/>
          <w:szCs w:val="22"/>
        </w:rPr>
        <w:t xml:space="preserve">Counterparty downgrade cascade</w:t>
      </w:r>
    </w:p>
    <w:p>
      <w:pPr>
        <w:pStyle w:val="ListParagraph"/>
        <w:numPr>
          <w:ilvl w:val="0"/>
          <w:numId w:val="2"/>
        </w:numPr>
        <w:spacing w:after="60"/>
      </w:pPr>
      <w:r>
        <w:rPr>
          <w:rFonts w:ascii="Arial" w:cs="Arial" w:eastAsia="Arial" w:hAnsi="Arial"/>
          <w:sz w:val="22"/>
          <w:szCs w:val="22"/>
        </w:rPr>
        <w:t xml:space="preserve">Cybersecurity operational and reputational</w:t>
      </w:r>
    </w:p>
    <w:p>
      <w:pPr>
        <w:pStyle w:val="ListParagraph"/>
        <w:numPr>
          <w:ilvl w:val="0"/>
          <w:numId w:val="2"/>
        </w:numPr>
        <w:spacing w:after="60"/>
      </w:pPr>
      <w:r>
        <w:rPr>
          <w:rFonts w:ascii="Arial" w:cs="Arial" w:eastAsia="Arial" w:hAnsi="Arial"/>
          <w:sz w:val="22"/>
          <w:szCs w:val="22"/>
        </w:rPr>
        <w:t xml:space="preserve">Physical climate acute-event risk</w:t>
      </w:r>
    </w:p>
    <w:p>
      <w:pPr>
        <w:pStyle w:val="ListParagraph"/>
        <w:numPr>
          <w:ilvl w:val="0"/>
          <w:numId w:val="2"/>
        </w:numPr>
        <w:spacing w:after="60"/>
      </w:pPr>
      <w:r>
        <w:rPr>
          <w:rFonts w:ascii="Arial" w:cs="Arial" w:eastAsia="Arial" w:hAnsi="Arial"/>
          <w:sz w:val="22"/>
          <w:szCs w:val="22"/>
        </w:rPr>
        <w:t xml:space="preserve">Legal/regulatory re-opening of concession economics</w:t>
      </w:r>
    </w:p>
    <w:p>
      <w:pPr>
        <w:pStyle w:val="Heading2"/>
        <w:spacing w:after="120" w:before="240"/>
      </w:pPr>
      <w:r>
        <w:rPr>
          <w:rFonts w:ascii="Arial" w:cs="Arial" w:eastAsia="Arial" w:hAnsi="Arial"/>
          <w:b/>
          <w:bCs/>
          <w:color w:val="263849"/>
          <w:sz w:val="30"/>
          <w:szCs w:val="30"/>
        </w:rPr>
        <w:t xml:space="preserve">5.8 Risk Narrative Generator</w:t>
      </w:r>
    </w:p>
    <w:p>
      <w:pPr>
        <w:spacing w:after="140" w:line="280"/>
        <w:jc w:val="both"/>
      </w:pPr>
      <w:r>
        <w:rPr>
          <w:rFonts w:ascii="Arial" w:cs="Arial" w:eastAsia="Arial" w:hAnsi="Arial"/>
          <w:sz w:val="22"/>
          <w:szCs w:val="22"/>
        </w:rPr>
        <w:t xml:space="preserve">Template-driven deterministic text synthesis. Not AI. Inputs are structured fields on deal_risk_register; output is a prose paragraph written into generated_narrative.</w:t>
      </w:r>
    </w:p>
    <w:p>
      <w:pPr>
        <w:pStyle w:val="ListParagraph"/>
        <w:numPr>
          <w:ilvl w:val="0"/>
          <w:numId w:val="2"/>
        </w:numPr>
        <w:spacing w:after="60"/>
      </w:pPr>
      <w:r>
        <w:rPr>
          <w:rFonts w:ascii="Arial" w:cs="Arial" w:eastAsia="Arial" w:hAnsi="Arial"/>
          <w:b/>
          <w:bCs/>
          <w:sz w:val="22"/>
          <w:szCs w:val="22"/>
        </w:rPr>
        <w:t xml:space="preserve">Inputs: </w:t>
      </w:r>
      <w:r>
        <w:rPr>
          <w:rFonts w:ascii="Arial" w:cs="Arial" w:eastAsia="Arial" w:hAnsi="Arial"/>
          <w:sz w:val="22"/>
          <w:szCs w:val="22"/>
        </w:rPr>
        <w:t xml:space="preserve">risk_title, taxonomy_path (family + sub-category), likelihood (coerced numeric), severity (coerced numeric), mitigants, direction_of_impact, affected_kpi_keys.</w:t>
      </w:r>
    </w:p>
    <w:p>
      <w:pPr>
        <w:pStyle w:val="ListParagraph"/>
        <w:numPr>
          <w:ilvl w:val="0"/>
          <w:numId w:val="2"/>
        </w:numPr>
        <w:spacing w:after="60"/>
      </w:pPr>
      <w:r>
        <w:rPr>
          <w:rFonts w:ascii="Arial" w:cs="Arial" w:eastAsia="Arial" w:hAnsi="Arial"/>
          <w:b/>
          <w:bCs/>
          <w:sz w:val="22"/>
          <w:szCs w:val="22"/>
        </w:rPr>
        <w:t xml:space="preserve">Template phrases: </w:t>
      </w:r>
      <w:r>
        <w:rPr>
          <w:rFonts w:ascii="Arial" w:cs="Arial" w:eastAsia="Arial" w:hAnsi="Arial"/>
          <w:sz w:val="22"/>
          <w:szCs w:val="22"/>
        </w:rPr>
        <w:t xml:space="preserve">combination of likelihood band × severity band × direction_of_impact selects a prose skeleton.</w:t>
      </w:r>
    </w:p>
    <w:p>
      <w:pPr>
        <w:pStyle w:val="ListParagraph"/>
        <w:numPr>
          <w:ilvl w:val="0"/>
          <w:numId w:val="2"/>
        </w:numPr>
        <w:spacing w:after="60"/>
      </w:pPr>
      <w:r>
        <w:rPr>
          <w:rFonts w:ascii="Arial" w:cs="Arial" w:eastAsia="Arial" w:hAnsi="Arial"/>
          <w:b/>
          <w:bCs/>
          <w:sz w:val="22"/>
          <w:szCs w:val="22"/>
        </w:rPr>
        <w:t xml:space="preserve">Mitigants integration: </w:t>
      </w:r>
      <w:r>
        <w:rPr>
          <w:rFonts w:ascii="Arial" w:cs="Arial" w:eastAsia="Arial" w:hAnsi="Arial"/>
          <w:sz w:val="22"/>
          <w:szCs w:val="22"/>
        </w:rPr>
        <w:t xml:space="preserve">mitigant text is appended as a trailing clause.</w:t>
      </w:r>
    </w:p>
    <w:p>
      <w:pPr>
        <w:pStyle w:val="ListParagraph"/>
        <w:numPr>
          <w:ilvl w:val="0"/>
          <w:numId w:val="2"/>
        </w:numPr>
        <w:spacing w:after="60"/>
      </w:pPr>
      <w:r>
        <w:rPr>
          <w:rFonts w:ascii="Arial" w:cs="Arial" w:eastAsia="Arial" w:hAnsi="Arial"/>
          <w:b/>
          <w:bCs/>
          <w:sz w:val="22"/>
          <w:szCs w:val="22"/>
        </w:rPr>
        <w:t xml:space="preserve">Output: </w:t>
      </w:r>
      <w:r>
        <w:rPr>
          <w:rFonts w:ascii="Arial" w:cs="Arial" w:eastAsia="Arial" w:hAnsi="Arial"/>
          <w:sz w:val="22"/>
          <w:szCs w:val="22"/>
        </w:rPr>
        <w:t xml:space="preserve">2–4 sentence paragraph suitable for deal-page commentary.</w:t>
      </w:r>
    </w:p>
    <w:p>
      <w:pPr>
        <w:pBdr>
          <w:left w:val="single" w:color="1F6FA5" w:sz="16" w:space="10"/>
        </w:pBdr>
        <w:spacing w:after="160" w:before="80"/>
        <w:ind w:left="200"/>
      </w:pPr>
      <w:r>
        <w:rPr>
          <w:rFonts w:ascii="Arial" w:cs="Arial" w:eastAsia="Arial" w:hAnsi="Arial"/>
          <w:i/>
          <w:iCs/>
          <w:color w:val="56718A"/>
          <w:sz w:val="22"/>
          <w:szCs w:val="22"/>
        </w:rPr>
        <w:t xml:space="preserve">The generator is deterministic: same inputs → same output, character for character. Changing the narrative requires editing the template skeleton in server/main.py.</w:t>
      </w:r>
    </w:p>
    <w:p>
      <w:pPr>
        <w:pStyle w:val="Heading2"/>
        <w:spacing w:after="120" w:before="240"/>
      </w:pPr>
      <w:r>
        <w:rPr>
          <w:rFonts w:ascii="Arial" w:cs="Arial" w:eastAsia="Arial" w:hAnsi="Arial"/>
          <w:b/>
          <w:bCs/>
          <w:color w:val="263849"/>
          <w:sz w:val="30"/>
          <w:szCs w:val="30"/>
        </w:rPr>
        <w:t xml:space="preserve">5.9 Lifecycle</w:t>
      </w:r>
    </w:p>
    <w:p>
      <w:pPr>
        <w:pStyle w:val="ListParagraph"/>
        <w:numPr>
          <w:ilvl w:val="0"/>
          <w:numId w:val="2"/>
        </w:numPr>
        <w:spacing w:after="60"/>
      </w:pPr>
      <w:r>
        <w:rPr>
          <w:rFonts w:ascii="Arial" w:cs="Arial" w:eastAsia="Arial" w:hAnsi="Arial"/>
          <w:sz w:val="22"/>
          <w:szCs w:val="22"/>
        </w:rPr>
        <w:t xml:space="preserve">Capture: TopSheet Tab 16 at onboarding; updated via quarterly review.</w:t>
      </w:r>
    </w:p>
    <w:p>
      <w:pPr>
        <w:pStyle w:val="ListParagraph"/>
        <w:numPr>
          <w:ilvl w:val="0"/>
          <w:numId w:val="2"/>
        </w:numPr>
        <w:spacing w:after="60"/>
      </w:pPr>
      <w:r>
        <w:rPr>
          <w:rFonts w:ascii="Arial" w:cs="Arial" w:eastAsia="Arial" w:hAnsi="Arial"/>
          <w:sz w:val="22"/>
          <w:szCs w:val="22"/>
        </w:rPr>
        <w:t xml:space="preserve">Change log: every write writes deal_risk_register_history row.</w:t>
      </w:r>
    </w:p>
    <w:p>
      <w:pPr>
        <w:pStyle w:val="ListParagraph"/>
        <w:numPr>
          <w:ilvl w:val="0"/>
          <w:numId w:val="2"/>
        </w:numPr>
        <w:spacing w:after="60"/>
      </w:pPr>
      <w:r>
        <w:rPr>
          <w:rFonts w:ascii="Arial" w:cs="Arial" w:eastAsia="Arial" w:hAnsi="Arial"/>
          <w:sz w:val="22"/>
          <w:szCs w:val="22"/>
        </w:rPr>
        <w:t xml:space="preserve">Scenarios: risks marked material + KPI-linked become single_variant_stress forecast cases.</w:t>
      </w:r>
    </w:p>
    <w:p>
      <w:pPr>
        <w:pStyle w:val="ListParagraph"/>
        <w:numPr>
          <w:ilvl w:val="0"/>
          <w:numId w:val="2"/>
        </w:numPr>
        <w:spacing w:after="60"/>
      </w:pPr>
      <w:r>
        <w:rPr>
          <w:rFonts w:ascii="Arial" w:cs="Arial" w:eastAsia="Arial" w:hAnsi="Arial"/>
          <w:sz w:val="22"/>
          <w:szCs w:val="22"/>
        </w:rPr>
        <w:t xml:space="preserve">Narrative: re-generated on any change; displayed on the deal overview risk panel.</w:t>
      </w:r>
    </w:p>
    <w:p>
      <w:pPr>
        <w:pStyle w:val="ListParagraph"/>
        <w:numPr>
          <w:ilvl w:val="0"/>
          <w:numId w:val="2"/>
        </w:numPr>
        <w:spacing w:after="60"/>
      </w:pPr>
      <w:r>
        <w:rPr>
          <w:rFonts w:ascii="Arial" w:cs="Arial" w:eastAsia="Arial" w:hAnsi="Arial"/>
          <w:sz w:val="22"/>
          <w:szCs w:val="22"/>
        </w:rPr>
        <w:t xml:space="preserve">Retirement: status → retired when risk has crystallised or mitigated away.</w:t>
      </w:r>
    </w:p>
    <w:p>
      <w:pPr>
        <w:pStyle w:val="Heading1"/>
        <w:pageBreakBefore/>
        <w:spacing w:after="180" w:before="240"/>
      </w:pPr>
      <w:r>
        <w:rPr>
          <w:rFonts w:ascii="Arial" w:cs="Arial" w:eastAsia="Arial" w:hAnsi="Arial"/>
          <w:b/>
          <w:bCs/>
          <w:color w:val="1F6FA5"/>
          <w:sz w:val="40"/>
          <w:szCs w:val="40"/>
        </w:rPr>
        <w:t xml:space="preserve">Part VI — Forecasts and scenarios</w:t>
      </w:r>
    </w:p>
    <w:p>
      <w:pPr>
        <w:pStyle w:val="Heading2"/>
        <w:spacing w:after="120" w:before="240"/>
      </w:pPr>
      <w:r>
        <w:rPr>
          <w:rFonts w:ascii="Arial" w:cs="Arial" w:eastAsia="Arial" w:hAnsi="Arial"/>
          <w:b/>
          <w:bCs/>
          <w:color w:val="263849"/>
          <w:sz w:val="30"/>
          <w:szCs w:val="30"/>
        </w:rPr>
        <w:t xml:space="preserve">6.1 Architecture</w:t>
      </w:r>
    </w:p>
    <w:p>
      <w:pPr>
        <w:spacing w:after="140" w:line="280"/>
        <w:jc w:val="both"/>
      </w:pPr>
      <w:r>
        <w:rPr>
          <w:rFonts w:ascii="Arial" w:cs="Arial" w:eastAsia="Arial" w:hAnsi="Arial"/>
          <w:sz w:val="22"/>
          <w:szCs w:val="22"/>
        </w:rPr>
        <w:t xml:space="preserve">Forecasts live in a three-level hierarchy: forecast_cases (named scenario) → forecast_case_versions (immutable version snapshot) → forecast_period_items (the write-once grid of values).</w:t>
      </w:r>
    </w:p>
    <w:p>
      <w:pPr>
        <w:spacing w:after="140" w:line="280"/>
        <w:jc w:val="both"/>
      </w:pPr>
      <w:r>
        <w:rPr>
          <w:rFonts w:ascii="Arial" w:cs="Arial" w:eastAsia="Arial" w:hAnsi="Arial"/>
          <w:sz w:val="22"/>
          <w:szCs w:val="22"/>
        </w:rPr>
        <w:t xml:space="preserve">This structure lets the platform support (a) multiple parallel forecasts per deal (management, lender, combined_downside, any number of single-variant stresses), (b) re-forecasting without losing the original (new version, old version frozen), and (c) per-line-item time series queryable by (case, version, period, line_key).</w:t>
      </w:r>
    </w:p>
    <w:p>
      <w:pPr>
        <w:pStyle w:val="Heading2"/>
        <w:spacing w:after="120" w:before="240"/>
      </w:pPr>
      <w:r>
        <w:rPr>
          <w:rFonts w:ascii="Arial" w:cs="Arial" w:eastAsia="Arial" w:hAnsi="Arial"/>
          <w:b/>
          <w:bCs/>
          <w:color w:val="263849"/>
          <w:sz w:val="30"/>
          <w:szCs w:val="30"/>
        </w:rPr>
        <w:t xml:space="preserve">6.2 Six scenario kinds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scenario_kind</w:t>
            </w:r>
          </w:p>
        </w:tc>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Content</w:t>
            </w:r>
          </w:p>
        </w:tc>
        <w:tc>
          <w:tcPr>
            <w:tcW w:type="dxa" w:w="4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Typical count per deal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management_case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Sponsor's base case at IC. Equals IC-memo baseline.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(reforecast creates new version)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lender_case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Platform's internal conservative view.</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combined_downside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Several stressed risks bundled. Drives the shaded band on charts.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single_variant_stress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One risk stressed in isolation. driving_risk_id points to the risk.</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0–5, sparse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credit_case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Sponsor-supplied lender-informed view. Optional.</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 or 1</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custom</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Analyst-defined scenarios. Optional.</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 or more</w:t>
            </w:r>
          </w:p>
        </w:tc>
      </w:tr>
    </w:tbl>
    <w:p>
      <w:pPr>
        <w:pStyle w:val="Heading2"/>
        <w:spacing w:after="120" w:before="240"/>
      </w:pPr>
      <w:r>
        <w:rPr>
          <w:rFonts w:ascii="Arial" w:cs="Arial" w:eastAsia="Arial" w:hAnsi="Arial"/>
          <w:b/>
          <w:bCs/>
          <w:color w:val="263849"/>
          <w:sz w:val="30"/>
          <w:szCs w:val="30"/>
        </w:rPr>
        <w:t xml:space="preserve">6.3 Versioning</w:t>
      </w:r>
    </w:p>
    <w:p>
      <w:pPr>
        <w:pStyle w:val="ListParagraph"/>
        <w:numPr>
          <w:ilvl w:val="0"/>
          <w:numId w:val="2"/>
        </w:numPr>
        <w:spacing w:after="60"/>
      </w:pPr>
      <w:r>
        <w:rPr>
          <w:rFonts w:ascii="Arial" w:cs="Arial" w:eastAsia="Arial" w:hAnsi="Arial"/>
          <w:sz w:val="22"/>
          <w:szCs w:val="22"/>
        </w:rPr>
        <w:t xml:space="preserve">Each forecast_case has one or more forecast_case_versions; exactly one is_active=true per case.</w:t>
      </w:r>
    </w:p>
    <w:p>
      <w:pPr>
        <w:pStyle w:val="ListParagraph"/>
        <w:numPr>
          <w:ilvl w:val="0"/>
          <w:numId w:val="2"/>
        </w:numPr>
        <w:spacing w:after="60"/>
      </w:pPr>
      <w:r>
        <w:rPr>
          <w:rFonts w:ascii="Arial" w:cs="Arial" w:eastAsia="Arial" w:hAnsi="Arial"/>
          <w:sz w:val="22"/>
          <w:szCs w:val="22"/>
        </w:rPr>
        <w:t xml:space="preserve">Creating a new version (reforecast) automatically sets is_active=false on the prior active version.</w:t>
      </w:r>
    </w:p>
    <w:p>
      <w:pPr>
        <w:pStyle w:val="ListParagraph"/>
        <w:numPr>
          <w:ilvl w:val="0"/>
          <w:numId w:val="2"/>
        </w:numPr>
        <w:spacing w:after="60"/>
      </w:pPr>
      <w:r>
        <w:rPr>
          <w:rFonts w:ascii="Arial" w:cs="Arial" w:eastAsia="Arial" w:hAnsi="Arial"/>
          <w:sz w:val="22"/>
          <w:szCs w:val="22"/>
        </w:rPr>
        <w:t xml:space="preserve">Old versions are never deleted or mutated. They remain queryable for historical comparison.</w:t>
      </w:r>
    </w:p>
    <w:p>
      <w:pPr>
        <w:pStyle w:val="ListParagraph"/>
        <w:numPr>
          <w:ilvl w:val="0"/>
          <w:numId w:val="2"/>
        </w:numPr>
        <w:spacing w:after="60"/>
      </w:pPr>
      <w:r>
        <w:rPr>
          <w:rFonts w:ascii="Arial" w:cs="Arial" w:eastAsia="Arial" w:hAnsi="Arial"/>
          <w:sz w:val="22"/>
          <w:szCs w:val="22"/>
        </w:rPr>
        <w:t xml:space="preserve">forecast_period_items rows key on forecast_case_version_id — so the old and new versions' data coexist without collision.</w:t>
      </w:r>
    </w:p>
    <w:p>
      <w:pPr>
        <w:pStyle w:val="ListParagraph"/>
        <w:numPr>
          <w:ilvl w:val="0"/>
          <w:numId w:val="2"/>
        </w:numPr>
        <w:spacing w:after="60"/>
      </w:pPr>
      <w:r>
        <w:rPr>
          <w:rFonts w:ascii="Arial" w:cs="Arial" w:eastAsia="Arial" w:hAnsi="Arial"/>
          <w:sz w:val="22"/>
          <w:szCs w:val="22"/>
        </w:rPr>
        <w:t xml:space="preserve">Variance and three-case engines always join against the active version for each case.</w:t>
      </w:r>
    </w:p>
    <w:p>
      <w:pPr>
        <w:pStyle w:val="Heading2"/>
        <w:spacing w:after="120" w:before="240"/>
      </w:pPr>
      <w:r>
        <w:rPr>
          <w:rFonts w:ascii="Arial" w:cs="Arial" w:eastAsia="Arial" w:hAnsi="Arial"/>
          <w:b/>
          <w:bCs/>
          <w:color w:val="263849"/>
          <w:sz w:val="30"/>
          <w:szCs w:val="30"/>
        </w:rPr>
        <w:t xml:space="preserve">6.4 KPI scenarios</w:t>
      </w:r>
    </w:p>
    <w:p>
      <w:pPr>
        <w:spacing w:after="140" w:line="280"/>
        <w:jc w:val="both"/>
      </w:pPr>
      <w:r>
        <w:rPr>
          <w:rFonts w:ascii="Arial" w:cs="Arial" w:eastAsia="Arial" w:hAnsi="Arial"/>
          <w:sz w:val="22"/>
          <w:szCs w:val="22"/>
        </w:rPr>
        <w:t xml:space="preserve">KPIs flow through exactly the same machinery as financial lines. A sector_kpi_* line in forecast_period_items under a management_case version is the IC-memo baseline for that KPI over time. Stress cases (combined_downside, single_variant_stress) carry stressed KPI trajectories.</w:t>
      </w:r>
    </w:p>
    <w:p>
      <w:pPr>
        <w:spacing w:after="140" w:line="280"/>
        <w:jc w:val="both"/>
      </w:pPr>
      <w:r>
        <w:rPr>
          <w:rFonts w:ascii="Arial" w:cs="Arial" w:eastAsia="Arial" w:hAnsi="Arial"/>
          <w:sz w:val="22"/>
          <w:szCs w:val="22"/>
        </w:rPr>
        <w:t xml:space="preserve">This replaces the prior deal_kpi_targets scalar-row design. Benefits: (a) time-series, not just a single scalar; (b) risk linkage via driving_risk_id; (c) clear distinction between single-variant and combined downsides.</w:t>
      </w:r>
    </w:p>
    <w:p>
      <w:pPr>
        <w:pStyle w:val="Heading2"/>
        <w:spacing w:after="120" w:before="240"/>
      </w:pPr>
      <w:r>
        <w:rPr>
          <w:rFonts w:ascii="Arial" w:cs="Arial" w:eastAsia="Arial" w:hAnsi="Arial"/>
          <w:b/>
          <w:bCs/>
          <w:color w:val="263849"/>
          <w:sz w:val="30"/>
          <w:szCs w:val="30"/>
        </w:rPr>
        <w:t xml:space="preserve">6.5 Worked example — Gatwick</w:t>
      </w:r>
    </w:p>
    <w:p>
      <w:pPr>
        <w:spacing w:after="140" w:line="280"/>
        <w:jc w:val="both"/>
      </w:pPr>
      <w:r>
        <w:rPr>
          <w:rFonts w:ascii="Arial" w:cs="Arial" w:eastAsia="Arial" w:hAnsi="Arial"/>
          <w:sz w:val="22"/>
          <w:szCs w:val="22"/>
        </w:rPr>
        <w:t xml:space="preserve">The fully-wired worked example throughout the platform. Five KPIs × eight periods × three active forecast cases + one single-variant stress.</w:t>
      </w:r>
    </w:p>
    <w:p>
      <w:pPr>
        <w:pStyle w:val="Heading3"/>
        <w:spacing w:after="80" w:before="180"/>
      </w:pPr>
      <w:r>
        <w:rPr>
          <w:rFonts w:ascii="Arial" w:cs="Arial" w:eastAsia="Arial" w:hAnsi="Arial"/>
          <w:b/>
          <w:bCs/>
          <w:color w:val="263849"/>
          <w:sz w:val="26"/>
          <w:szCs w:val="26"/>
        </w:rPr>
        <w:t xml:space="preserve">6.5.1 KPIs tracked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9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kpi_key</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Label</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Unit</w:t>
            </w:r>
          </w:p>
        </w:tc>
        <w:tc>
          <w:tcPr>
            <w:tcW w:type="dxa" w:w="3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direction_of_good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sector_kpi_1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Passengers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millions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higher_is_better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sector_kpi_2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Aero revenue / pax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higher_is_better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sector_kpi_3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Non-aero revenue / pax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higher_is_better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sector_kpi_4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 / pax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higher_is_better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sector_kpi_5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Cost / pax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lower_is_better</w:t>
            </w:r>
          </w:p>
        </w:tc>
      </w:tr>
    </w:tbl>
    <w:p>
      <w:pPr>
        <w:pStyle w:val="Heading3"/>
        <w:spacing w:after="80" w:before="180"/>
      </w:pPr>
      <w:r>
        <w:rPr>
          <w:rFonts w:ascii="Arial" w:cs="Arial" w:eastAsia="Arial" w:hAnsi="Arial"/>
          <w:b/>
          <w:bCs/>
          <w:color w:val="263849"/>
          <w:sz w:val="26"/>
          <w:szCs w:val="26"/>
        </w:rPr>
        <w:t xml:space="preserve">6.5.2 Scenarios</w:t>
      </w:r>
    </w:p>
    <w:p>
      <w:pPr>
        <w:pStyle w:val="ListParagraph"/>
        <w:numPr>
          <w:ilvl w:val="0"/>
          <w:numId w:val="2"/>
        </w:numPr>
        <w:spacing w:after="60"/>
      </w:pPr>
      <w:r>
        <w:rPr>
          <w:rFonts w:ascii="Arial" w:cs="Arial" w:eastAsia="Arial" w:hAnsi="Arial"/>
          <w:b/>
          <w:bCs/>
          <w:sz w:val="22"/>
          <w:szCs w:val="22"/>
        </w:rPr>
        <w:t xml:space="preserve">management_case — IC baseline: </w:t>
      </w:r>
      <w:r>
        <w:rPr>
          <w:rFonts w:ascii="Arial" w:cs="Arial" w:eastAsia="Arial" w:hAnsi="Arial"/>
          <w:sz w:val="22"/>
          <w:szCs w:val="22"/>
        </w:rPr>
        <w:t xml:space="preserve">full trajectory FY2026–FY2033 for all 5 KPIs. 40 rows.</w:t>
      </w:r>
    </w:p>
    <w:p>
      <w:pPr>
        <w:pStyle w:val="ListParagraph"/>
        <w:numPr>
          <w:ilvl w:val="0"/>
          <w:numId w:val="2"/>
        </w:numPr>
        <w:spacing w:after="60"/>
      </w:pPr>
      <w:r>
        <w:rPr>
          <w:rFonts w:ascii="Arial" w:cs="Arial" w:eastAsia="Arial" w:hAnsi="Arial"/>
          <w:b/>
          <w:bCs/>
          <w:sz w:val="22"/>
          <w:szCs w:val="22"/>
        </w:rPr>
        <w:t xml:space="preserve">combined_downside — stressed bundle: </w:t>
      </w:r>
      <w:r>
        <w:rPr>
          <w:rFonts w:ascii="Arial" w:cs="Arial" w:eastAsia="Arial" w:hAnsi="Arial"/>
          <w:sz w:val="22"/>
          <w:szCs w:val="22"/>
        </w:rPr>
        <w:t xml:space="preserve">haircuts across all 5 KPIs over 8 periods. 40 rows.</w:t>
      </w:r>
    </w:p>
    <w:p>
      <w:pPr>
        <w:pStyle w:val="ListParagraph"/>
        <w:numPr>
          <w:ilvl w:val="0"/>
          <w:numId w:val="2"/>
        </w:numPr>
        <w:spacing w:after="60"/>
      </w:pPr>
      <w:r>
        <w:rPr>
          <w:rFonts w:ascii="Arial" w:cs="Arial" w:eastAsia="Arial" w:hAnsi="Arial"/>
          <w:b/>
          <w:bCs/>
          <w:sz w:val="22"/>
          <w:szCs w:val="22"/>
        </w:rPr>
        <w:t xml:space="preserve">single_variant_stress — pandemic passenger shock: </w:t>
      </w:r>
      <w:r>
        <w:rPr>
          <w:rFonts w:ascii="Arial" w:cs="Arial" w:eastAsia="Arial" w:hAnsi="Arial"/>
          <w:sz w:val="22"/>
          <w:szCs w:val="22"/>
        </w:rPr>
        <w:t xml:space="preserve">affects passengers only; 8 periods; linked via driving_risk_id to "Passenger Volume Risk (pandemic shock repeat)". 8 rows.</w:t>
      </w:r>
    </w:p>
    <w:p>
      <w:pPr>
        <w:spacing w:after="140" w:line="280"/>
        <w:jc w:val="both"/>
      </w:pPr>
      <w:r>
        <w:rPr>
          <w:rFonts w:ascii="Arial" w:cs="Arial" w:eastAsia="Arial" w:hAnsi="Arial"/>
          <w:sz w:val="22"/>
          <w:szCs w:val="22"/>
        </w:rPr>
        <w:t xml:space="preserve">Total Gatwick scenario rows: ~90 in forecast_period_items.</w:t>
      </w:r>
    </w:p>
    <w:p>
      <w:pPr>
        <w:pStyle w:val="Heading3"/>
        <w:spacing w:after="80" w:before="180"/>
      </w:pPr>
      <w:r>
        <w:rPr>
          <w:rFonts w:ascii="Arial" w:cs="Arial" w:eastAsia="Arial" w:hAnsi="Arial"/>
          <w:b/>
          <w:bCs/>
          <w:color w:val="263849"/>
          <w:sz w:val="26"/>
          <w:szCs w:val="26"/>
        </w:rPr>
        <w:t xml:space="preserve">6.5.3 Indicative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600"/>
      </w:tblGrid>
      <w:tr>
        <w:trPr>
          <w:tblHeader/>
        </w:trPr>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Period</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Mgmt pax (m)</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Downside pax</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Pandemic stress pax</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Actual pax</w:t>
            </w:r>
          </w:p>
        </w:tc>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Deviation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FY2026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45.0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38.0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42.5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36%</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FY2027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47.0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22.0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44.0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43%</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FY2028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48.5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41.5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33.0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FY2029</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43.0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42.0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FY2030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51.0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44.0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48.0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FY2031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51.5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45.0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FY2032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52.0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46.0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51.0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FY2033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52.0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46.5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52.0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r>
    </w:tbl>
    <w:p>
      <w:pPr>
        <w:pBdr>
          <w:left w:val="single" w:color="1F6FA5" w:sz="16" w:space="10"/>
        </w:pBdr>
        <w:spacing w:after="160" w:before="80"/>
        <w:ind w:left="200"/>
      </w:pPr>
      <w:r>
        <w:rPr>
          <w:rFonts w:ascii="Arial" w:cs="Arial" w:eastAsia="Arial" w:hAnsi="Arial"/>
          <w:i/>
          <w:iCs/>
          <w:color w:val="56718A"/>
          <w:sz w:val="22"/>
          <w:szCs w:val="22"/>
        </w:rPr>
        <w:t xml:space="preserve">Deviation % = (management_case_value - actual_value) / (management_case_value - combined_downside_value). 0% = at management case, 100% = at combined downside, &gt;100% = worse than downside.</w:t>
      </w:r>
    </w:p>
    <w:p>
      <w:pPr>
        <w:pStyle w:val="Heading2"/>
        <w:spacing w:after="120" w:before="240"/>
      </w:pPr>
      <w:r>
        <w:rPr>
          <w:rFonts w:ascii="Arial" w:cs="Arial" w:eastAsia="Arial" w:hAnsi="Arial"/>
          <w:b/>
          <w:bCs/>
          <w:color w:val="263849"/>
          <w:sz w:val="30"/>
          <w:szCs w:val="30"/>
        </w:rPr>
        <w:t xml:space="preserve">6.6 Chart rendering (Deal Overview)</w:t>
      </w:r>
    </w:p>
    <w:p>
      <w:pPr>
        <w:pStyle w:val="ListParagraph"/>
        <w:numPr>
          <w:ilvl w:val="0"/>
          <w:numId w:val="2"/>
        </w:numPr>
        <w:spacing w:after="60"/>
      </w:pPr>
      <w:r>
        <w:rPr>
          <w:rFonts w:ascii="Arial" w:cs="Arial" w:eastAsia="Arial" w:hAnsi="Arial"/>
          <w:sz w:val="22"/>
          <w:szCs w:val="22"/>
        </w:rPr>
        <w:t xml:space="preserve">Shaded band (red-tinted, low opacity) between management_case and combined_downside — the stress band.</w:t>
      </w:r>
    </w:p>
    <w:p>
      <w:pPr>
        <w:pStyle w:val="ListParagraph"/>
        <w:numPr>
          <w:ilvl w:val="0"/>
          <w:numId w:val="2"/>
        </w:numPr>
        <w:spacing w:after="60"/>
      </w:pPr>
      <w:r>
        <w:rPr>
          <w:rFonts w:ascii="Arial" w:cs="Arial" w:eastAsia="Arial" w:hAnsi="Arial"/>
          <w:sz w:val="22"/>
          <w:szCs w:val="22"/>
        </w:rPr>
        <w:t xml:space="preserve">Management case line — dashed, accent-soft colour, thin.</w:t>
      </w:r>
    </w:p>
    <w:p>
      <w:pPr>
        <w:pStyle w:val="ListParagraph"/>
        <w:numPr>
          <w:ilvl w:val="0"/>
          <w:numId w:val="2"/>
        </w:numPr>
        <w:spacing w:after="60"/>
      </w:pPr>
      <w:r>
        <w:rPr>
          <w:rFonts w:ascii="Arial" w:cs="Arial" w:eastAsia="Arial" w:hAnsi="Arial"/>
          <w:sz w:val="22"/>
          <w:szCs w:val="22"/>
        </w:rPr>
        <w:t xml:space="preserve">Single-variant stress lines — thin dashed, one per stress, with tooltip showing stress_label and driving_risk_title.</w:t>
      </w:r>
    </w:p>
    <w:p>
      <w:pPr>
        <w:pStyle w:val="ListParagraph"/>
        <w:numPr>
          <w:ilvl w:val="0"/>
          <w:numId w:val="2"/>
        </w:numPr>
        <w:spacing w:after="60"/>
      </w:pPr>
      <w:r>
        <w:rPr>
          <w:rFonts w:ascii="Arial" w:cs="Arial" w:eastAsia="Arial" w:hAnsi="Arial"/>
          <w:sz w:val="22"/>
          <w:szCs w:val="22"/>
        </w:rPr>
        <w:t xml:space="preserve">Actuals line — solid bold.</w:t>
      </w:r>
    </w:p>
    <w:p>
      <w:pPr>
        <w:pStyle w:val="ListParagraph"/>
        <w:numPr>
          <w:ilvl w:val="0"/>
          <w:numId w:val="2"/>
        </w:numPr>
        <w:spacing w:after="60"/>
      </w:pPr>
      <w:r>
        <w:rPr>
          <w:rFonts w:ascii="Arial" w:cs="Arial" w:eastAsia="Arial" w:hAnsi="Arial"/>
          <w:sz w:val="22"/>
          <w:szCs w:val="22"/>
        </w:rPr>
        <w:t xml:space="preserve">Empty-state: if no scenarios, chart falls back to actuals-only rendering.</w:t>
      </w:r>
    </w:p>
    <w:p>
      <w:pPr>
        <w:pStyle w:val="Heading2"/>
        <w:spacing w:after="120" w:before="240"/>
      </w:pPr>
      <w:r>
        <w:rPr>
          <w:rFonts w:ascii="Arial" w:cs="Arial" w:eastAsia="Arial" w:hAnsi="Arial"/>
          <w:b/>
          <w:bCs/>
          <w:color w:val="263849"/>
          <w:sz w:val="30"/>
          <w:szCs w:val="30"/>
        </w:rPr>
        <w:t xml:space="preserve">6.7 Reforecast workflow</w:t>
      </w:r>
    </w:p>
    <w:p>
      <w:pPr>
        <w:pStyle w:val="ListParagraph"/>
        <w:numPr>
          <w:ilvl w:val="0"/>
          <w:numId w:val="2"/>
        </w:numPr>
        <w:spacing w:after="60"/>
      </w:pPr>
      <w:r>
        <w:rPr>
          <w:rFonts w:ascii="Arial" w:cs="Arial" w:eastAsia="Arial" w:hAnsi="Arial"/>
          <w:sz w:val="22"/>
          <w:szCs w:val="22"/>
        </w:rPr>
        <w:t xml:space="preserve">Triggered from analyst action or from upload of an updated model.</w:t>
      </w:r>
    </w:p>
    <w:p>
      <w:pPr>
        <w:pStyle w:val="ListParagraph"/>
        <w:numPr>
          <w:ilvl w:val="0"/>
          <w:numId w:val="2"/>
        </w:numPr>
        <w:spacing w:after="60"/>
      </w:pPr>
      <w:r>
        <w:rPr>
          <w:rFonts w:ascii="Arial" w:cs="Arial" w:eastAsia="Arial" w:hAnsi="Arial"/>
          <w:sz w:val="22"/>
          <w:szCs w:val="22"/>
        </w:rPr>
        <w:t xml:space="preserve">New forecast_case_version created; old version is_active → false.</w:t>
      </w:r>
    </w:p>
    <w:p>
      <w:pPr>
        <w:pStyle w:val="ListParagraph"/>
        <w:numPr>
          <w:ilvl w:val="0"/>
          <w:numId w:val="2"/>
        </w:numPr>
        <w:spacing w:after="60"/>
      </w:pPr>
      <w:r>
        <w:rPr>
          <w:rFonts w:ascii="Arial" w:cs="Arial" w:eastAsia="Arial" w:hAnsi="Arial"/>
          <w:sz w:val="22"/>
          <w:szCs w:val="22"/>
        </w:rPr>
        <w:t xml:space="preserve">forecast_period_items populated for the new version.</w:t>
      </w:r>
    </w:p>
    <w:p>
      <w:pPr>
        <w:pStyle w:val="ListParagraph"/>
        <w:numPr>
          <w:ilvl w:val="0"/>
          <w:numId w:val="2"/>
        </w:numPr>
        <w:spacing w:after="60"/>
      </w:pPr>
      <w:r>
        <w:rPr>
          <w:rFonts w:ascii="Arial" w:cs="Arial" w:eastAsia="Arial" w:hAnsi="Arial"/>
          <w:sz w:val="22"/>
          <w:szCs w:val="22"/>
        </w:rPr>
        <w:t xml:space="preserve">Forecast Refresh Impact Engine runs: diff against prior active version; writes forecast_refresh_impacts.</w:t>
      </w:r>
    </w:p>
    <w:p>
      <w:pPr>
        <w:pStyle w:val="ListParagraph"/>
        <w:numPr>
          <w:ilvl w:val="0"/>
          <w:numId w:val="2"/>
        </w:numPr>
        <w:spacing w:after="60"/>
      </w:pPr>
      <w:r>
        <w:rPr>
          <w:rFonts w:ascii="Arial" w:cs="Arial" w:eastAsia="Arial" w:hAnsi="Arial"/>
          <w:sz w:val="22"/>
          <w:szCs w:val="22"/>
        </w:rPr>
        <w:t xml:space="preserve">Deal Overview "what changed" panel reads forecast_refresh_impacts to summarise material moves.</w:t>
      </w:r>
    </w:p>
    <w:p>
      <w:pPr>
        <w:pStyle w:val="ListParagraph"/>
        <w:numPr>
          <w:ilvl w:val="0"/>
          <w:numId w:val="2"/>
        </w:numPr>
        <w:spacing w:after="60"/>
      </w:pPr>
      <w:r>
        <w:rPr>
          <w:rFonts w:ascii="Arial" w:cs="Arial" w:eastAsia="Arial" w:hAnsi="Arial"/>
          <w:sz w:val="22"/>
          <w:szCs w:val="22"/>
        </w:rPr>
        <w:t xml:space="preserve">Downstream: variance engine re-runs using new baseline.</w:t>
      </w:r>
    </w:p>
    <w:p>
      <w:pPr>
        <w:pStyle w:val="Heading2"/>
        <w:spacing w:after="120" w:before="240"/>
      </w:pPr>
      <w:r>
        <w:rPr>
          <w:rFonts w:ascii="Arial" w:cs="Arial" w:eastAsia="Arial" w:hAnsi="Arial"/>
          <w:b/>
          <w:bCs/>
          <w:color w:val="263849"/>
          <w:sz w:val="30"/>
          <w:szCs w:val="30"/>
        </w:rPr>
        <w:t xml:space="preserve">6.8 Frozen-at-commit invariant</w:t>
      </w:r>
    </w:p>
    <w:p>
      <w:pPr>
        <w:spacing w:after="140" w:line="280"/>
        <w:jc w:val="both"/>
      </w:pPr>
      <w:r>
        <w:rPr>
          <w:rFonts w:ascii="Arial" w:cs="Arial" w:eastAsia="Arial" w:hAnsi="Arial"/>
          <w:sz w:val="22"/>
          <w:szCs w:val="22"/>
        </w:rPr>
        <w:t xml:space="preserve">forecast_period_items rows are never updated after commit. Mistakes are corrected by creating a new version, not mutating the old. This is what makes the "what we believed at IC" audit trail reliable.</w:t>
      </w:r>
    </w:p>
    <w:p>
      <w:pPr>
        <w:pStyle w:val="Heading2"/>
        <w:spacing w:after="120" w:before="240"/>
      </w:pPr>
      <w:r>
        <w:rPr>
          <w:rFonts w:ascii="Arial" w:cs="Arial" w:eastAsia="Arial" w:hAnsi="Arial"/>
          <w:b/>
          <w:bCs/>
          <w:color w:val="263849"/>
          <w:sz w:val="30"/>
          <w:szCs w:val="30"/>
        </w:rPr>
        <w:t xml:space="preserve">6.9 Approval</w:t>
      </w:r>
    </w:p>
    <w:p>
      <w:pPr>
        <w:pStyle w:val="ListParagraph"/>
        <w:numPr>
          <w:ilvl w:val="0"/>
          <w:numId w:val="2"/>
        </w:numPr>
        <w:spacing w:after="60"/>
      </w:pPr>
      <w:r>
        <w:rPr>
          <w:rFonts w:ascii="Arial" w:cs="Arial" w:eastAsia="Arial" w:hAnsi="Arial"/>
          <w:sz w:val="22"/>
          <w:szCs w:val="22"/>
        </w:rPr>
        <w:t xml:space="preserve">A forecast_case_version is not active until approved_by + approved_at set.</w:t>
      </w:r>
    </w:p>
    <w:p>
      <w:pPr>
        <w:pStyle w:val="ListParagraph"/>
        <w:numPr>
          <w:ilvl w:val="0"/>
          <w:numId w:val="2"/>
        </w:numPr>
        <w:spacing w:after="60"/>
      </w:pPr>
      <w:r>
        <w:rPr>
          <w:rFonts w:ascii="Arial" w:cs="Arial" w:eastAsia="Arial" w:hAnsi="Arial"/>
          <w:sz w:val="22"/>
          <w:szCs w:val="22"/>
        </w:rPr>
        <w:t xml:space="preserve">Pre-approval, the version is in a staging state — analyst can amend, discard, or roll back.</w:t>
      </w:r>
    </w:p>
    <w:p>
      <w:pPr>
        <w:pStyle w:val="ListParagraph"/>
        <w:numPr>
          <w:ilvl w:val="0"/>
          <w:numId w:val="2"/>
        </w:numPr>
        <w:spacing w:after="60"/>
      </w:pPr>
      <w:r>
        <w:rPr>
          <w:rFonts w:ascii="Arial" w:cs="Arial" w:eastAsia="Arial" w:hAnsi="Arial"/>
          <w:sz w:val="22"/>
          <w:szCs w:val="22"/>
        </w:rPr>
        <w:t xml:space="preserve">Approval is a one-click action after proposal review; the proposal-review UI shows side-by-side against the prior active version.</w:t>
      </w:r>
    </w:p>
    <w:p>
      <w:pPr>
        <w:pStyle w:val="Heading1"/>
        <w:pageBreakBefore/>
        <w:spacing w:after="180" w:before="240"/>
      </w:pPr>
      <w:r>
        <w:rPr>
          <w:rFonts w:ascii="Arial" w:cs="Arial" w:eastAsia="Arial" w:hAnsi="Arial"/>
          <w:b/>
          <w:bCs/>
          <w:color w:val="1F6FA5"/>
          <w:sz w:val="40"/>
          <w:szCs w:val="40"/>
        </w:rPr>
        <w:t xml:space="preserve">Part VII — Capital structure and capital stack</w:t>
      </w:r>
    </w:p>
    <w:p>
      <w:pPr>
        <w:pStyle w:val="Heading2"/>
        <w:spacing w:after="120" w:before="240"/>
      </w:pPr>
      <w:r>
        <w:rPr>
          <w:rFonts w:ascii="Arial" w:cs="Arial" w:eastAsia="Arial" w:hAnsi="Arial"/>
          <w:b/>
          <w:bCs/>
          <w:color w:val="263849"/>
          <w:sz w:val="30"/>
          <w:szCs w:val="30"/>
        </w:rPr>
        <w:t xml:space="preserve">7.1 Two distinct concepts</w:t>
      </w:r>
    </w:p>
    <w:p>
      <w:pPr>
        <w:pStyle w:val="ListParagraph"/>
        <w:numPr>
          <w:ilvl w:val="0"/>
          <w:numId w:val="2"/>
        </w:numPr>
        <w:spacing w:after="60"/>
      </w:pPr>
      <w:r>
        <w:rPr>
          <w:rFonts w:ascii="Arial" w:cs="Arial" w:eastAsia="Arial" w:hAnsi="Arial"/>
          <w:b/>
          <w:bCs/>
          <w:sz w:val="22"/>
          <w:szCs w:val="22"/>
        </w:rPr>
        <w:t xml:space="preserve">Capital structure: </w:t>
      </w:r>
      <w:r>
        <w:rPr>
          <w:rFonts w:ascii="Arial" w:cs="Arial" w:eastAsia="Arial" w:hAnsi="Arial"/>
          <w:sz w:val="22"/>
          <w:szCs w:val="22"/>
        </w:rPr>
        <w:t xml:space="preserve">the list of instruments (tranches) and the entities they sit on. Relational picture. Storage: capital_structure_instruments, corporate_entities.</w:t>
      </w:r>
    </w:p>
    <w:p>
      <w:pPr>
        <w:pStyle w:val="ListParagraph"/>
        <w:numPr>
          <w:ilvl w:val="0"/>
          <w:numId w:val="2"/>
        </w:numPr>
        <w:spacing w:after="60"/>
      </w:pPr>
      <w:r>
        <w:rPr>
          <w:rFonts w:ascii="Arial" w:cs="Arial" w:eastAsia="Arial" w:hAnsi="Arial"/>
          <w:b/>
          <w:bCs/>
          <w:sz w:val="22"/>
          <w:szCs w:val="22"/>
        </w:rPr>
        <w:t xml:space="preserve">Capital stack: </w:t>
      </w:r>
      <w:r>
        <w:rPr>
          <w:rFonts w:ascii="Arial" w:cs="Arial" w:eastAsia="Arial" w:hAnsi="Arial"/>
          <w:sz w:val="22"/>
          <w:szCs w:val="22"/>
        </w:rPr>
        <w:t xml:space="preserve">the priority-ordered walk-up from asset value to equity. Computational picture. Derived by the Capital Stack Engine from the capital structure plus enterprise value and EBITDA inputs.</w:t>
      </w:r>
    </w:p>
    <w:p>
      <w:pPr>
        <w:pStyle w:val="Heading2"/>
        <w:spacing w:after="120" w:before="240"/>
      </w:pPr>
      <w:r>
        <w:rPr>
          <w:rFonts w:ascii="Arial" w:cs="Arial" w:eastAsia="Arial" w:hAnsi="Arial"/>
          <w:b/>
          <w:bCs/>
          <w:color w:val="263849"/>
          <w:sz w:val="30"/>
          <w:szCs w:val="30"/>
        </w:rPr>
        <w:t xml:space="preserve">7.2 Instrument pricing decomposition (v9)</w:t>
      </w:r>
    </w:p>
    <w:p>
      <w:pPr>
        <w:spacing w:after="140" w:line="280"/>
        <w:jc w:val="both"/>
      </w:pPr>
      <w:r>
        <w:rPr>
          <w:rFonts w:ascii="Arial" w:cs="Arial" w:eastAsia="Arial" w:hAnsi="Arial"/>
          <w:sz w:val="22"/>
          <w:szCs w:val="22"/>
        </w:rPr>
        <w:t xml:space="preserve">Prior to v9, each instrument carried a single margin_bps. This overstated the WA Spread at portfolio level (since it blended base rates into the spread). v9 decomposes pricing into five fields plus one GENERATED column: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Meaning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coupon_bps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All-in contractual interest rate for fixed-rate instruments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base_rate_at_issuance_bps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Reference curve value at issue date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spread_bps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Contractual margin over base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benchmark_spread_bps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Observed public-market spread for comparable risk at issuance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private_debt_premium_bps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GENERATED STORED: spread_bps - benchmark_spread_bps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margin_bps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Legacy all-in spread column, preserved for backwards compatibility</w:t>
            </w:r>
          </w:p>
        </w:tc>
      </w:tr>
    </w:tbl>
    <w:p>
      <w:pPr>
        <w:spacing w:after="140" w:line="280"/>
        <w:jc w:val="both"/>
      </w:pPr>
      <w:r>
        <w:rPr>
          <w:rFonts w:ascii="Arial" w:cs="Arial" w:eastAsia="Arial" w:hAnsi="Arial"/>
          <w:sz w:val="22"/>
          <w:szCs w:val="22"/>
        </w:rPr>
        <w:t xml:space="preserve">For floating-rate instruments, coupon_bps may be NULL and spread_bps carries the spread over the live base rate. For fixed-rate, coupon_bps is the full rate and the spread is the derived component.</w:t>
      </w:r>
    </w:p>
    <w:p>
      <w:pPr>
        <w:pBdr>
          <w:left w:val="single" w:color="1F6FA5" w:sz="16" w:space="10"/>
        </w:pBdr>
        <w:spacing w:after="160" w:before="80"/>
        <w:ind w:left="200"/>
      </w:pPr>
      <w:r>
        <w:rPr>
          <w:rFonts w:ascii="Arial" w:cs="Arial" w:eastAsia="Arial" w:hAnsi="Arial"/>
          <w:i/>
          <w:iCs/>
          <w:color w:val="56718A"/>
          <w:sz w:val="22"/>
          <w:szCs w:val="22"/>
        </w:rPr>
        <w:t xml:space="preserve">WA Spread on the portfolio dashboard is now computed over spread_bps (the true spread), not margin_bps (the all-in rate). Prior version over-stated by the base rate.</w:t>
      </w:r>
    </w:p>
    <w:p>
      <w:pPr>
        <w:pStyle w:val="Heading2"/>
        <w:spacing w:after="120" w:before="240"/>
      </w:pPr>
      <w:r>
        <w:rPr>
          <w:rFonts w:ascii="Arial" w:cs="Arial" w:eastAsia="Arial" w:hAnsi="Arial"/>
          <w:b/>
          <w:bCs/>
          <w:color w:val="263849"/>
          <w:sz w:val="30"/>
          <w:szCs w:val="30"/>
        </w:rPr>
        <w:t xml:space="preserve">7.3 Margin ratchets</w:t>
      </w:r>
    </w:p>
    <w:p>
      <w:pPr>
        <w:spacing w:after="140" w:line="280"/>
        <w:jc w:val="both"/>
      </w:pPr>
      <w:r>
        <w:rPr>
          <w:rFonts w:ascii="Arial" w:cs="Arial" w:eastAsia="Arial" w:hAnsi="Arial"/>
          <w:sz w:val="22"/>
          <w:szCs w:val="22"/>
        </w:rPr>
        <w:t xml:space="preserve">capital_structure_margin_ratchets defines step-tables that move the coupon up or down based on a trigger metric. Three supported ratchet_types:</w:t>
      </w:r>
    </w:p>
    <w:p>
      <w:pPr>
        <w:pStyle w:val="ListParagraph"/>
        <w:numPr>
          <w:ilvl w:val="0"/>
          <w:numId w:val="2"/>
        </w:numPr>
        <w:spacing w:after="60"/>
      </w:pPr>
      <w:r>
        <w:rPr>
          <w:rFonts w:ascii="Arial" w:cs="Arial" w:eastAsia="Arial" w:hAnsi="Arial"/>
          <w:b/>
          <w:bCs/>
          <w:sz w:val="22"/>
          <w:szCs w:val="22"/>
        </w:rPr>
        <w:t xml:space="preserve">leverage: </w:t>
      </w:r>
      <w:r>
        <w:rPr>
          <w:rFonts w:ascii="Arial" w:cs="Arial" w:eastAsia="Arial" w:hAnsi="Arial"/>
          <w:sz w:val="22"/>
          <w:szCs w:val="22"/>
        </w:rPr>
        <w:t xml:space="preserve">Net Debt / EBITDA steps. Lower leverage → lower coupon.</w:t>
      </w:r>
    </w:p>
    <w:p>
      <w:pPr>
        <w:pStyle w:val="ListParagraph"/>
        <w:numPr>
          <w:ilvl w:val="0"/>
          <w:numId w:val="2"/>
        </w:numPr>
        <w:spacing w:after="60"/>
      </w:pPr>
      <w:r>
        <w:rPr>
          <w:rFonts w:ascii="Arial" w:cs="Arial" w:eastAsia="Arial" w:hAnsi="Arial"/>
          <w:b/>
          <w:bCs/>
          <w:sz w:val="22"/>
          <w:szCs w:val="22"/>
        </w:rPr>
        <w:t xml:space="preserve">dscr: </w:t>
      </w:r>
      <w:r>
        <w:rPr>
          <w:rFonts w:ascii="Arial" w:cs="Arial" w:eastAsia="Arial" w:hAnsi="Arial"/>
          <w:sz w:val="22"/>
          <w:szCs w:val="22"/>
        </w:rPr>
        <w:t xml:space="preserve">DSCR steps. Higher cover → lower coupon.</w:t>
      </w:r>
    </w:p>
    <w:p>
      <w:pPr>
        <w:pStyle w:val="ListParagraph"/>
        <w:numPr>
          <w:ilvl w:val="0"/>
          <w:numId w:val="2"/>
        </w:numPr>
        <w:spacing w:after="60"/>
      </w:pPr>
      <w:r>
        <w:rPr>
          <w:rFonts w:ascii="Arial" w:cs="Arial" w:eastAsia="Arial" w:hAnsi="Arial"/>
          <w:b/>
          <w:bCs/>
          <w:sz w:val="22"/>
          <w:szCs w:val="22"/>
        </w:rPr>
        <w:t xml:space="preserve">esg_spt: </w:t>
      </w:r>
      <w:r>
        <w:rPr>
          <w:rFonts w:ascii="Arial" w:cs="Arial" w:eastAsia="Arial" w:hAnsi="Arial"/>
          <w:sz w:val="22"/>
          <w:szCs w:val="22"/>
        </w:rPr>
        <w:t xml:space="preserve">ESG Sustainability Performance Target. KPI-driven. Missed SPT → +5 bps typical; met SPT for consecutive years → -5 bps.</w:t>
      </w:r>
    </w:p>
    <w:p>
      <w:pPr>
        <w:pStyle w:val="Heading3"/>
        <w:spacing w:after="80" w:before="180"/>
      </w:pPr>
      <w:r>
        <w:rPr>
          <w:rFonts w:ascii="Arial" w:cs="Arial" w:eastAsia="Arial" w:hAnsi="Arial"/>
          <w:b/>
          <w:bCs/>
          <w:color w:val="263849"/>
          <w:sz w:val="26"/>
          <w:szCs w:val="26"/>
        </w:rPr>
        <w:t xml:space="preserve">7.3.1 Ratchet evaluation</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Exact pseudocode for step evaluation — cure-period smoothing, back-to-back movement rules, missed-year reset behaviour — is outstanding. Agreed narrative: on each covenant test or KPI observation, the Margin Ratchet Engine checks whether a different step would fire; if yes, and if the cure period has elapsed (or no cure applies), the step moves and a capital_structure_margin_ratchet_history row is written. The instrument's current coupon_bps is updated to the new step's step_coupon_bps.</w:t>
      </w:r>
    </w:p>
    <w:p>
      <w:pPr>
        <w:pStyle w:val="Heading3"/>
        <w:spacing w:after="80" w:before="180"/>
      </w:pPr>
      <w:r>
        <w:rPr>
          <w:rFonts w:ascii="Arial" w:cs="Arial" w:eastAsia="Arial" w:hAnsi="Arial"/>
          <w:b/>
          <w:bCs/>
          <w:color w:val="263849"/>
          <w:sz w:val="26"/>
          <w:szCs w:val="26"/>
        </w:rPr>
        <w:t xml:space="preserve">7.3.2 ESG SPT specifics</w:t>
      </w:r>
    </w:p>
    <w:p>
      <w:pPr>
        <w:pStyle w:val="ListParagraph"/>
        <w:numPr>
          <w:ilvl w:val="0"/>
          <w:numId w:val="2"/>
        </w:numPr>
        <w:spacing w:after="60"/>
      </w:pPr>
      <w:r>
        <w:rPr>
          <w:rFonts w:ascii="Arial" w:cs="Arial" w:eastAsia="Arial" w:hAnsi="Arial"/>
          <w:sz w:val="22"/>
          <w:szCs w:val="22"/>
        </w:rPr>
        <w:t xml:space="preserve">kpi_key column on the ratchet row points to a sector_kpi_* line.</w:t>
      </w:r>
    </w:p>
    <w:p>
      <w:pPr>
        <w:pStyle w:val="ListParagraph"/>
        <w:numPr>
          <w:ilvl w:val="0"/>
          <w:numId w:val="2"/>
        </w:numPr>
        <w:spacing w:after="60"/>
      </w:pPr>
      <w:r>
        <w:rPr>
          <w:rFonts w:ascii="Arial" w:cs="Arial" w:eastAsia="Arial" w:hAnsi="Arial"/>
          <w:sz w:val="22"/>
          <w:szCs w:val="22"/>
        </w:rPr>
        <w:t xml:space="preserve">Trigger is typically "meet for two consecutive years" for step-down, "miss for one year" for step-up.</w:t>
      </w:r>
    </w:p>
    <w:p>
      <w:pPr>
        <w:pStyle w:val="ListParagraph"/>
        <w:numPr>
          <w:ilvl w:val="0"/>
          <w:numId w:val="2"/>
        </w:numPr>
        <w:spacing w:after="60"/>
      </w:pPr>
      <w:r>
        <w:rPr>
          <w:rFonts w:ascii="Arial" w:cs="Arial" w:eastAsia="Arial" w:hAnsi="Arial"/>
          <w:sz w:val="22"/>
          <w:szCs w:val="22"/>
        </w:rPr>
        <w:t xml:space="preserve">North Sea OWF is the seeded worked example — carbon intensity ≤ 50 gCO2/kWh triggers step-down.</w:t>
      </w:r>
    </w:p>
    <w:p>
      <w:pPr>
        <w:pStyle w:val="Heading2"/>
        <w:spacing w:after="120" w:before="240"/>
      </w:pPr>
      <w:r>
        <w:rPr>
          <w:rFonts w:ascii="Arial" w:cs="Arial" w:eastAsia="Arial" w:hAnsi="Arial"/>
          <w:b/>
          <w:bCs/>
          <w:color w:val="263849"/>
          <w:sz w:val="30"/>
          <w:szCs w:val="30"/>
        </w:rPr>
        <w:t xml:space="preserve">7.4 Capital-structure taxonomy (v8)</w:t>
      </w:r>
    </w:p>
    <w:p>
      <w:pPr>
        <w:spacing w:after="140" w:line="280"/>
        <w:jc w:val="both"/>
      </w:pPr>
      <w:r>
        <w:rPr>
          <w:rFonts w:ascii="Arial" w:cs="Arial" w:eastAsia="Arial" w:hAnsi="Arial"/>
          <w:sz w:val="22"/>
          <w:szCs w:val="22"/>
        </w:rPr>
        <w:t xml:space="preserve">Each instrument carries taxonomy columns positioning it in the structural hierarchy: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Meaning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entity_level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Which entity the instrument sits on (OpCo / HoldCo / Minority HoldCo / Sponsor)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ownership_pct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Lender's economic interest in this instrument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structural_seniority</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Ordinal number: structural distance from cashflow-generating asset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ratio_consolidation_level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Entity level at which the instrument's ratios are tested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intercompany_lender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TRUE if intercompany loan (not a third-party facility)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subordination_agreement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Name of governing intercreditor / subordination deed, if any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cashflow_priority_rank</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Auto-assigned by engine; respects manual override</w:t>
            </w:r>
          </w:p>
        </w:tc>
      </w:tr>
    </w:tbl>
    <w:p>
      <w:pPr>
        <w:pStyle w:val="Heading2"/>
        <w:spacing w:after="120" w:before="240"/>
      </w:pPr>
      <w:r>
        <w:rPr>
          <w:rFonts w:ascii="Arial" w:cs="Arial" w:eastAsia="Arial" w:hAnsi="Arial"/>
          <w:b/>
          <w:bCs/>
          <w:color w:val="263849"/>
          <w:sz w:val="30"/>
          <w:szCs w:val="30"/>
        </w:rPr>
        <w:t xml:space="preserve">7.5 Entity taxonomy</w:t>
      </w:r>
    </w:p>
    <w:p>
      <w:pPr>
        <w:spacing w:after="140" w:line="280"/>
        <w:jc w:val="both"/>
      </w:pPr>
      <w:r>
        <w:rPr>
          <w:rFonts w:ascii="Arial" w:cs="Arial" w:eastAsia="Arial" w:hAnsi="Arial"/>
          <w:sz w:val="22"/>
          <w:szCs w:val="22"/>
        </w:rPr>
        <w:t xml:space="preserve">corporate_entities carries ownership, control, and consolidation metadata:</w:t>
      </w:r>
    </w:p>
    <w:p>
      <w:pPr>
        <w:pStyle w:val="ListParagraph"/>
        <w:numPr>
          <w:ilvl w:val="0"/>
          <w:numId w:val="2"/>
        </w:numPr>
        <w:spacing w:after="60"/>
      </w:pPr>
      <w:r>
        <w:rPr>
          <w:rFonts w:ascii="Arial" w:cs="Arial" w:eastAsia="Arial" w:hAnsi="Arial"/>
          <w:sz w:val="22"/>
          <w:szCs w:val="22"/>
        </w:rPr>
        <w:t xml:space="preserve">ownership_pct: direct ownership from parent</w:t>
      </w:r>
    </w:p>
    <w:p>
      <w:pPr>
        <w:pStyle w:val="ListParagraph"/>
        <w:numPr>
          <w:ilvl w:val="0"/>
          <w:numId w:val="2"/>
        </w:numPr>
        <w:spacing w:after="60"/>
      </w:pPr>
      <w:r>
        <w:rPr>
          <w:rFonts w:ascii="Arial" w:cs="Arial" w:eastAsia="Arial" w:hAnsi="Arial"/>
          <w:sz w:val="22"/>
          <w:szCs w:val="22"/>
        </w:rPr>
        <w:t xml:space="preserve">ownership_type: common / preferred / hybrid</w:t>
      </w:r>
    </w:p>
    <w:p>
      <w:pPr>
        <w:pStyle w:val="ListParagraph"/>
        <w:numPr>
          <w:ilvl w:val="0"/>
          <w:numId w:val="2"/>
        </w:numPr>
        <w:spacing w:after="60"/>
      </w:pPr>
      <w:r>
        <w:rPr>
          <w:rFonts w:ascii="Arial" w:cs="Arial" w:eastAsia="Arial" w:hAnsi="Arial"/>
          <w:sz w:val="22"/>
          <w:szCs w:val="22"/>
        </w:rPr>
        <w:t xml:space="preserve">control_type: sole / joint / minority</w:t>
      </w:r>
    </w:p>
    <w:p>
      <w:pPr>
        <w:pStyle w:val="ListParagraph"/>
        <w:numPr>
          <w:ilvl w:val="0"/>
          <w:numId w:val="2"/>
        </w:numPr>
        <w:spacing w:after="60"/>
      </w:pPr>
      <w:r>
        <w:rPr>
          <w:rFonts w:ascii="Arial" w:cs="Arial" w:eastAsia="Arial" w:hAnsi="Arial"/>
          <w:sz w:val="22"/>
          <w:szCs w:val="22"/>
        </w:rPr>
        <w:t xml:space="preserve">consolidation_method: proportional / full / equity / none</w:t>
      </w:r>
    </w:p>
    <w:p>
      <w:pPr>
        <w:pStyle w:val="ListParagraph"/>
        <w:numPr>
          <w:ilvl w:val="0"/>
          <w:numId w:val="2"/>
        </w:numPr>
        <w:spacing w:after="60"/>
      </w:pPr>
      <w:r>
        <w:rPr>
          <w:rFonts w:ascii="Arial" w:cs="Arial" w:eastAsia="Arial" w:hAnsi="Arial"/>
          <w:sz w:val="22"/>
          <w:szCs w:val="22"/>
        </w:rPr>
        <w:t xml:space="preserve">within_security_perimeter: true/false — lender security covers this entity</w:t>
      </w:r>
    </w:p>
    <w:p>
      <w:pPr>
        <w:pStyle w:val="ListParagraph"/>
        <w:numPr>
          <w:ilvl w:val="0"/>
          <w:numId w:val="2"/>
        </w:numPr>
        <w:spacing w:after="60"/>
      </w:pPr>
      <w:r>
        <w:rPr>
          <w:rFonts w:ascii="Arial" w:cs="Arial" w:eastAsia="Arial" w:hAnsi="Arial"/>
          <w:sz w:val="22"/>
          <w:szCs w:val="22"/>
        </w:rPr>
        <w:t xml:space="preserve">ratio_level: true if covenants are tested AT this entity</w:t>
      </w:r>
    </w:p>
    <w:p>
      <w:pPr>
        <w:pStyle w:val="Heading2"/>
        <w:spacing w:after="120" w:before="240"/>
      </w:pPr>
      <w:r>
        <w:rPr>
          <w:rFonts w:ascii="Arial" w:cs="Arial" w:eastAsia="Arial" w:hAnsi="Arial"/>
          <w:b/>
          <w:bCs/>
          <w:color w:val="263849"/>
          <w:sz w:val="30"/>
          <w:szCs w:val="30"/>
        </w:rPr>
        <w:t xml:space="preserve">7.6 Cashflow priority-rank assignment</w:t>
      </w:r>
    </w:p>
    <w:p>
      <w:pPr>
        <w:spacing w:after="140" w:line="280"/>
        <w:jc w:val="both"/>
      </w:pPr>
      <w:r>
        <w:rPr>
          <w:rFonts w:ascii="Arial" w:cs="Arial" w:eastAsia="Arial" w:hAnsi="Arial"/>
          <w:sz w:val="22"/>
          <w:szCs w:val="22"/>
        </w:rPr>
        <w:t xml:space="preserve">server/capital_structure_engine.py::assign_cashflow_priority_ranks() auto-assigns ranks to each instrument:</w:t>
      </w:r>
    </w:p>
    <w:p>
      <w:pPr>
        <w:pStyle w:val="ListParagraph"/>
        <w:numPr>
          <w:ilvl w:val="0"/>
          <w:numId w:val="2"/>
        </w:numPr>
        <w:spacing w:after="60"/>
      </w:pPr>
      <w:r>
        <w:rPr>
          <w:rFonts w:ascii="Arial" w:cs="Arial" w:eastAsia="Arial" w:hAnsi="Arial"/>
          <w:sz w:val="22"/>
          <w:szCs w:val="22"/>
        </w:rPr>
        <w:t xml:space="preserve">Rank 1: closest-to-cashflows external debt (typically OpCo senior).</w:t>
      </w:r>
    </w:p>
    <w:p>
      <w:pPr>
        <w:pStyle w:val="ListParagraph"/>
        <w:numPr>
          <w:ilvl w:val="0"/>
          <w:numId w:val="2"/>
        </w:numPr>
        <w:spacing w:after="60"/>
      </w:pPr>
      <w:r>
        <w:rPr>
          <w:rFonts w:ascii="Arial" w:cs="Arial" w:eastAsia="Arial" w:hAnsi="Arial"/>
          <w:sz w:val="22"/>
          <w:szCs w:val="22"/>
        </w:rPr>
        <w:t xml:space="preserve">+1 per structural level above (HoldCo above OpCo, etc.).</w:t>
      </w:r>
    </w:p>
    <w:p>
      <w:pPr>
        <w:pStyle w:val="ListParagraph"/>
        <w:numPr>
          <w:ilvl w:val="0"/>
          <w:numId w:val="2"/>
        </w:numPr>
        <w:spacing w:after="60"/>
      </w:pPr>
      <w:r>
        <w:rPr>
          <w:rFonts w:ascii="Arial" w:cs="Arial" w:eastAsia="Arial" w:hAnsi="Arial"/>
          <w:sz w:val="22"/>
          <w:szCs w:val="22"/>
        </w:rPr>
        <w:t xml:space="preserve">+1 for contractual subordination (subordination_agreement set).</w:t>
      </w:r>
    </w:p>
    <w:p>
      <w:pPr>
        <w:pStyle w:val="ListParagraph"/>
        <w:numPr>
          <w:ilvl w:val="0"/>
          <w:numId w:val="2"/>
        </w:numPr>
        <w:spacing w:after="60"/>
      </w:pPr>
      <w:r>
        <w:rPr>
          <w:rFonts w:ascii="Arial" w:cs="Arial" w:eastAsia="Arial" w:hAnsi="Arial"/>
          <w:sz w:val="22"/>
          <w:szCs w:val="22"/>
        </w:rPr>
        <w:t xml:space="preserve">+1 extra for minority_holdco if OpCo debt also exists.</w:t>
      </w:r>
    </w:p>
    <w:p>
      <w:pPr>
        <w:pStyle w:val="ListParagraph"/>
        <w:numPr>
          <w:ilvl w:val="0"/>
          <w:numId w:val="2"/>
        </w:numPr>
        <w:spacing w:after="60"/>
      </w:pPr>
      <w:r>
        <w:rPr>
          <w:rFonts w:ascii="Arial" w:cs="Arial" w:eastAsia="Arial" w:hAnsi="Arial"/>
          <w:sz w:val="22"/>
          <w:szCs w:val="22"/>
        </w:rPr>
        <w:t xml:space="preserve">Shareholder and intercompany loans stay unranked (cashflow_priority_rank NULL).</w:t>
      </w:r>
    </w:p>
    <w:p>
      <w:pPr>
        <w:pStyle w:val="ListParagraph"/>
        <w:numPr>
          <w:ilvl w:val="0"/>
          <w:numId w:val="2"/>
        </w:numPr>
        <w:spacing w:after="60"/>
      </w:pPr>
      <w:r>
        <w:rPr>
          <w:rFonts w:ascii="Arial" w:cs="Arial" w:eastAsia="Arial" w:hAnsi="Arial"/>
          <w:sz w:val="22"/>
          <w:szCs w:val="22"/>
        </w:rPr>
        <w:t xml:space="preserve">Manual override: if cashflow_priority_rank is pre-set on the instrument, the auto-assignment preserves it.</w:t>
      </w:r>
    </w:p>
    <w:p>
      <w:pPr>
        <w:pStyle w:val="Heading2"/>
        <w:spacing w:after="120" w:before="240"/>
      </w:pPr>
      <w:r>
        <w:rPr>
          <w:rFonts w:ascii="Arial" w:cs="Arial" w:eastAsia="Arial" w:hAnsi="Arial"/>
          <w:b/>
          <w:bCs/>
          <w:color w:val="263849"/>
          <w:sz w:val="30"/>
          <w:szCs w:val="30"/>
        </w:rPr>
        <w:t xml:space="preserve">7.7 Proportional consolidation</w:t>
      </w:r>
    </w:p>
    <w:p>
      <w:pPr>
        <w:spacing w:after="140" w:line="280"/>
        <w:jc w:val="both"/>
      </w:pPr>
      <w:r>
        <w:rPr>
          <w:rFonts w:ascii="Arial" w:cs="Arial" w:eastAsia="Arial" w:hAnsi="Arial"/>
          <w:sz w:val="22"/>
          <w:szCs w:val="22"/>
        </w:rPr>
        <w:t xml:space="preserve">The platform uses proportional consolidation (not IFRS full consolidation) for ratio purposes. Ownership_pct is applied to BOTH cashflows AND debt of the subsidiary. This differs from accounting full consolidation which takes 100% of subsidiary cashflows and adds 100% of subsidiary debt, deducting the minority interest.</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A fully numeric worked example of proportional consolidation — e.g. 60% HoldCo owning OpCo with its own cashflows and debt, rolled up into the lender's ratio view — is an outstanding item. The engine in the code implements this correctly; what's missing here is a numeric walk-through for reviewer clarity.</w:t>
      </w:r>
    </w:p>
    <w:p>
      <w:pPr>
        <w:pStyle w:val="Heading2"/>
        <w:spacing w:after="120" w:before="240"/>
      </w:pPr>
      <w:r>
        <w:rPr>
          <w:rFonts w:ascii="Arial" w:cs="Arial" w:eastAsia="Arial" w:hAnsi="Arial"/>
          <w:b/>
          <w:bCs/>
          <w:color w:val="263849"/>
          <w:sz w:val="30"/>
          <w:szCs w:val="30"/>
        </w:rPr>
        <w:t xml:space="preserve">7.8 Capital Stack Engine v9</w:t>
      </w:r>
    </w:p>
    <w:p>
      <w:pPr>
        <w:spacing w:after="140" w:line="280"/>
        <w:jc w:val="both"/>
      </w:pPr>
      <w:r>
        <w:rPr>
          <w:rFonts w:ascii="Arial" w:cs="Arial" w:eastAsia="Arial" w:hAnsi="Arial"/>
          <w:sz w:val="22"/>
          <w:szCs w:val="22"/>
        </w:rPr>
        <w:t xml:space="preserve">The Capital Stack Engine extends the capital structure with valuation and produces the priority-ordered equity walk-up.</w:t>
      </w:r>
    </w:p>
    <w:p>
      <w:pPr>
        <w:pStyle w:val="Heading3"/>
        <w:spacing w:after="80" w:before="180"/>
      </w:pPr>
      <w:r>
        <w:rPr>
          <w:rFonts w:ascii="Arial" w:cs="Arial" w:eastAsia="Arial" w:hAnsi="Arial"/>
          <w:b/>
          <w:bCs/>
          <w:color w:val="263849"/>
          <w:sz w:val="26"/>
          <w:szCs w:val="26"/>
        </w:rPr>
        <w:t xml:space="preserve">7.8.1 Entry point</w:t>
      </w:r>
    </w:p>
    <w:p>
      <w:pPr>
        <w:spacing w:after="80"/>
      </w:pPr>
      <w:r>
        <w:rPr>
          <w:rFonts w:ascii="Consolas" w:cs="Consolas" w:eastAsia="Consolas" w:hAnsi="Consolas"/>
          <w:color w:val="444444"/>
          <w:sz w:val="20"/>
          <w:szCs w:val="20"/>
        </w:rPr>
        <w:t xml:space="preserve">build_capital_stack(deal, instruments, entities, enterprise_value, ebitda)</w:t>
      </w:r>
    </w:p>
    <w:p>
      <w:pPr>
        <w:spacing w:after="140" w:line="280"/>
        <w:jc w:val="both"/>
      </w:pPr>
      <w:r>
        <w:rPr>
          <w:rFonts w:ascii="Arial" w:cs="Arial" w:eastAsia="Arial" w:hAnsi="Arial"/>
          <w:sz w:val="22"/>
          <w:szCs w:val="22"/>
        </w:rPr>
        <w:t xml:space="preserve">Returns: the linear stack (rank-ordered instruments), two-lens metrics, our-position summary, change-of-control coverage, validation warnings.</w:t>
      </w:r>
    </w:p>
    <w:p>
      <w:pPr>
        <w:pStyle w:val="Heading3"/>
        <w:spacing w:after="80" w:before="180"/>
      </w:pPr>
      <w:r>
        <w:rPr>
          <w:rFonts w:ascii="Arial" w:cs="Arial" w:eastAsia="Arial" w:hAnsi="Arial"/>
          <w:b/>
          <w:bCs/>
          <w:color w:val="263849"/>
          <w:sz w:val="26"/>
          <w:szCs w:val="26"/>
        </w:rPr>
        <w:t xml:space="preserve">7.8.2 Key helpers</w:t>
      </w:r>
    </w:p>
    <w:p>
      <w:pPr>
        <w:pStyle w:val="ListParagraph"/>
        <w:numPr>
          <w:ilvl w:val="0"/>
          <w:numId w:val="2"/>
        </w:numPr>
        <w:spacing w:after="60"/>
      </w:pPr>
      <w:r>
        <w:rPr>
          <w:rFonts w:ascii="Arial" w:cs="Arial" w:eastAsia="Arial" w:hAnsi="Arial"/>
          <w:sz w:val="22"/>
          <w:szCs w:val="22"/>
        </w:rPr>
        <w:t xml:space="preserve">compute_attributable_equity() — rank-ordered walk-up from asset to equity. Returns remaining equity at each rank.</w:t>
      </w:r>
    </w:p>
    <w:p>
      <w:pPr>
        <w:pStyle w:val="ListParagraph"/>
        <w:numPr>
          <w:ilvl w:val="0"/>
          <w:numId w:val="2"/>
        </w:numPr>
        <w:spacing w:after="60"/>
      </w:pPr>
      <w:r>
        <w:rPr>
          <w:rFonts w:ascii="Arial" w:cs="Arial" w:eastAsia="Arial" w:hAnsi="Arial"/>
          <w:sz w:val="22"/>
          <w:szCs w:val="22"/>
        </w:rPr>
        <w:t xml:space="preserve">gross_up_facility() — 1 / pledged_share_pct for NAV-style debt pledged against a minority stake.</w:t>
      </w:r>
    </w:p>
    <w:p>
      <w:pPr>
        <w:pStyle w:val="ListParagraph"/>
        <w:numPr>
          <w:ilvl w:val="0"/>
          <w:numId w:val="2"/>
        </w:numPr>
        <w:spacing w:after="60"/>
      </w:pPr>
      <w:r>
        <w:rPr>
          <w:rFonts w:ascii="Arial" w:cs="Arial" w:eastAsia="Arial" w:hAnsi="Arial"/>
          <w:sz w:val="22"/>
          <w:szCs w:val="22"/>
        </w:rPr>
        <w:t xml:space="preserve">build_metrics() — two lenses: CTA-consolidated headline + grossed-up consolidated-equivalent.</w:t>
      </w:r>
    </w:p>
    <w:p>
      <w:pPr>
        <w:pStyle w:val="ListParagraph"/>
        <w:numPr>
          <w:ilvl w:val="0"/>
          <w:numId w:val="2"/>
        </w:numPr>
        <w:spacing w:after="60"/>
      </w:pPr>
      <w:r>
        <w:rPr>
          <w:rFonts w:ascii="Arial" w:cs="Arial" w:eastAsia="Arial" w:hAnsi="Arial"/>
          <w:sz w:val="22"/>
          <w:szCs w:val="22"/>
        </w:rPr>
        <w:t xml:space="preserve">change_of_control_coverage() — LTV on pledged shares. Amber &gt; 30%, red &gt; 50%.</w:t>
      </w:r>
    </w:p>
    <w:p>
      <w:pPr>
        <w:pStyle w:val="ListParagraph"/>
        <w:numPr>
          <w:ilvl w:val="0"/>
          <w:numId w:val="2"/>
        </w:numPr>
        <w:spacing w:after="60"/>
      </w:pPr>
      <w:r>
        <w:rPr>
          <w:rFonts w:ascii="Arial" w:cs="Arial" w:eastAsia="Arial" w:hAnsi="Arial"/>
          <w:sz w:val="22"/>
          <w:szCs w:val="22"/>
        </w:rPr>
        <w:t xml:space="preserve">validate_capital_stack() — v8 checks + missing-EV + stale-valuation + unpledged-NAV.</w:t>
      </w:r>
    </w:p>
    <w:p>
      <w:pPr>
        <w:pStyle w:val="Heading3"/>
        <w:spacing w:after="80" w:before="180"/>
      </w:pPr>
      <w:r>
        <w:rPr>
          <w:rFonts w:ascii="Arial" w:cs="Arial" w:eastAsia="Arial" w:hAnsi="Arial"/>
          <w:b/>
          <w:bCs/>
          <w:color w:val="263849"/>
          <w:sz w:val="26"/>
          <w:szCs w:val="26"/>
        </w:rPr>
        <w:t xml:space="preserve">7.8.3 Linear stack assumption</w:t>
      </w:r>
    </w:p>
    <w:p>
      <w:pPr>
        <w:spacing w:after="140" w:line="280"/>
        <w:jc w:val="both"/>
      </w:pPr>
      <w:r>
        <w:rPr>
          <w:rFonts w:ascii="Arial" w:cs="Arial" w:eastAsia="Arial" w:hAnsi="Arial"/>
          <w:sz w:val="22"/>
          <w:szCs w:val="22"/>
        </w:rPr>
        <w:t xml:space="preserve">The stack is strictly linear: one path from asset to equity. Parallel claims (e.g. two separate facilities pledged against different subsidiaries) are modelled as separate deal records. This keeps the walk-up tractable and matches the CTA-consolidation assumption on most project-finance structures.</w:t>
      </w:r>
    </w:p>
    <w:p>
      <w:pPr>
        <w:pStyle w:val="Heading2"/>
        <w:spacing w:after="120" w:before="240"/>
      </w:pPr>
      <w:r>
        <w:rPr>
          <w:rFonts w:ascii="Arial" w:cs="Arial" w:eastAsia="Arial" w:hAnsi="Arial"/>
          <w:b/>
          <w:bCs/>
          <w:color w:val="263849"/>
          <w:sz w:val="30"/>
          <w:szCs w:val="30"/>
        </w:rPr>
        <w:t xml:space="preserve">7.9 Two-lens metrics</w:t>
      </w:r>
    </w:p>
    <w:p>
      <w:pPr>
        <w:spacing w:after="140" w:line="280"/>
        <w:jc w:val="both"/>
      </w:pPr>
      <w:r>
        <w:rPr>
          <w:rFonts w:ascii="Arial" w:cs="Arial" w:eastAsia="Arial" w:hAnsi="Arial"/>
          <w:sz w:val="22"/>
          <w:szCs w:val="22"/>
        </w:rPr>
        <w:t xml:space="preserve">For any deal, the engine reports both:</w:t>
      </w:r>
    </w:p>
    <w:p>
      <w:pPr>
        <w:pStyle w:val="ListParagraph"/>
        <w:numPr>
          <w:ilvl w:val="0"/>
          <w:numId w:val="2"/>
        </w:numPr>
        <w:spacing w:after="60"/>
      </w:pPr>
      <w:r>
        <w:rPr>
          <w:rFonts w:ascii="Arial" w:cs="Arial" w:eastAsia="Arial" w:hAnsi="Arial"/>
          <w:b/>
          <w:bCs/>
          <w:sz w:val="22"/>
          <w:szCs w:val="22"/>
        </w:rPr>
        <w:t xml:space="preserve">CTA-consolidated headline: </w:t>
      </w:r>
      <w:r>
        <w:rPr>
          <w:rFonts w:ascii="Arial" w:cs="Arial" w:eastAsia="Arial" w:hAnsi="Arial"/>
          <w:sz w:val="22"/>
          <w:szCs w:val="22"/>
        </w:rPr>
        <w:t xml:space="preserve">the view defined in the deal's Common Terms Agreement. This is what the lender actually tests against contractually.</w:t>
      </w:r>
    </w:p>
    <w:p>
      <w:pPr>
        <w:pStyle w:val="ListParagraph"/>
        <w:numPr>
          <w:ilvl w:val="0"/>
          <w:numId w:val="2"/>
        </w:numPr>
        <w:spacing w:after="60"/>
      </w:pPr>
      <w:r>
        <w:rPr>
          <w:rFonts w:ascii="Arial" w:cs="Arial" w:eastAsia="Arial" w:hAnsi="Arial"/>
          <w:b/>
          <w:bCs/>
          <w:sz w:val="22"/>
          <w:szCs w:val="22"/>
        </w:rPr>
        <w:t xml:space="preserve">Grossed-up consolidated-equivalent: </w:t>
      </w:r>
      <w:r>
        <w:rPr>
          <w:rFonts w:ascii="Arial" w:cs="Arial" w:eastAsia="Arial" w:hAnsi="Arial"/>
          <w:sz w:val="22"/>
          <w:szCs w:val="22"/>
        </w:rPr>
        <w:t xml:space="preserve">NAV-style facilities grossed up by 1/pledged_share_pct to give a full-look-through equivalent. This is what the economic exposure looks like on a through-the-pledge basis.</w:t>
      </w:r>
    </w:p>
    <w:p>
      <w:pPr>
        <w:spacing w:after="140" w:line="280"/>
        <w:jc w:val="both"/>
      </w:pPr>
      <w:r>
        <w:rPr>
          <w:rFonts w:ascii="Arial" w:cs="Arial" w:eastAsia="Arial" w:hAnsi="Arial"/>
          <w:sz w:val="22"/>
          <w:szCs w:val="22"/>
        </w:rPr>
        <w:t xml:space="preserve">Both are displayed on the Deal TopSheet page F.2B section. The CTA view is headline; grossed-up is for comparison.</w:t>
      </w:r>
    </w:p>
    <w:p>
      <w:pPr>
        <w:pStyle w:val="Heading2"/>
        <w:spacing w:after="120" w:before="240"/>
      </w:pPr>
      <w:r>
        <w:rPr>
          <w:rFonts w:ascii="Arial" w:cs="Arial" w:eastAsia="Arial" w:hAnsi="Arial"/>
          <w:b/>
          <w:bCs/>
          <w:color w:val="263849"/>
          <w:sz w:val="30"/>
          <w:szCs w:val="30"/>
        </w:rPr>
        <w:t xml:space="preserve">7.10 Change-of-control coverage</w:t>
      </w:r>
    </w:p>
    <w:p>
      <w:pPr>
        <w:spacing w:after="140" w:line="280"/>
        <w:jc w:val="both"/>
      </w:pPr>
      <w:r>
        <w:rPr>
          <w:rFonts w:ascii="Arial" w:cs="Arial" w:eastAsia="Arial" w:hAnsi="Arial"/>
          <w:sz w:val="22"/>
          <w:szCs w:val="22"/>
        </w:rPr>
        <w:t xml:space="preserve">For NAV-style debt (pledged_share_entity + pledged_share_pct set), the Capital Stack Engine computes change-of-control coverage:</w:t>
      </w:r>
    </w:p>
    <w:p>
      <w:pPr>
        <w:spacing w:after="80"/>
      </w:pPr>
      <w:r>
        <w:rPr>
          <w:rFonts w:ascii="Consolas" w:cs="Consolas" w:eastAsia="Consolas" w:hAnsi="Consolas"/>
          <w:color w:val="444444"/>
          <w:sz w:val="20"/>
          <w:szCs w:val="20"/>
        </w:rPr>
        <w:t xml:space="preserve">coc_ltv = outstanding_debt / (pledged_share_pct * enterprise_value)</w:t>
      </w:r>
    </w:p>
    <w:p>
      <w:pPr>
        <w:pStyle w:val="ListParagraph"/>
        <w:numPr>
          <w:ilvl w:val="0"/>
          <w:numId w:val="2"/>
        </w:numPr>
        <w:spacing w:after="60"/>
      </w:pPr>
      <w:r>
        <w:rPr>
          <w:rFonts w:ascii="Arial" w:cs="Arial" w:eastAsia="Arial" w:hAnsi="Arial"/>
          <w:sz w:val="22"/>
          <w:szCs w:val="22"/>
        </w:rPr>
        <w:t xml:space="preserve">Amber threshold: &gt; 30% — elevated CoC risk</w:t>
      </w:r>
    </w:p>
    <w:p>
      <w:pPr>
        <w:pStyle w:val="ListParagraph"/>
        <w:numPr>
          <w:ilvl w:val="0"/>
          <w:numId w:val="2"/>
        </w:numPr>
        <w:spacing w:after="60"/>
      </w:pPr>
      <w:r>
        <w:rPr>
          <w:rFonts w:ascii="Arial" w:cs="Arial" w:eastAsia="Arial" w:hAnsi="Arial"/>
          <w:sz w:val="22"/>
          <w:szCs w:val="22"/>
        </w:rPr>
        <w:t xml:space="preserve">Red threshold: &gt; 50% — severe CoC risk; likely mandatory repayment trigger</w:t>
      </w:r>
    </w:p>
    <w:p>
      <w:pPr>
        <w:pStyle w:val="Heading2"/>
        <w:spacing w:after="120" w:before="240"/>
      </w:pPr>
      <w:r>
        <w:rPr>
          <w:rFonts w:ascii="Arial" w:cs="Arial" w:eastAsia="Arial" w:hAnsi="Arial"/>
          <w:b/>
          <w:bCs/>
          <w:color w:val="263849"/>
          <w:sz w:val="30"/>
          <w:szCs w:val="30"/>
        </w:rPr>
        <w:t xml:space="preserve">7.11 Validation rules</w:t>
      </w:r>
    </w:p>
    <w:p>
      <w:pPr>
        <w:pStyle w:val="ListParagraph"/>
        <w:numPr>
          <w:ilvl w:val="0"/>
          <w:numId w:val="2"/>
        </w:numPr>
        <w:spacing w:after="60"/>
      </w:pPr>
      <w:r>
        <w:rPr>
          <w:rFonts w:ascii="Arial" w:cs="Arial" w:eastAsia="Arial" w:hAnsi="Arial"/>
          <w:sz w:val="22"/>
          <w:szCs w:val="22"/>
        </w:rPr>
        <w:t xml:space="preserve">Missing entity_level on an instrument → error</w:t>
      </w:r>
    </w:p>
    <w:p>
      <w:pPr>
        <w:pStyle w:val="ListParagraph"/>
        <w:numPr>
          <w:ilvl w:val="0"/>
          <w:numId w:val="2"/>
        </w:numPr>
        <w:spacing w:after="60"/>
      </w:pPr>
      <w:r>
        <w:rPr>
          <w:rFonts w:ascii="Arial" w:cs="Arial" w:eastAsia="Arial" w:hAnsi="Arial"/>
          <w:sz w:val="22"/>
          <w:szCs w:val="22"/>
        </w:rPr>
        <w:t xml:space="preserve">Inconsistent pari-passu ranks within a pari-passu group → error</w:t>
      </w:r>
    </w:p>
    <w:p>
      <w:pPr>
        <w:pStyle w:val="ListParagraph"/>
        <w:numPr>
          <w:ilvl w:val="0"/>
          <w:numId w:val="2"/>
        </w:numPr>
        <w:spacing w:after="60"/>
      </w:pPr>
      <w:r>
        <w:rPr>
          <w:rFonts w:ascii="Arial" w:cs="Arial" w:eastAsia="Arial" w:hAnsi="Arial"/>
          <w:sz w:val="22"/>
          <w:szCs w:val="22"/>
        </w:rPr>
        <w:t xml:space="preserve">HoldCo debt at cashflow rank 1 when OpCo debt also present → error</w:t>
      </w:r>
    </w:p>
    <w:p>
      <w:pPr>
        <w:pStyle w:val="ListParagraph"/>
        <w:numPr>
          <w:ilvl w:val="0"/>
          <w:numId w:val="2"/>
        </w:numPr>
        <w:spacing w:after="60"/>
      </w:pPr>
      <w:r>
        <w:rPr>
          <w:rFonts w:ascii="Arial" w:cs="Arial" w:eastAsia="Arial" w:hAnsi="Arial"/>
          <w:sz w:val="22"/>
          <w:szCs w:val="22"/>
        </w:rPr>
        <w:t xml:space="preserve">Missing enterprise_value for a deal with capital stack → warning</w:t>
      </w:r>
    </w:p>
    <w:p>
      <w:pPr>
        <w:pStyle w:val="ListParagraph"/>
        <w:numPr>
          <w:ilvl w:val="0"/>
          <w:numId w:val="2"/>
        </w:numPr>
        <w:spacing w:after="60"/>
      </w:pPr>
      <w:r>
        <w:rPr>
          <w:rFonts w:ascii="Arial" w:cs="Arial" w:eastAsia="Arial" w:hAnsi="Arial"/>
          <w:sz w:val="22"/>
          <w:szCs w:val="22"/>
        </w:rPr>
        <w:t xml:space="preserve">Stale valuation (&gt; 12 months) → warning</w:t>
      </w:r>
    </w:p>
    <w:p>
      <w:pPr>
        <w:pStyle w:val="ListParagraph"/>
        <w:numPr>
          <w:ilvl w:val="0"/>
          <w:numId w:val="2"/>
        </w:numPr>
        <w:spacing w:after="60"/>
      </w:pPr>
      <w:r>
        <w:rPr>
          <w:rFonts w:ascii="Arial" w:cs="Arial" w:eastAsia="Arial" w:hAnsi="Arial"/>
          <w:sz w:val="22"/>
          <w:szCs w:val="22"/>
        </w:rPr>
        <w:t xml:space="preserve">NAV-style debt without pledged_share_pct → error</w:t>
      </w:r>
    </w:p>
    <w:p>
      <w:pPr>
        <w:pStyle w:val="ListParagraph"/>
        <w:numPr>
          <w:ilvl w:val="0"/>
          <w:numId w:val="2"/>
        </w:numPr>
        <w:spacing w:after="60"/>
      </w:pPr>
      <w:r>
        <w:rPr>
          <w:rFonts w:ascii="Arial" w:cs="Arial" w:eastAsia="Arial" w:hAnsi="Arial"/>
          <w:sz w:val="22"/>
          <w:szCs w:val="22"/>
        </w:rPr>
        <w:t xml:space="preserve">ratio_consolidation_level mismatch with any covenant's ratio_level → warning</w:t>
      </w:r>
    </w:p>
    <w:p>
      <w:pPr>
        <w:pStyle w:val="Heading2"/>
        <w:spacing w:after="120" w:before="240"/>
      </w:pPr>
      <w:r>
        <w:rPr>
          <w:rFonts w:ascii="Arial" w:cs="Arial" w:eastAsia="Arial" w:hAnsi="Arial"/>
          <w:b/>
          <w:bCs/>
          <w:color w:val="263849"/>
          <w:sz w:val="30"/>
          <w:szCs w:val="30"/>
        </w:rPr>
        <w:t xml:space="preserve">7.12 Gatwick worked example (TBD — full numeric walk-through)</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Full numeric walk-up through Gatwick's capital stack — from enterprise value, deducting senior secured debt at rank 1, then mezz/junior at rank 2, then HoldCo debt at rank 3, arriving at attributable equity at the sponsor — is an outstanding item. The Capital Stack Engine correctly implements this; the document needs the numeric walk-through for reviewer clarity.</w:t>
      </w:r>
    </w:p>
    <w:p>
      <w:pPr>
        <w:spacing w:after="140" w:line="280"/>
        <w:jc w:val="both"/>
      </w:pPr>
      <w:r>
        <w:rPr>
          <w:rFonts w:ascii="Arial" w:cs="Arial" w:eastAsia="Arial" w:hAnsi="Arial"/>
          <w:sz w:val="22"/>
          <w:szCs w:val="22"/>
        </w:rPr>
        <w:t xml:space="preserve">Shape of the worked example (to be filled in):</w:t>
      </w:r>
    </w:p>
    <w:p>
      <w:pPr>
        <w:pStyle w:val="ListParagraph"/>
        <w:numPr>
          <w:ilvl w:val="0"/>
          <w:numId w:val="2"/>
        </w:numPr>
        <w:spacing w:after="60"/>
      </w:pPr>
      <w:r>
        <w:rPr>
          <w:rFonts w:ascii="Arial" w:cs="Arial" w:eastAsia="Arial" w:hAnsi="Arial"/>
          <w:sz w:val="22"/>
          <w:szCs w:val="22"/>
        </w:rPr>
        <w:t xml:space="preserve">Enterprise value at OpCo (GBP M)</w:t>
      </w:r>
    </w:p>
    <w:p>
      <w:pPr>
        <w:pStyle w:val="ListParagraph"/>
        <w:numPr>
          <w:ilvl w:val="0"/>
          <w:numId w:val="2"/>
        </w:numPr>
        <w:spacing w:after="60"/>
      </w:pPr>
      <w:r>
        <w:rPr>
          <w:rFonts w:ascii="Arial" w:cs="Arial" w:eastAsia="Arial" w:hAnsi="Arial"/>
          <w:sz w:val="22"/>
          <w:szCs w:val="22"/>
        </w:rPr>
        <w:t xml:space="preserve">Less: Senior secured bonds at rank 1 outstanding (GBP M) → remaining equity value</w:t>
      </w:r>
    </w:p>
    <w:p>
      <w:pPr>
        <w:pStyle w:val="ListParagraph"/>
        <w:numPr>
          <w:ilvl w:val="0"/>
          <w:numId w:val="2"/>
        </w:numPr>
        <w:spacing w:after="60"/>
      </w:pPr>
      <w:r>
        <w:rPr>
          <w:rFonts w:ascii="Arial" w:cs="Arial" w:eastAsia="Arial" w:hAnsi="Arial"/>
          <w:sz w:val="22"/>
          <w:szCs w:val="22"/>
        </w:rPr>
        <w:t xml:space="preserve">Less: Second-lien at rank 2 (GBP M) → remaining</w:t>
      </w:r>
    </w:p>
    <w:p>
      <w:pPr>
        <w:pStyle w:val="ListParagraph"/>
        <w:numPr>
          <w:ilvl w:val="0"/>
          <w:numId w:val="2"/>
        </w:numPr>
        <w:spacing w:after="60"/>
      </w:pPr>
      <w:r>
        <w:rPr>
          <w:rFonts w:ascii="Arial" w:cs="Arial" w:eastAsia="Arial" w:hAnsi="Arial"/>
          <w:sz w:val="22"/>
          <w:szCs w:val="22"/>
        </w:rPr>
        <w:t xml:space="preserve">Less: HoldCo debt at rank 3 (GBP M) → remaining attributable to minority HoldCo</w:t>
      </w:r>
    </w:p>
    <w:p>
      <w:pPr>
        <w:pStyle w:val="ListParagraph"/>
        <w:numPr>
          <w:ilvl w:val="0"/>
          <w:numId w:val="2"/>
        </w:numPr>
        <w:spacing w:after="60"/>
      </w:pPr>
      <w:r>
        <w:rPr>
          <w:rFonts w:ascii="Arial" w:cs="Arial" w:eastAsia="Arial" w:hAnsi="Arial"/>
          <w:sz w:val="22"/>
          <w:szCs w:val="22"/>
        </w:rPr>
        <w:t xml:space="preserve">Less: Sponsor preference (rank 4) → equity residual</w:t>
      </w:r>
    </w:p>
    <w:p>
      <w:pPr>
        <w:pStyle w:val="ListParagraph"/>
        <w:numPr>
          <w:ilvl w:val="0"/>
          <w:numId w:val="2"/>
        </w:numPr>
        <w:spacing w:after="60"/>
      </w:pPr>
      <w:r>
        <w:rPr>
          <w:rFonts w:ascii="Arial" w:cs="Arial" w:eastAsia="Arial" w:hAnsi="Arial"/>
          <w:sz w:val="22"/>
          <w:szCs w:val="22"/>
        </w:rPr>
        <w:t xml:space="preserve">Two-lens metrics: CTA DSCR, ND/EBITDA, LTV | Grossed-up equivalents</w:t>
      </w:r>
    </w:p>
    <w:p>
      <w:pPr>
        <w:pStyle w:val="ListParagraph"/>
        <w:numPr>
          <w:ilvl w:val="0"/>
          <w:numId w:val="2"/>
        </w:numPr>
        <w:spacing w:after="60"/>
      </w:pPr>
      <w:r>
        <w:rPr>
          <w:rFonts w:ascii="Arial" w:cs="Arial" w:eastAsia="Arial" w:hAnsi="Arial"/>
          <w:sz w:val="22"/>
          <w:szCs w:val="22"/>
        </w:rPr>
        <w:t xml:space="preserve">Change-of-control coverage: LTV on pledged shares</w:t>
      </w:r>
    </w:p>
    <w:p>
      <w:pPr>
        <w:pStyle w:val="Heading1"/>
        <w:pageBreakBefore/>
        <w:spacing w:after="180" w:before="240"/>
      </w:pPr>
      <w:r>
        <w:rPr>
          <w:rFonts w:ascii="Arial" w:cs="Arial" w:eastAsia="Arial" w:hAnsi="Arial"/>
          <w:b/>
          <w:bCs/>
          <w:color w:val="1F6FA5"/>
          <w:sz w:val="40"/>
          <w:szCs w:val="40"/>
        </w:rPr>
        <w:t xml:space="preserve">Part VIII — Deterministic engines</w:t>
      </w:r>
    </w:p>
    <w:p>
      <w:pPr>
        <w:pStyle w:val="Heading2"/>
        <w:spacing w:after="120" w:before="240"/>
      </w:pPr>
      <w:r>
        <w:rPr>
          <w:rFonts w:ascii="Arial" w:cs="Arial" w:eastAsia="Arial" w:hAnsi="Arial"/>
          <w:b/>
          <w:bCs/>
          <w:color w:val="263849"/>
          <w:sz w:val="30"/>
          <w:szCs w:val="30"/>
        </w:rPr>
        <w:t xml:space="preserve">8.1 What an engine is</w:t>
      </w:r>
    </w:p>
    <w:p>
      <w:pPr>
        <w:spacing w:after="140" w:line="280"/>
        <w:jc w:val="both"/>
      </w:pPr>
      <w:r>
        <w:rPr>
          <w:rFonts w:ascii="Arial" w:cs="Arial" w:eastAsia="Arial" w:hAnsi="Arial"/>
          <w:sz w:val="22"/>
          <w:szCs w:val="22"/>
        </w:rPr>
        <w:t xml:space="preserve">An engine is a named, deterministic function that reads a well-defined slice of the database, computes a result, and writes a structured output row back. Engines are pure: re-running one on unchanged inputs produces bit-identical outputs. They are the credit math of the platform.</w:t>
      </w:r>
    </w:p>
    <w:p>
      <w:pPr>
        <w:spacing w:after="140" w:line="280"/>
        <w:jc w:val="both"/>
      </w:pPr>
      <w:r>
        <w:rPr>
          <w:rFonts w:ascii="Arial" w:cs="Arial" w:eastAsia="Arial" w:hAnsi="Arial"/>
          <w:sz w:val="22"/>
          <w:szCs w:val="22"/>
        </w:rPr>
        <w:t xml:space="preserve">Every engine triggers two ways: implicitly on commit of new data from the document intake pipeline, and explicitly via a POST endpoint exposed in the API. Every engine writes an activity_events row on completion recording who/what triggered it and what changed.</w:t>
      </w:r>
    </w:p>
    <w:p>
      <w:pPr>
        <w:pStyle w:val="Heading2"/>
        <w:spacing w:after="120" w:before="240"/>
      </w:pPr>
      <w:r>
        <w:rPr>
          <w:rFonts w:ascii="Arial" w:cs="Arial" w:eastAsia="Arial" w:hAnsi="Arial"/>
          <w:b/>
          <w:bCs/>
          <w:color w:val="263849"/>
          <w:sz w:val="30"/>
          <w:szCs w:val="30"/>
        </w:rPr>
        <w:t xml:space="preserve">8.2 Why deterministic</w:t>
      </w:r>
    </w:p>
    <w:p>
      <w:pPr>
        <w:pStyle w:val="ListParagraph"/>
        <w:numPr>
          <w:ilvl w:val="0"/>
          <w:numId w:val="2"/>
        </w:numPr>
        <w:spacing w:after="60"/>
      </w:pPr>
      <w:r>
        <w:rPr>
          <w:rFonts w:ascii="Arial" w:cs="Arial" w:eastAsia="Arial" w:hAnsi="Arial"/>
          <w:sz w:val="22"/>
          <w:szCs w:val="22"/>
        </w:rPr>
        <w:t xml:space="preserve">Audit: an investor or regulator can re-run any engine at any time and reproduce the original number.</w:t>
      </w:r>
    </w:p>
    <w:p>
      <w:pPr>
        <w:pStyle w:val="ListParagraph"/>
        <w:numPr>
          <w:ilvl w:val="0"/>
          <w:numId w:val="2"/>
        </w:numPr>
        <w:spacing w:after="60"/>
      </w:pPr>
      <w:r>
        <w:rPr>
          <w:rFonts w:ascii="Arial" w:cs="Arial" w:eastAsia="Arial" w:hAnsi="Arial"/>
          <w:sz w:val="22"/>
          <w:szCs w:val="22"/>
        </w:rPr>
        <w:t xml:space="preserve">Diff-ability: the monthly snapshot flow depends on being able to say "value moved from X to Y because inputs moved from A to B".</w:t>
      </w:r>
    </w:p>
    <w:p>
      <w:pPr>
        <w:pStyle w:val="ListParagraph"/>
        <w:numPr>
          <w:ilvl w:val="0"/>
          <w:numId w:val="2"/>
        </w:numPr>
        <w:spacing w:after="60"/>
      </w:pPr>
      <w:r>
        <w:rPr>
          <w:rFonts w:ascii="Arial" w:cs="Arial" w:eastAsia="Arial" w:hAnsi="Arial"/>
          <w:sz w:val="22"/>
          <w:szCs w:val="22"/>
        </w:rPr>
        <w:t xml:space="preserve">Backtesting: rules can be applied to historical periods to see how classifications would have moved.</w:t>
      </w:r>
    </w:p>
    <w:p>
      <w:pPr>
        <w:pStyle w:val="ListParagraph"/>
        <w:numPr>
          <w:ilvl w:val="0"/>
          <w:numId w:val="2"/>
        </w:numPr>
        <w:spacing w:after="60"/>
      </w:pPr>
      <w:r>
        <w:rPr>
          <w:rFonts w:ascii="Arial" w:cs="Arial" w:eastAsia="Arial" w:hAnsi="Arial"/>
          <w:sz w:val="22"/>
          <w:szCs w:val="22"/>
        </w:rPr>
        <w:t xml:space="preserve">Reproducibility: nothing calls a stochastic model, nothing reads wall-clock time except for timestamping outputs.</w:t>
      </w:r>
    </w:p>
    <w:p>
      <w:pPr>
        <w:pStyle w:val="Heading2"/>
        <w:spacing w:after="120" w:before="240"/>
      </w:pPr>
      <w:r>
        <w:rPr>
          <w:rFonts w:ascii="Arial" w:cs="Arial" w:eastAsia="Arial" w:hAnsi="Arial"/>
          <w:b/>
          <w:bCs/>
          <w:color w:val="263849"/>
          <w:sz w:val="30"/>
          <w:szCs w:val="30"/>
        </w:rPr>
        <w:t xml:space="preserve">8.3 Performance Grade Engine</w:t>
      </w:r>
    </w:p>
    <w:p>
      <w:pPr>
        <w:spacing w:after="140" w:line="280"/>
        <w:jc w:val="both"/>
      </w:pPr>
      <w:r>
        <w:rPr>
          <w:rFonts w:ascii="Arial" w:cs="Arial" w:eastAsia="Arial" w:hAnsi="Arial"/>
          <w:sz w:val="22"/>
          <w:szCs w:val="22"/>
        </w:rPr>
        <w:t xml:space="preserve">Source: server/grade_engine.py. Produces the headline 1–4 grade shown on the deal overview, driving the watchlist, portfolio distribution chart, and the "Performance grade" badge. Deterministic; no AI.</w:t>
      </w:r>
    </w:p>
    <w:p>
      <w:pPr>
        <w:pStyle w:val="Heading3"/>
        <w:spacing w:after="80" w:before="180"/>
      </w:pPr>
      <w:r>
        <w:rPr>
          <w:rFonts w:ascii="Arial" w:cs="Arial" w:eastAsia="Arial" w:hAnsi="Arial"/>
          <w:b/>
          <w:bCs/>
          <w:color w:val="263849"/>
          <w:sz w:val="26"/>
          <w:szCs w:val="26"/>
        </w:rPr>
        <w:t xml:space="preserve">8.3.1 Constants</w:t>
      </w:r>
    </w:p>
    <w:p>
      <w:pPr>
        <w:spacing w:after="80"/>
      </w:pPr>
      <w:r>
        <w:rPr>
          <w:rFonts w:ascii="Consolas" w:cs="Consolas" w:eastAsia="Consolas" w:hAnsi="Consolas"/>
          <w:color w:val="444444"/>
          <w:sz w:val="20"/>
          <w:szCs w:val="20"/>
        </w:rPr>
        <w:t xml:space="preserve">GRADE_LABELS = {1: "Outperforming", 2: "In Line", 3: "Underperforming", 4: "Watchlist"}
TREND_LABELS = {"improving": "↑", "flat": "→", "deteriorating": "↓",
                "deteriorating_rapidly": "↓↓", "new": "★"}
DEFAULT_DSCR_THRESHOLD_PCT   = Decimal("0.10")   # 10% band
DEFAULT_COLL_THRESHOLD_PCT   = Decimal("0.05")   # 5% band
DEFAULT_TREND_SMALL_PP       = Decimal("2.5")    # pp
DEFAULT_DSCR_TREND_LARGE_PP  = Decimal("5")      # pp
DEFAULT_COLL_TREND_LARGE_PP  = Decimal("2.5")    # pp
PROXY_DSCR_DEFAULT           = Decimal("1.0")    # fallback threshold</w:t>
      </w:r>
    </w:p>
    <w:p>
      <w:pPr>
        <w:pStyle w:val="Heading3"/>
        <w:spacing w:after="80" w:before="180"/>
      </w:pPr>
      <w:r>
        <w:rPr>
          <w:rFonts w:ascii="Arial" w:cs="Arial" w:eastAsia="Arial" w:hAnsi="Arial"/>
          <w:b/>
          <w:bCs/>
          <w:color w:val="263849"/>
          <w:sz w:val="26"/>
          <w:szCs w:val="26"/>
        </w:rPr>
        <w:t xml:space="preserve">8.3.2 compute_headroom(actual, management, default_level, direction)</w:t>
      </w:r>
    </w:p>
    <w:p>
      <w:pPr>
        <w:spacing w:after="140" w:line="280"/>
        <w:jc w:val="both"/>
      </w:pPr>
      <w:r>
        <w:rPr>
          <w:rFonts w:ascii="Arial" w:cs="Arial" w:eastAsia="Arial" w:hAnsi="Arial"/>
          <w:sz w:val="22"/>
          <w:szCs w:val="22"/>
        </w:rPr>
        <w:t xml:space="preserve">Computes expected and actual headroom, erosion absolute, and erosion percentage.</w:t>
      </w:r>
    </w:p>
    <w:p>
      <w:pPr>
        <w:spacing w:after="80"/>
      </w:pPr>
      <w:r>
        <w:rPr>
          <w:rFonts w:ascii="Consolas" w:cs="Consolas" w:eastAsia="Consolas" w:hAnsi="Consolas"/>
          <w:color w:val="444444"/>
          <w:sz w:val="20"/>
          <w:szCs w:val="20"/>
        </w:rPr>
        <w:t xml:space="preserve">if direction == "higher_is_better":
    expected_headroom = management - default_level
    actual_headroom   = actual     - default_level
else:  # lower_is_better
    expected_headroom = default_level - management
    actual_headroom   = default_level - actual
erosion_abs = expected_headroom - actual_headroom
if expected_headroom &gt; 0:
    erosion_pct = erosion_abs / expected_headroom
elif expected_headroom == 0:
    erosion_pct = 1.0 if erosion_abs &gt; 0 else 0
else:
    erosion_pct = 1.0                  # management case itself breaches
if expected_headroom &gt; 0:
    relative_headroom_pct = (actual_headroom / expected_headroom) * 100
elif actual_headroom &gt; 0:
    relative_headroom_pct = 100
else:
    relative_headroom_pct = 0</w:t>
      </w:r>
    </w:p>
    <w:p>
      <w:pPr>
        <w:pStyle w:val="Heading3"/>
        <w:spacing w:after="80" w:before="180"/>
      </w:pPr>
      <w:r>
        <w:rPr>
          <w:rFonts w:ascii="Arial" w:cs="Arial" w:eastAsia="Arial" w:hAnsi="Arial"/>
          <w:b/>
          <w:bCs/>
          <w:color w:val="263849"/>
          <w:sz w:val="26"/>
          <w:szCs w:val="26"/>
        </w:rPr>
        <w:t xml:space="preserve">8.3.3 compute_component_grade() — one ratio (DSCR or collateral)</w:t>
      </w:r>
    </w:p>
    <w:p>
      <w:pPr>
        <w:spacing w:after="80"/>
      </w:pPr>
      <w:r>
        <w:rPr>
          <w:rFonts w:ascii="Consolas" w:cs="Consolas" w:eastAsia="Consolas" w:hAnsi="Consolas"/>
          <w:color w:val="444444"/>
          <w:sz w:val="20"/>
          <w:szCs w:val="20"/>
        </w:rPr>
        <w:t xml:space="preserve">headroom = compute_headroom(actual, management, default_level, direction)
# Edge: management case itself breaches default
if headroom.expected_headroom &lt;= 0:
    return max(3, breach_grade), flag "Management case breaches default"
# Grade 4 — actual has breached default or lockup
if direction == "higher_is_better":
    if actual &lt;= default_level or actual &lt;= lockup_level:
        return 4
else:  # lower_is_better
    if actual &gt;= default_level or actual &gt;= lockup_level:
        return 4
# Grade 3 — erosion beyond threshold
if headroom.erosion_pct &gt; threshold_pct:
    return 3
# Grade 1 — outperformance beyond threshold
if headroom.erosion_pct &lt; -threshold_pct:
    return 1
# Grade 2 — within ±threshold
return 2</w:t>
      </w:r>
    </w:p>
    <w:p>
      <w:pPr>
        <w:pStyle w:val="Heading3"/>
        <w:spacing w:after="80" w:before="180"/>
      </w:pPr>
      <w:r>
        <w:rPr>
          <w:rFonts w:ascii="Arial" w:cs="Arial" w:eastAsia="Arial" w:hAnsi="Arial"/>
          <w:b/>
          <w:bCs/>
          <w:color w:val="263849"/>
          <w:sz w:val="26"/>
          <w:szCs w:val="26"/>
        </w:rPr>
        <w:t xml:space="preserve">8.3.4 compute_performance_grade() — combine DSCR + collateral</w:t>
      </w:r>
    </w:p>
    <w:p>
      <w:pPr>
        <w:spacing w:after="80"/>
      </w:pPr>
      <w:r>
        <w:rPr>
          <w:rFonts w:ascii="Consolas" w:cs="Consolas" w:eastAsia="Consolas" w:hAnsi="Consolas"/>
          <w:color w:val="444444"/>
          <w:sz w:val="20"/>
          <w:szCs w:val="20"/>
        </w:rPr>
        <w:t xml:space="preserve">dscr_grade = compute_component_grade(dscr_*, direction="higher_is_better")
coll_grade = compute_component_grade(coll_*, direction=coll_direction)
overall = max(dscr_grade, coll_grade)           # worst-of rule
determinative = "dscr" if dscr_grade &gt;= coll_grade else "collateral"
return {
    "performance_grade": overall,
    "grade_label": GRADE_LABELS[overall],
    "dscr_grade": dscr_grade, "dscr_headroom": ...,
    "coll_grade": coll_grade, "coll_headroom": ...,
    "determinative_ratio": determinative,
    "flags": [...]
}</w:t>
      </w:r>
    </w:p>
    <w:p>
      <w:pPr>
        <w:pBdr>
          <w:left w:val="single" w:color="1F6FA5" w:sz="16" w:space="10"/>
        </w:pBdr>
        <w:spacing w:after="160" w:before="80"/>
        <w:ind w:left="200"/>
      </w:pPr>
      <w:r>
        <w:rPr>
          <w:rFonts w:ascii="Arial" w:cs="Arial" w:eastAsia="Arial" w:hAnsi="Arial"/>
          <w:i/>
          <w:iCs/>
          <w:color w:val="56718A"/>
          <w:sz w:val="22"/>
          <w:szCs w:val="22"/>
        </w:rPr>
        <w:t xml:space="preserve">User-confirmed rule: take the WORSE of DSCR and collateral grades. The 'determinative_ratio' output tells the UI which covenant drove the final grade.</w:t>
      </w:r>
    </w:p>
    <w:p>
      <w:pPr>
        <w:pStyle w:val="Heading3"/>
        <w:spacing w:after="80" w:before="180"/>
      </w:pPr>
      <w:r>
        <w:rPr>
          <w:rFonts w:ascii="Arial" w:cs="Arial" w:eastAsia="Arial" w:hAnsi="Arial"/>
          <w:b/>
          <w:bCs/>
          <w:color w:val="263849"/>
          <w:sz w:val="26"/>
          <w:szCs w:val="26"/>
        </w:rPr>
        <w:t xml:space="preserve">8.3.5 compute_trend(E1, E2, E3) — 3-period erosion classification</w:t>
      </w:r>
    </w:p>
    <w:p>
      <w:pPr>
        <w:spacing w:after="140" w:line="280"/>
        <w:jc w:val="both"/>
      </w:pPr>
      <w:r>
        <w:rPr>
          <w:rFonts w:ascii="Arial" w:cs="Arial" w:eastAsia="Arial" w:hAnsi="Arial"/>
          <w:sz w:val="22"/>
          <w:szCs w:val="22"/>
        </w:rPr>
        <w:t xml:space="preserve">Given three erosion percentages for consecutive periods T-2, T-1, T-0:</w:t>
      </w:r>
    </w:p>
    <w:p>
      <w:pPr>
        <w:spacing w:after="80"/>
      </w:pPr>
      <w:r>
        <w:rPr>
          <w:rFonts w:ascii="Consolas" w:cs="Consolas" w:eastAsia="Consolas" w:hAnsi="Consolas"/>
          <w:color w:val="444444"/>
          <w:sz w:val="20"/>
          <w:szCs w:val="20"/>
        </w:rPr>
        <w:t xml:space="preserve">delta_1 = E2 - E1     # change period 1 → 2
delta_2 = E3 - E2     # change period 2 → 3
persistent_drift = (E1 &gt; 0 AND E2 &gt; E1 AND E3 &gt; E2)   # strictly deteriorating
d1_band = _classify_delta(delta_1, small, large)
d2_band = _classify_delta(delta_2, small, large)
trend = _apply_trend_matrix(d1_band, d2_band, persistent_drift)</w:t>
      </w:r>
    </w:p>
    <w:p>
      <w:pPr>
        <w:pStyle w:val="Heading3"/>
        <w:spacing w:after="80" w:before="180"/>
      </w:pPr>
      <w:r>
        <w:rPr>
          <w:rFonts w:ascii="Arial" w:cs="Arial" w:eastAsia="Arial" w:hAnsi="Arial"/>
          <w:b/>
          <w:bCs/>
          <w:color w:val="263849"/>
          <w:sz w:val="26"/>
          <w:szCs w:val="26"/>
        </w:rPr>
        <w:t xml:space="preserve">8.3.6 _classify_delta(delta, small, large)</w:t>
      </w:r>
    </w:p>
    <w:p>
      <w:pPr>
        <w:spacing w:after="80"/>
      </w:pPr>
      <w:r>
        <w:rPr>
          <w:rFonts w:ascii="Consolas" w:cs="Consolas" w:eastAsia="Consolas" w:hAnsi="Consolas"/>
          <w:color w:val="444444"/>
          <w:sz w:val="20"/>
          <w:szCs w:val="20"/>
        </w:rPr>
        <w:t xml:space="preserve">if delta &gt; large:           return "large_positive"      # big erosion
elif delta &gt; small:        return "moderate_positive"   # erosion
elif delta &lt; -small:       return "negative"            # improvement
else:                      return "small"               # flat</w:t>
      </w:r>
    </w:p>
    <w:p>
      <w:pPr>
        <w:pStyle w:val="Heading3"/>
        <w:spacing w:after="80" w:before="180"/>
      </w:pPr>
      <w:r>
        <w:rPr>
          <w:rFonts w:ascii="Arial" w:cs="Arial" w:eastAsia="Arial" w:hAnsi="Arial"/>
          <w:b/>
          <w:bCs/>
          <w:color w:val="263849"/>
          <w:sz w:val="26"/>
          <w:szCs w:val="26"/>
        </w:rPr>
        <w:t xml:space="preserve">8.3.7 _apply_trend_matrix(d1, d2, persistent_drift) — full matrix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60"/>
      </w:tblGrid>
      <w:tr>
        <w:trPr>
          <w:tblHeader/>
        </w:trPr>
        <w:tc>
          <w:tcPr>
            <w:tcW w:type="dxa" w:w="2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d2 (latest)</w:t>
            </w:r>
          </w:p>
        </w:tc>
        <w:tc>
          <w:tcPr>
            <w:tcW w:type="dxa" w:w="2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d1 (prior)</w:t>
            </w:r>
          </w:p>
        </w:tc>
        <w:tc>
          <w:tcPr>
            <w:tcW w:type="dxa" w:w="2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persistent</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Result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negative/small/moderate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improving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large_positive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flat (volatile recovery)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improving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small/moderate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true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deteriorating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small/moderate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false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flat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large_positive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deteriorating (decelerating)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moderate_positive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flat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moderate_positive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small/moderate/large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deteriorating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large_positive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deteriorating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large_positive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deteriorating_rapidly</w:t>
            </w:r>
          </w:p>
        </w:tc>
      </w:tr>
    </w:tbl>
    <w:p>
      <w:pPr>
        <w:pStyle w:val="Heading3"/>
        <w:spacing w:after="80" w:before="180"/>
      </w:pPr>
      <w:r>
        <w:rPr>
          <w:rFonts w:ascii="Arial" w:cs="Arial" w:eastAsia="Arial" w:hAnsi="Arial"/>
          <w:b/>
          <w:bCs/>
          <w:color w:val="263849"/>
          <w:sz w:val="26"/>
          <w:szCs w:val="26"/>
        </w:rPr>
        <w:t xml:space="preserve">8.3.8 compute_combined_trend(dscr_trend, coll_trend)</w:t>
      </w:r>
    </w:p>
    <w:p>
      <w:pPr>
        <w:spacing w:after="80"/>
      </w:pPr>
      <w:r>
        <w:rPr>
          <w:rFonts w:ascii="Consolas" w:cs="Consolas" w:eastAsia="Consolas" w:hAnsi="Consolas"/>
          <w:color w:val="444444"/>
          <w:sz w:val="20"/>
          <w:szCs w:val="20"/>
        </w:rPr>
        <w:t xml:space="preserve">rank = {"improving": 0, "flat": 1, "deteriorating": 2,
        "deteriorating_rapidly": 3, "new": -1}
return whichever of dscr_trend / coll_trend has HIGHER rank   # worst wins</w:t>
      </w:r>
    </w:p>
    <w:p>
      <w:pPr>
        <w:pStyle w:val="Heading3"/>
        <w:spacing w:after="80" w:before="180"/>
      </w:pPr>
      <w:r>
        <w:rPr>
          <w:rFonts w:ascii="Arial" w:cs="Arial" w:eastAsia="Arial" w:hAnsi="Arial"/>
          <w:b/>
          <w:bCs/>
          <w:color w:val="263849"/>
          <w:sz w:val="26"/>
          <w:szCs w:val="26"/>
        </w:rPr>
        <w:t xml:space="preserve">8.3.9 run_assessment(conn, deal_id) — the pipeline</w:t>
      </w:r>
    </w:p>
    <w:p>
      <w:pPr>
        <w:spacing w:after="80"/>
      </w:pPr>
      <w:r>
        <w:rPr>
          <w:rFonts w:ascii="Consolas" w:cs="Consolas" w:eastAsia="Consolas" w:hAnsi="Consolas"/>
          <w:color w:val="444444"/>
          <w:sz w:val="20"/>
          <w:szCs w:val="20"/>
        </w:rPr>
        <w:t xml:space="preserve">1. Load deal config from deals table:
     grade_dscr_metric, grade_dscr_fallback,
     grade_collateral_metric, grade_collateral_direction,
     threshold parameters, trend delta parameters
2. Load covenant thresholds from covenant_thresholds:
     DSCR:  category = "cash_flow_cover"
     Coll:  category = "collateral_value"
     Fallback: PROXY_DSCR_DEFAULT (1.0)
3. Load 3 most recent financial periods (approved / under_review), ORDER BY period_end DESC
4. Extract DSCR actual + management from period.reported_metrics + period.expected_metrics
5. Extract collateral actual + management similarly
6. Call compute_performance_grade(...) → overall grade
7. Call _compute_full_trend(...)  → trend + erosion series
8. Load prior grade from performance_assessments; detect grade change direction
9. INSERT INTO performance_assessments (all metrics, rationale, JSONB payloads)
10. UPDATE deals SET
       grade = performance_grade,
       performance_grade = performance_grade,
       watchlist = (grade &gt;= 3 OR trend IN (deteriorating, deteriorating_rapidly))
11. Create alerts:
       - grade_change if grade moved
       - trend_warning if trend is deteriorating*
       - watchlist_flag if should_watchlist
12. INSERT activity_events (type='engine.grade.run', details=delta)
13. Commit and return assessment dict</w:t>
      </w:r>
    </w:p>
    <w:p>
      <w:pPr>
        <w:pStyle w:val="Heading2"/>
        <w:spacing w:after="120" w:before="240"/>
      </w:pPr>
      <w:r>
        <w:rPr>
          <w:rFonts w:ascii="Arial" w:cs="Arial" w:eastAsia="Arial" w:hAnsi="Arial"/>
          <w:b/>
          <w:bCs/>
          <w:color w:val="263849"/>
          <w:sz w:val="30"/>
          <w:szCs w:val="30"/>
        </w:rPr>
        <w:t xml:space="preserve">8.4 Variance Engine — upsert_financial_variance()</w:t>
      </w:r>
    </w:p>
    <w:p>
      <w:pPr>
        <w:spacing w:after="140" w:line="280"/>
        <w:jc w:val="both"/>
      </w:pPr>
      <w:r>
        <w:rPr>
          <w:rFonts w:ascii="Arial" w:cs="Arial" w:eastAsia="Arial" w:hAnsi="Arial"/>
          <w:sz w:val="22"/>
          <w:szCs w:val="22"/>
        </w:rPr>
        <w:t xml:space="preserve">Source: server/main.py line 1984. Writes one row per (period_id, metric_key) into financial_variances.</w:t>
      </w:r>
    </w:p>
    <w:p>
      <w:pPr>
        <w:spacing w:after="80"/>
      </w:pPr>
      <w:r>
        <w:rPr>
          <w:rFonts w:ascii="Consolas" w:cs="Consolas" w:eastAsia="Consolas" w:hAnsi="Consolas"/>
          <w:color w:val="444444"/>
          <w:sz w:val="20"/>
          <w:szCs w:val="20"/>
        </w:rPr>
        <w:t xml:space="preserve">def upsert_financial_variance(conn, *, financial_period_id, metric_key,
                               reported_value, expected_value):
    variance_value = reported_value - expected_value  if expected_value else reported_value
    variance_pct   = (variance_value / expected_value) * 100  if expected_value != 0 else 0
    # Direction
    direction = "up" if variance_value &gt; 0 else "down" if variance_value &lt; 0 else "flat"
    # Materiality
    if abs(variance_pct) &gt;= 8:   materiality = "major"
    elif abs(variance_pct) &gt;= 4: materiality = "moderate"
    else:                         materiality = "minor"
    UPSERT INTO financial_variances (period_id, metric_key, reported_value,
        expected_value, variance_value, variance_pct, direction, materiality)</w:t>
      </w:r>
    </w:p>
    <w:p>
      <w:pPr>
        <w:pBdr>
          <w:left w:val="single" w:color="1F6FA5" w:sz="16" w:space="10"/>
        </w:pBdr>
        <w:spacing w:after="160" w:before="80"/>
        <w:ind w:left="200"/>
      </w:pPr>
      <w:r>
        <w:rPr>
          <w:rFonts w:ascii="Arial" w:cs="Arial" w:eastAsia="Arial" w:hAnsi="Arial"/>
          <w:i/>
          <w:iCs/>
          <w:color w:val="56718A"/>
          <w:sz w:val="22"/>
          <w:szCs w:val="22"/>
        </w:rPr>
        <w:t xml:space="preserve">Thresholds: major ≥ 8%, moderate ≥ 4%. These are tighter than the three-case engine (below) because variance is measured against a single baseline (management case), not against a range.</w:t>
      </w:r>
    </w:p>
    <w:p>
      <w:pPr>
        <w:pStyle w:val="Heading2"/>
        <w:spacing w:after="120" w:before="240"/>
      </w:pPr>
      <w:r>
        <w:rPr>
          <w:rFonts w:ascii="Arial" w:cs="Arial" w:eastAsia="Arial" w:hAnsi="Arial"/>
          <w:b/>
          <w:bCs/>
          <w:color w:val="263849"/>
          <w:sz w:val="30"/>
          <w:szCs w:val="30"/>
        </w:rPr>
        <w:t xml:space="preserve">8.5 Three-Case Comparison Engine</w:t>
      </w:r>
    </w:p>
    <w:p>
      <w:pPr>
        <w:spacing w:after="140" w:line="280"/>
        <w:jc w:val="both"/>
      </w:pPr>
      <w:r>
        <w:rPr>
          <w:rFonts w:ascii="Arial" w:cs="Arial" w:eastAsia="Arial" w:hAnsi="Arial"/>
          <w:sz w:val="22"/>
          <w:szCs w:val="22"/>
        </w:rPr>
        <w:t xml:space="preserve">Source: server/main.py line 20545. Compares actuals against management / lender / combined_downside simultaneously. Materiality thresholds: material ≥ 10%, notable ≥ 5%.</w:t>
      </w:r>
    </w:p>
    <w:p>
      <w:pPr>
        <w:spacing w:after="80"/>
      </w:pPr>
      <w:r>
        <w:rPr>
          <w:rFonts w:ascii="Consolas" w:cs="Consolas" w:eastAsia="Consolas" w:hAnsi="Consolas"/>
          <w:color w:val="444444"/>
          <w:sz w:val="20"/>
          <w:szCs w:val="20"/>
        </w:rPr>
        <w:t xml:space="preserve">for case in [management_case, credit_case, combined_downside]:
    for metric_key, actual in actual_metrics.items():
        forecast = case.scenario_metrics[metric_key]
        variance_value = actual - forecast
        variance_pct   = (variance_value / forecast) * 100  if forecast != 0 else 0
        direction      = "favourable" if variance &gt;= 0 else "adverse"
        if abs(variance_pct) &gt;= 10:  materiality = "material"
        elif abs(variance_pct) &gt;= 5: materiality = "notable"
        else:                         materiality = "immaterial"
        if case.scenario_kind == "combined_downside" and direction == "adverse"
           and materiality in ("material", "notable"):
            downside_breaches.append({...})
signal_role = {"management_case": "primary",
               "credit_case": "secondary",
               "combined_downside": "floor"}[case.scenario_kind]
# Overall signal
if downside_breaches:                     overall = "alarm"
elif management_case has material adverse: overall = "warning"
elif management_case has any adverse:      overall = "monitor"
else:                                       overall = "clear"</w:t>
      </w:r>
    </w:p>
    <w:p>
      <w:pPr>
        <w:pStyle w:val="Heading2"/>
        <w:spacing w:after="120" w:before="240"/>
      </w:pPr>
      <w:r>
        <w:rPr>
          <w:rFonts w:ascii="Arial" w:cs="Arial" w:eastAsia="Arial" w:hAnsi="Arial"/>
          <w:b/>
          <w:bCs/>
          <w:color w:val="263849"/>
          <w:sz w:val="30"/>
          <w:szCs w:val="30"/>
        </w:rPr>
        <w:t xml:space="preserve">8.6 Plan Variance Trend Engine v5</w:t>
      </w:r>
    </w:p>
    <w:p>
      <w:pPr>
        <w:spacing w:after="140" w:line="280"/>
        <w:jc w:val="both"/>
      </w:pPr>
      <w:r>
        <w:rPr>
          <w:rFonts w:ascii="Arial" w:cs="Arial" w:eastAsia="Arial" w:hAnsi="Arial"/>
          <w:sz w:val="22"/>
          <w:szCs w:val="22"/>
        </w:rPr>
        <w:t xml:space="preserve">Source: server/main.py line 20320 — detect_trends(slug). Classifies each deal into a 7-band trend by looking at headroom erosion vs management case across rolling periods on one cash-cover and one collateral ratio.</w:t>
      </w:r>
    </w:p>
    <w:p>
      <w:pPr>
        <w:pStyle w:val="Heading3"/>
        <w:spacing w:after="80" w:before="180"/>
      </w:pPr>
      <w:r>
        <w:rPr>
          <w:rFonts w:ascii="Arial" w:cs="Arial" w:eastAsia="Arial" w:hAnsi="Arial"/>
          <w:b/>
          <w:bCs/>
          <w:color w:val="263849"/>
          <w:sz w:val="26"/>
          <w:szCs w:val="26"/>
        </w:rPr>
        <w:t xml:space="preserve">8.6.1 The 7 bands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Band</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Condition (Δ in percentage points of headroom)</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flat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|Δ| ≤ 1.0 pp</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 improvement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Δ ∈ (1.0, 2.5] in favourable direction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moderate improvement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Δ ∈ (2.5, 5.0]</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large improvement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Δ &gt; 5.0</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 erosion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Δ ∈ [-2.5, -1.0)</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moderate erosion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Δ ∈ [-5.0, -2.5)</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large erosion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Δ &lt; -5.0</w:t>
            </w:r>
          </w:p>
        </w:tc>
      </w:tr>
    </w:tbl>
    <w:p>
      <w:pPr>
        <w:pStyle w:val="Heading3"/>
        <w:spacing w:after="80" w:before="180"/>
      </w:pPr>
      <w:r>
        <w:rPr>
          <w:rFonts w:ascii="Arial" w:cs="Arial" w:eastAsia="Arial" w:hAnsi="Arial"/>
          <w:b/>
          <w:bCs/>
          <w:color w:val="263849"/>
          <w:sz w:val="26"/>
          <w:szCs w:val="26"/>
        </w:rPr>
        <w:t xml:space="preserve">8.6.2 Ratio direction registry (_RATIO_DIRECTION)</w:t>
      </w:r>
    </w:p>
    <w:p>
      <w:pPr>
        <w:spacing w:after="80"/>
      </w:pPr>
      <w:r>
        <w:rPr>
          <w:rFonts w:ascii="Consolas" w:cs="Consolas" w:eastAsia="Consolas" w:hAnsi="Consolas"/>
          <w:color w:val="444444"/>
          <w:sz w:val="20"/>
          <w:szCs w:val="20"/>
        </w:rPr>
        <w:t xml:space="preserve"># Cash-cover — higher is better:
senior_dscr, senior_annual_dscr, icr, fccr, pmicr, aicr,
llcr, plcr, rental_coverage, debt_yield, acr_re
# Collateral / leverage — lower is better:
net_debt_ebitda, ltv, acr_utility, acr</w:t>
      </w:r>
    </w:p>
    <w:p>
      <w:pPr>
        <w:pStyle w:val="Heading3"/>
        <w:spacing w:after="80" w:before="180"/>
      </w:pPr>
      <w:r>
        <w:rPr>
          <w:rFonts w:ascii="Arial" w:cs="Arial" w:eastAsia="Arial" w:hAnsi="Arial"/>
          <w:b/>
          <w:bCs/>
          <w:color w:val="263849"/>
          <w:sz w:val="26"/>
          <w:szCs w:val="26"/>
        </w:rPr>
        <w:t xml:space="preserve">8.6.3 Default thresholds (_DEFAULT_THRESHOLD_ASSUMPTION)</w:t>
      </w:r>
    </w:p>
    <w:p>
      <w:pPr>
        <w:spacing w:after="80"/>
      </w:pPr>
      <w:r>
        <w:rPr>
          <w:rFonts w:ascii="Consolas" w:cs="Consolas" w:eastAsia="Consolas" w:hAnsi="Consolas"/>
          <w:color w:val="444444"/>
          <w:sz w:val="20"/>
          <w:szCs w:val="20"/>
        </w:rPr>
        <w:t xml:space="preserve">dscr: 1.0         senior_dscr: 1.0         icr: 1.0
llcr: 1.0         plcr: 1.0
net_debt_ebitda: 8.0    net_debt_rab: 0.85
ltv: 0.85         acr_utility: 0.85</w:t>
      </w:r>
    </w:p>
    <w:p>
      <w:pPr>
        <w:pStyle w:val="Heading3"/>
        <w:spacing w:after="80" w:before="180"/>
      </w:pPr>
      <w:r>
        <w:rPr>
          <w:rFonts w:ascii="Arial" w:cs="Arial" w:eastAsia="Arial" w:hAnsi="Arial"/>
          <w:b/>
          <w:bCs/>
          <w:color w:val="263849"/>
          <w:sz w:val="26"/>
          <w:szCs w:val="26"/>
        </w:rPr>
        <w:t xml:space="preserve">8.6.4 Direction classification</w:t>
      </w:r>
    </w:p>
    <w:p>
      <w:pPr>
        <w:spacing w:after="140" w:line="280"/>
        <w:jc w:val="both"/>
      </w:pPr>
      <w:r>
        <w:rPr>
          <w:rFonts w:ascii="Arial" w:cs="Arial" w:eastAsia="Arial" w:hAnsi="Arial"/>
          <w:sz w:val="22"/>
          <w:szCs w:val="22"/>
        </w:rPr>
        <w:t xml:space="preserve">After classifying the two most recent deltas (d1, d2) and detecting persistent drift (last 3 periods all negative AND each &lt; previous), a 12-row matrix maps to one of: deteriorating_rapidly / deteriorating / flat / improving / improving_rapidly. Overall deal direction = worst across monitored ratios using the _DIRECTION_RANK ordering.</w:t>
      </w:r>
    </w:p>
    <w:p>
      <w:pPr>
        <w:pStyle w:val="Heading3"/>
        <w:spacing w:after="80" w:before="180"/>
      </w:pPr>
      <w:r>
        <w:rPr>
          <w:rFonts w:ascii="Arial" w:cs="Arial" w:eastAsia="Arial" w:hAnsi="Arial"/>
          <w:b/>
          <w:bCs/>
          <w:color w:val="263849"/>
          <w:sz w:val="26"/>
          <w:szCs w:val="26"/>
        </w:rPr>
        <w:t xml:space="preserve">8.6.5 Severity</w:t>
      </w:r>
    </w:p>
    <w:p>
      <w:pPr>
        <w:pStyle w:val="ListParagraph"/>
        <w:numPr>
          <w:ilvl w:val="0"/>
          <w:numId w:val="2"/>
        </w:numPr>
        <w:spacing w:after="60"/>
      </w:pPr>
      <w:r>
        <w:rPr>
          <w:rFonts w:ascii="Arial" w:cs="Arial" w:eastAsia="Arial" w:hAnsi="Arial"/>
          <w:sz w:val="22"/>
          <w:szCs w:val="22"/>
        </w:rPr>
        <w:t xml:space="preserve">high — if direction == deteriorating_rapidly</w:t>
      </w:r>
    </w:p>
    <w:p>
      <w:pPr>
        <w:pStyle w:val="ListParagraph"/>
        <w:numPr>
          <w:ilvl w:val="0"/>
          <w:numId w:val="2"/>
        </w:numPr>
        <w:spacing w:after="60"/>
      </w:pPr>
      <w:r>
        <w:rPr>
          <w:rFonts w:ascii="Arial" w:cs="Arial" w:eastAsia="Arial" w:hAnsi="Arial"/>
          <w:sz w:val="22"/>
          <w:szCs w:val="22"/>
        </w:rPr>
        <w:t xml:space="preserve">moderate — if direction == deteriorating</w:t>
      </w:r>
    </w:p>
    <w:p>
      <w:pPr>
        <w:pStyle w:val="ListParagraph"/>
        <w:numPr>
          <w:ilvl w:val="0"/>
          <w:numId w:val="2"/>
        </w:numPr>
        <w:spacing w:after="60"/>
      </w:pPr>
      <w:r>
        <w:rPr>
          <w:rFonts w:ascii="Arial" w:cs="Arial" w:eastAsia="Arial" w:hAnsi="Arial"/>
          <w:sz w:val="22"/>
          <w:szCs w:val="22"/>
        </w:rPr>
        <w:t xml:space="preserve">none — otherwise</w:t>
      </w:r>
    </w:p>
    <w:p>
      <w:pPr>
        <w:pStyle w:val="Heading3"/>
        <w:spacing w:after="80" w:before="180"/>
      </w:pPr>
      <w:r>
        <w:rPr>
          <w:rFonts w:ascii="Arial" w:cs="Arial" w:eastAsia="Arial" w:hAnsi="Arial"/>
          <w:b/>
          <w:bCs/>
          <w:color w:val="263849"/>
          <w:sz w:val="26"/>
          <w:szCs w:val="26"/>
        </w:rPr>
        <w:t xml:space="preserve">8.6.6 Persistence</w:t>
      </w:r>
    </w:p>
    <w:p>
      <w:pPr>
        <w:spacing w:after="80"/>
      </w:pPr>
      <w:r>
        <w:rPr>
          <w:rFonts w:ascii="Consolas" w:cs="Consolas" w:eastAsia="Consolas" w:hAnsi="Consolas"/>
          <w:color w:val="444444"/>
          <w:sz w:val="20"/>
          <w:szCs w:val="20"/>
        </w:rPr>
        <w:t xml:space="preserve">UPDATE deals SET computed_trend = &lt;overall&gt; WHERE slug = :slug
INSERT activity_events ...</w:t>
      </w:r>
    </w:p>
    <w:p>
      <w:pPr>
        <w:pStyle w:val="Heading2"/>
        <w:spacing w:after="120" w:before="240"/>
      </w:pPr>
      <w:r>
        <w:rPr>
          <w:rFonts w:ascii="Arial" w:cs="Arial" w:eastAsia="Arial" w:hAnsi="Arial"/>
          <w:b/>
          <w:bCs/>
          <w:color w:val="263849"/>
          <w:sz w:val="30"/>
          <w:szCs w:val="30"/>
        </w:rPr>
        <w:t xml:space="preserve">8.7 Covenant Testing Engine</w:t>
      </w:r>
    </w:p>
    <w:p>
      <w:pPr>
        <w:spacing w:after="140" w:line="280"/>
        <w:jc w:val="both"/>
      </w:pPr>
      <w:r>
        <w:rPr>
          <w:rFonts w:ascii="Arial" w:cs="Arial" w:eastAsia="Arial" w:hAnsi="Arial"/>
          <w:sz w:val="22"/>
          <w:szCs w:val="22"/>
        </w:rPr>
        <w:t xml:space="preserve">Runs every row in covenant_thresholds where active=true against the latest approved period_financial_items actuals. See Part IV for full covenant-level detail. Recap:</w:t>
      </w:r>
    </w:p>
    <w:p>
      <w:pPr>
        <w:pStyle w:val="ListParagraph"/>
        <w:numPr>
          <w:ilvl w:val="0"/>
          <w:numId w:val="2"/>
        </w:numPr>
        <w:spacing w:after="60"/>
      </w:pPr>
      <w:r>
        <w:rPr>
          <w:rFonts w:ascii="Arial" w:cs="Arial" w:eastAsia="Arial" w:hAnsi="Arial"/>
          <w:sz w:val="22"/>
          <w:szCs w:val="22"/>
        </w:rPr>
        <w:t xml:space="preserve">Four-tier outcome: performing / lockup / trigger / default.</w:t>
      </w:r>
    </w:p>
    <w:p>
      <w:pPr>
        <w:pStyle w:val="ListParagraph"/>
        <w:numPr>
          <w:ilvl w:val="0"/>
          <w:numId w:val="2"/>
        </w:numPr>
        <w:spacing w:after="60"/>
      </w:pPr>
      <w:r>
        <w:rPr>
          <w:rFonts w:ascii="Arial" w:cs="Arial" w:eastAsia="Arial" w:hAnsi="Arial"/>
          <w:sz w:val="22"/>
          <w:szCs w:val="22"/>
        </w:rPr>
        <w:t xml:space="preserve">Writes covenant_tests row per covenant per test date (immutable append-only log).</w:t>
      </w:r>
    </w:p>
    <w:p>
      <w:pPr>
        <w:pStyle w:val="ListParagraph"/>
        <w:numPr>
          <w:ilvl w:val="0"/>
          <w:numId w:val="2"/>
        </w:numPr>
        <w:spacing w:after="60"/>
      </w:pPr>
      <w:r>
        <w:rPr>
          <w:rFonts w:ascii="Arial" w:cs="Arial" w:eastAsia="Arial" w:hAnsi="Arial"/>
          <w:sz w:val="22"/>
          <w:szCs w:val="22"/>
        </w:rPr>
        <w:t xml:space="preserve">compliance_alerts on every new breach.</w:t>
      </w:r>
    </w:p>
    <w:p>
      <w:pPr>
        <w:pStyle w:val="ListParagraph"/>
        <w:numPr>
          <w:ilvl w:val="0"/>
          <w:numId w:val="2"/>
        </w:numPr>
        <w:spacing w:after="60"/>
      </w:pPr>
      <w:r>
        <w:rPr>
          <w:rFonts w:ascii="Arial" w:cs="Arial" w:eastAsia="Arial" w:hAnsi="Arial"/>
          <w:sz w:val="22"/>
          <w:szCs w:val="22"/>
        </w:rPr>
        <w:t xml:space="preserve">Feeds Distribution Assessment Engine + Performance Grade Engine via cascade on the same transaction.</w:t>
      </w:r>
    </w:p>
    <w:p>
      <w:pPr>
        <w:pStyle w:val="Heading2"/>
        <w:spacing w:after="120" w:before="240"/>
      </w:pPr>
      <w:r>
        <w:rPr>
          <w:rFonts w:ascii="Arial" w:cs="Arial" w:eastAsia="Arial" w:hAnsi="Arial"/>
          <w:b/>
          <w:bCs/>
          <w:color w:val="263849"/>
          <w:sz w:val="30"/>
          <w:szCs w:val="30"/>
        </w:rPr>
        <w:t xml:space="preserve">8.8 Distribution Assessment Engine — assess_distribution(slug)</w:t>
      </w:r>
    </w:p>
    <w:p>
      <w:pPr>
        <w:spacing w:after="140" w:line="280"/>
        <w:jc w:val="both"/>
      </w:pPr>
      <w:r>
        <w:rPr>
          <w:rFonts w:ascii="Arial" w:cs="Arial" w:eastAsia="Arial" w:hAnsi="Arial"/>
          <w:sz w:val="22"/>
          <w:szCs w:val="22"/>
        </w:rPr>
        <w:t xml:space="preserve">Source: server/main.py line 19957. Evaluates every gate in deal_distribution_conditions.</w:t>
      </w:r>
    </w:p>
    <w:p>
      <w:pPr>
        <w:pStyle w:val="Heading3"/>
        <w:spacing w:after="80" w:before="180"/>
      </w:pPr>
      <w:r>
        <w:rPr>
          <w:rFonts w:ascii="Arial" w:cs="Arial" w:eastAsia="Arial" w:hAnsi="Arial"/>
          <w:b/>
          <w:bCs/>
          <w:color w:val="263849"/>
          <w:sz w:val="26"/>
          <w:szCs w:val="26"/>
        </w:rPr>
        <w:t xml:space="preserve">8.8.1 Gate categories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condition_category</w:t>
            </w:r>
          </w:p>
        </w:tc>
        <w:tc>
          <w:tcPr>
            <w:tcW w:type="dxa" w:w="7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Evaluator behaviour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Compare actual metric against threshold using direction (min → actual &lt; threshold fails; max → actual &gt; threshold fails)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Query unfunded reserve accounts; if any found the gate fails, fail message lists the account names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compliance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If deal covenant_status in ('default', 'trigger_event') and condition mentions 'default' → fail. If overdue obligations &gt; 0 and condition mentions 'payment' → fail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revolving_facility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If any RCF instrument has drawn amount &gt; 0 → fail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sweep_mechanic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a pass/fail gate — carried separately in the response for display</w:t>
            </w:r>
          </w:p>
        </w:tc>
      </w:tr>
    </w:tbl>
    <w:p>
      <w:pPr>
        <w:pStyle w:val="Heading3"/>
        <w:spacing w:after="80" w:before="180"/>
      </w:pPr>
      <w:r>
        <w:rPr>
          <w:rFonts w:ascii="Arial" w:cs="Arial" w:eastAsia="Arial" w:hAnsi="Arial"/>
          <w:b/>
          <w:bCs/>
          <w:color w:val="263849"/>
          <w:sz w:val="26"/>
          <w:szCs w:val="26"/>
        </w:rPr>
        <w:t xml:space="preserve">8.8.2 Consequence tiers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consequence_tier</w:t>
            </w:r>
          </w:p>
        </w:tc>
        <w:tc>
          <w:tcPr>
            <w:tcW w:type="dxa" w:w="7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Effect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distribution_condition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Contributes to distribution pass/fail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incurrence_test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Evaluated but not a distribution gate (skipped)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sweep_mechanic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Informational — shows the sweep step schedule</w:t>
            </w:r>
          </w:p>
        </w:tc>
      </w:tr>
    </w:tbl>
    <w:p>
      <w:pPr>
        <w:pStyle w:val="Heading3"/>
        <w:spacing w:after="80" w:before="180"/>
      </w:pPr>
      <w:r>
        <w:rPr>
          <w:rFonts w:ascii="Arial" w:cs="Arial" w:eastAsia="Arial" w:hAnsi="Arial"/>
          <w:b/>
          <w:bCs/>
          <w:color w:val="263849"/>
          <w:sz w:val="26"/>
          <w:szCs w:val="26"/>
        </w:rPr>
        <w:t xml:space="preserve">8.8.3 Output status</w:t>
      </w:r>
    </w:p>
    <w:p>
      <w:pPr>
        <w:spacing w:after="80"/>
      </w:pPr>
      <w:r>
        <w:rPr>
          <w:rFonts w:ascii="Consolas" w:cs="Consolas" w:eastAsia="Consolas" w:hAnsi="Consolas"/>
          <w:color w:val="444444"/>
          <w:sz w:val="20"/>
          <w:szCs w:val="20"/>
        </w:rPr>
        <w:t xml:space="preserve">if blockers.length == 0:
    status    = "permitted"
    lockup    = "performing"
else:
    status    = "blocked"
    lockup    = "cash_trap" if escalation_triggered else "distribution_lockup"
escalation_triggered = (consecutive_lockup_periods &gt;= deal.lockup_escalation_periods)</w:t>
      </w:r>
    </w:p>
    <w:p>
      <w:pPr>
        <w:pStyle w:val="Heading3"/>
        <w:spacing w:after="80" w:before="180"/>
      </w:pPr>
      <w:r>
        <w:rPr>
          <w:rFonts w:ascii="Arial" w:cs="Arial" w:eastAsia="Arial" w:hAnsi="Arial"/>
          <w:b/>
          <w:bCs/>
          <w:color w:val="263849"/>
          <w:sz w:val="26"/>
          <w:szCs w:val="26"/>
        </w:rPr>
        <w:t xml:space="preserve">8.8.4 Persistence</w:t>
      </w:r>
    </w:p>
    <w:p>
      <w:pPr>
        <w:spacing w:after="80"/>
      </w:pPr>
      <w:r>
        <w:rPr>
          <w:rFonts w:ascii="Consolas" w:cs="Consolas" w:eastAsia="Consolas" w:hAnsi="Consolas"/>
          <w:color w:val="444444"/>
          <w:sz w:val="20"/>
          <w:szCs w:val="20"/>
        </w:rPr>
        <w:t xml:space="preserve">UPSERT INTO distribution_assessments (
    deal_id, financial_period_id, status, lockup_state,
    blocker_count, total_conditions, passed_count, failed_count,
    blockers JSONB, failed_conditions JSONB, passed_conditions JSONB,
    sweep_conditions JSONB, escalation_triggered, distribution_mechanics JSONB)</w:t>
      </w:r>
    </w:p>
    <w:p>
      <w:pPr>
        <w:pStyle w:val="Heading2"/>
        <w:spacing w:after="120" w:before="240"/>
      </w:pPr>
      <w:r>
        <w:rPr>
          <w:rFonts w:ascii="Arial" w:cs="Arial" w:eastAsia="Arial" w:hAnsi="Arial"/>
          <w:b/>
          <w:bCs/>
          <w:color w:val="263849"/>
          <w:sz w:val="30"/>
          <w:szCs w:val="30"/>
        </w:rPr>
        <w:t xml:space="preserve">8.9 Ratio Reconciliation Engine — upsert_ratio_reconciliation()</w:t>
      </w:r>
    </w:p>
    <w:p>
      <w:pPr>
        <w:spacing w:after="140" w:line="280"/>
        <w:jc w:val="both"/>
      </w:pPr>
      <w:r>
        <w:rPr>
          <w:rFonts w:ascii="Arial" w:cs="Arial" w:eastAsia="Arial" w:hAnsi="Arial"/>
          <w:sz w:val="22"/>
          <w:szCs w:val="22"/>
        </w:rPr>
        <w:t xml:space="preserve">Source: server/main.py line 2068. Compares borrower-reported ratios against platform-computed values.</w:t>
      </w:r>
    </w:p>
    <w:p>
      <w:pPr>
        <w:spacing w:after="80"/>
      </w:pPr>
      <w:r>
        <w:rPr>
          <w:rFonts w:ascii="Consolas" w:cs="Consolas" w:eastAsia="Consolas" w:hAnsi="Consolas"/>
          <w:color w:val="444444"/>
          <w:sz w:val="20"/>
          <w:szCs w:val="20"/>
        </w:rPr>
        <w:t xml:space="preserve">platform_value = SELECT current_value FROM covenants WHERE metric_key LIKE 'dscr%'
# Fallback heuristic if no platform value:
if not platform_value:
    platform_value = borrower_reported - 0.03
variance_value = borrower_reported - platform_value
variance_pct   = (variance_value / platform_value) * 100  if platform_value != 0 else 0
UPSERT INTO ratio_reconciliations (deal_id, financial_period_id, metric_key,
    borrower_reported_value, platform_value, variance_value, variance_pct,
    tolerance_pct=3.0, reconciliation_status, source_document_id, review_item_id)</w:t>
      </w:r>
    </w:p>
    <w:p>
      <w:pPr>
        <w:spacing w:after="140" w:line="280"/>
        <w:jc w:val="both"/>
      </w:pPr>
      <w:r>
        <w:rPr>
          <w:rFonts w:ascii="Arial" w:cs="Arial" w:eastAsia="Arial" w:hAnsi="Arial"/>
          <w:sz w:val="22"/>
          <w:szCs w:val="22"/>
        </w:rPr>
        <w:t xml:space="preserve">Tolerance: 3.0%. Status material if |variance_pct| &gt; tolerance; minor otherwise.</w:t>
      </w:r>
    </w:p>
    <w:p>
      <w:pPr>
        <w:pStyle w:val="Heading2"/>
        <w:spacing w:after="120" w:before="240"/>
      </w:pPr>
      <w:r>
        <w:rPr>
          <w:rFonts w:ascii="Arial" w:cs="Arial" w:eastAsia="Arial" w:hAnsi="Arial"/>
          <w:b/>
          <w:bCs/>
          <w:color w:val="263849"/>
          <w:sz w:val="30"/>
          <w:szCs w:val="30"/>
        </w:rPr>
        <w:t xml:space="preserve">8.10 Risk Narrative Generator — generate_risk_narrative(row)</w:t>
      </w:r>
    </w:p>
    <w:p>
      <w:pPr>
        <w:spacing w:after="140" w:line="280"/>
        <w:jc w:val="both"/>
      </w:pPr>
      <w:r>
        <w:rPr>
          <w:rFonts w:ascii="Arial" w:cs="Arial" w:eastAsia="Arial" w:hAnsi="Arial"/>
          <w:sz w:val="22"/>
          <w:szCs w:val="22"/>
        </w:rPr>
        <w:t xml:space="preserve">Source: server/main.py line 5202. Template-driven deterministic prose synthesis. Not AI.</w:t>
      </w:r>
    </w:p>
    <w:p>
      <w:pPr>
        <w:pStyle w:val="Heading3"/>
        <w:spacing w:after="80" w:before="180"/>
      </w:pPr>
      <w:r>
        <w:rPr>
          <w:rFonts w:ascii="Arial" w:cs="Arial" w:eastAsia="Arial" w:hAnsi="Arial"/>
          <w:b/>
          <w:bCs/>
          <w:color w:val="263849"/>
          <w:sz w:val="26"/>
          <w:szCs w:val="26"/>
        </w:rPr>
        <w:t xml:space="preserve">8.10.1 Full likelihood word map</w:t>
      </w:r>
    </w:p>
    <w:p>
      <w:pPr>
        <w:spacing w:after="80"/>
      </w:pPr>
      <w:r>
        <w:rPr>
          <w:rFonts w:ascii="Consolas" w:cs="Consolas" w:eastAsia="Consolas" w:hAnsi="Consolas"/>
          <w:color w:val="444444"/>
          <w:sz w:val="20"/>
          <w:szCs w:val="20"/>
        </w:rPr>
        <w:t xml:space="preserve">_LIKELIHOOD_WORD_MAP = {
    "remote": 1,  "rare": 1, "very_unlikely": 1, "very unlikely": 1,
    "unlikely": 2, "low": 2,
    "possible": 3, "moderate": 3, "medium": 3,
    "likely": 4, "high": 4,
    "almost_certain": 5, "almost certain": 5, "very_likely": 5,
    "very likely": 5, "certain": 5,
}</w:t>
      </w:r>
    </w:p>
    <w:p>
      <w:pPr>
        <w:pStyle w:val="Heading3"/>
        <w:spacing w:after="80" w:before="180"/>
      </w:pPr>
      <w:r>
        <w:rPr>
          <w:rFonts w:ascii="Arial" w:cs="Arial" w:eastAsia="Arial" w:hAnsi="Arial"/>
          <w:b/>
          <w:bCs/>
          <w:color w:val="263849"/>
          <w:sz w:val="26"/>
          <w:szCs w:val="26"/>
        </w:rPr>
        <w:t xml:space="preserve">8.10.2 Full severity word map</w:t>
      </w:r>
    </w:p>
    <w:p>
      <w:pPr>
        <w:spacing w:after="80"/>
      </w:pPr>
      <w:r>
        <w:rPr>
          <w:rFonts w:ascii="Consolas" w:cs="Consolas" w:eastAsia="Consolas" w:hAnsi="Consolas"/>
          <w:color w:val="444444"/>
          <w:sz w:val="20"/>
          <w:szCs w:val="20"/>
        </w:rPr>
        <w:t xml:space="preserve">_SEVERITY_WORD_MAP = {
    "negligible": 1, "very_low": 1, "very low": 1,
    "minor": 2, "low": 2,
    "moderate": 3, "medium": 3,
    "major": 4, "high": 4, "significant": 4,
    "severe": 5, "critical": 5, "very_high": 5, "very high": 5,
    "catastrophic": 6, "fatal": 6,
}</w:t>
      </w:r>
    </w:p>
    <w:p>
      <w:pPr>
        <w:pStyle w:val="Heading3"/>
        <w:spacing w:after="80" w:before="180"/>
      </w:pPr>
      <w:r>
        <w:rPr>
          <w:rFonts w:ascii="Arial" w:cs="Arial" w:eastAsia="Arial" w:hAnsi="Arial"/>
          <w:b/>
          <w:bCs/>
          <w:color w:val="263849"/>
          <w:sz w:val="26"/>
          <w:szCs w:val="26"/>
        </w:rPr>
        <w:t xml:space="preserve">8.10.3 Narrative assembly (6 sentences)</w:t>
      </w:r>
    </w:p>
    <w:p>
      <w:pPr>
        <w:pStyle w:val="ListParagraph"/>
        <w:numPr>
          <w:ilvl w:val="0"/>
          <w:numId w:val="2"/>
        </w:numPr>
        <w:spacing w:after="60"/>
      </w:pPr>
      <w:r>
        <w:rPr>
          <w:rFonts w:ascii="Arial" w:cs="Arial" w:eastAsia="Arial" w:hAnsi="Arial"/>
          <w:sz w:val="22"/>
          <w:szCs w:val="22"/>
        </w:rPr>
        <w:t xml:space="preserve">S1: "{title} is a {category_phrase} risk currently scored {score_band} ({score}/30)."</w:t>
      </w:r>
    </w:p>
    <w:p>
      <w:pPr>
        <w:pStyle w:val="ListParagraph"/>
        <w:numPr>
          <w:ilvl w:val="0"/>
          <w:numId w:val="2"/>
        </w:numPr>
        <w:spacing w:after="60"/>
      </w:pPr>
      <w:r>
        <w:rPr>
          <w:rFonts w:ascii="Arial" w:cs="Arial" w:eastAsia="Arial" w:hAnsi="Arial"/>
          <w:sz w:val="22"/>
          <w:szCs w:val="22"/>
        </w:rPr>
        <w:t xml:space="preserve">S2: "The probability of occurrence {phrase} ({lik}/5) with {impact_phrase} ({sev}/6)."</w:t>
      </w:r>
    </w:p>
    <w:p>
      <w:pPr>
        <w:pStyle w:val="ListParagraph"/>
        <w:numPr>
          <w:ilvl w:val="0"/>
          <w:numId w:val="2"/>
        </w:numPr>
        <w:spacing w:after="60"/>
      </w:pPr>
      <w:r>
        <w:rPr>
          <w:rFonts w:ascii="Arial" w:cs="Arial" w:eastAsia="Arial" w:hAnsi="Arial"/>
          <w:sz w:val="22"/>
          <w:szCs w:val="22"/>
        </w:rPr>
        <w:t xml:space="preserve">S3 (optional): "Risk status is {trend}." — from _TREND_PHRASE</w:t>
      </w:r>
    </w:p>
    <w:p>
      <w:pPr>
        <w:pStyle w:val="ListParagraph"/>
        <w:numPr>
          <w:ilvl w:val="0"/>
          <w:numId w:val="2"/>
        </w:numPr>
        <w:spacing w:after="60"/>
      </w:pPr>
      <w:r>
        <w:rPr>
          <w:rFonts w:ascii="Arial" w:cs="Arial" w:eastAsia="Arial" w:hAnsi="Arial"/>
          <w:sz w:val="22"/>
          <w:szCs w:val="22"/>
        </w:rPr>
        <w:t xml:space="preserve">S4 (optional): "Monitored via the '{kpi}' indicator."</w:t>
      </w:r>
    </w:p>
    <w:p>
      <w:pPr>
        <w:pStyle w:val="ListParagraph"/>
        <w:numPr>
          <w:ilvl w:val="0"/>
          <w:numId w:val="2"/>
        </w:numPr>
        <w:spacing w:after="60"/>
      </w:pPr>
      <w:r>
        <w:rPr>
          <w:rFonts w:ascii="Arial" w:cs="Arial" w:eastAsia="Arial" w:hAnsi="Arial"/>
          <w:sz w:val="22"/>
          <w:szCs w:val="22"/>
        </w:rPr>
        <w:t xml:space="preserve">S5 (optional): "Mitigant in place: {mitigant}."</w:t>
      </w:r>
    </w:p>
    <w:p>
      <w:pPr>
        <w:pStyle w:val="ListParagraph"/>
        <w:numPr>
          <w:ilvl w:val="0"/>
          <w:numId w:val="2"/>
        </w:numPr>
        <w:spacing w:after="60"/>
      </w:pPr>
      <w:r>
        <w:rPr>
          <w:rFonts w:ascii="Arial" w:cs="Arial" w:eastAsia="Arial" w:hAnsi="Arial"/>
          <w:sz w:val="22"/>
          <w:szCs w:val="22"/>
        </w:rPr>
        <w:t xml:space="preserve">S6 (optional): "Owned by {owner}; next review scheduled for {next_review_date}."</w:t>
      </w:r>
    </w:p>
    <w:p>
      <w:pPr>
        <w:spacing w:after="140" w:line="280"/>
        <w:jc w:val="both"/>
      </w:pPr>
      <w:r>
        <w:rPr>
          <w:rFonts w:ascii="Arial" w:cs="Arial" w:eastAsia="Arial" w:hAnsi="Arial"/>
          <w:sz w:val="22"/>
          <w:szCs w:val="22"/>
        </w:rPr>
        <w:t xml:space="preserve">Written into deal_risk_register.generated_narrative. Deterministic — identical inputs produce identical output strings.</w:t>
      </w:r>
    </w:p>
    <w:p>
      <w:pPr>
        <w:pStyle w:val="Heading2"/>
        <w:spacing w:after="120" w:before="240"/>
      </w:pPr>
      <w:r>
        <w:rPr>
          <w:rFonts w:ascii="Arial" w:cs="Arial" w:eastAsia="Arial" w:hAnsi="Arial"/>
          <w:b/>
          <w:bCs/>
          <w:color w:val="263849"/>
          <w:sz w:val="30"/>
          <w:szCs w:val="30"/>
        </w:rPr>
        <w:t xml:space="preserve">8.11 Business Day Engine — full pseudocode</w:t>
      </w:r>
    </w:p>
    <w:p>
      <w:pPr>
        <w:spacing w:after="140" w:line="280"/>
        <w:jc w:val="both"/>
      </w:pPr>
      <w:r>
        <w:rPr>
          <w:rFonts w:ascii="Arial" w:cs="Arial" w:eastAsia="Arial" w:hAnsi="Arial"/>
          <w:sz w:val="22"/>
          <w:szCs w:val="22"/>
        </w:rPr>
        <w:t xml:space="preserve">Source: server/main.py lines 20963–21031. Provides business-day arithmetic and four day conventions. Holiday data loaded via LRU cache (max 32 jurisdictions).</w:t>
      </w:r>
    </w:p>
    <w:p>
      <w:pPr>
        <w:pStyle w:val="Heading3"/>
        <w:spacing w:after="80" w:before="180"/>
      </w:pPr>
      <w:r>
        <w:rPr>
          <w:rFonts w:ascii="Arial" w:cs="Arial" w:eastAsia="Arial" w:hAnsi="Arial"/>
          <w:b/>
          <w:bCs/>
          <w:color w:val="263849"/>
          <w:sz w:val="26"/>
          <w:szCs w:val="26"/>
        </w:rPr>
        <w:t xml:space="preserve">8.11.1 _is_business_day(d, holidays)</w:t>
      </w:r>
    </w:p>
    <w:p>
      <w:pPr>
        <w:spacing w:after="80"/>
      </w:pPr>
      <w:r>
        <w:rPr>
          <w:rFonts w:ascii="Consolas" w:cs="Consolas" w:eastAsia="Consolas" w:hAnsi="Consolas"/>
          <w:color w:val="444444"/>
          <w:sz w:val="20"/>
          <w:szCs w:val="20"/>
        </w:rPr>
        <w:t xml:space="preserve">return d.weekday() &lt; 5 AND d not in holidays</w:t>
      </w:r>
    </w:p>
    <w:p>
      <w:pPr>
        <w:pStyle w:val="Heading3"/>
        <w:spacing w:after="80" w:before="180"/>
      </w:pPr>
      <w:r>
        <w:rPr>
          <w:rFonts w:ascii="Arial" w:cs="Arial" w:eastAsia="Arial" w:hAnsi="Arial"/>
          <w:b/>
          <w:bCs/>
          <w:color w:val="263849"/>
          <w:sz w:val="26"/>
          <w:szCs w:val="26"/>
        </w:rPr>
        <w:t xml:space="preserve">8.11.2 _add_business_days(start, n, holidays)</w:t>
      </w:r>
    </w:p>
    <w:p>
      <w:pPr>
        <w:spacing w:after="80"/>
      </w:pPr>
      <w:r>
        <w:rPr>
          <w:rFonts w:ascii="Consolas" w:cs="Consolas" w:eastAsia="Consolas" w:hAnsi="Consolas"/>
          <w:color w:val="444444"/>
          <w:sz w:val="20"/>
          <w:szCs w:val="20"/>
        </w:rPr>
        <w:t xml:space="preserve">if n == 0: return start
direction = +1 if n &gt; 0 else -1
remaining = abs(n)
current   = start
while remaining &gt; 0:
    current += timedelta(days=direction)
    if _is_business_day(current, holidays):
        remaining -= 1
return current</w:t>
      </w:r>
    </w:p>
    <w:p>
      <w:pPr>
        <w:pStyle w:val="Heading3"/>
        <w:spacing w:after="80" w:before="180"/>
      </w:pPr>
      <w:r>
        <w:rPr>
          <w:rFonts w:ascii="Arial" w:cs="Arial" w:eastAsia="Arial" w:hAnsi="Arial"/>
          <w:b/>
          <w:bCs/>
          <w:color w:val="263849"/>
          <w:sz w:val="26"/>
          <w:szCs w:val="26"/>
        </w:rPr>
        <w:t xml:space="preserve">8.11.3 _apply_convention(d, convention, holidays) — all four rules</w:t>
      </w:r>
    </w:p>
    <w:p>
      <w:pPr>
        <w:spacing w:after="80"/>
      </w:pPr>
      <w:r>
        <w:rPr>
          <w:rFonts w:ascii="Consolas" w:cs="Consolas" w:eastAsia="Consolas" w:hAnsi="Consolas"/>
          <w:color w:val="444444"/>
          <w:sz w:val="20"/>
          <w:szCs w:val="20"/>
        </w:rPr>
        <w:t xml:space="preserve">if convention == "no_adjustment":
    return d
if _is_business_day(d, holidays):
    return d                        # nothing to adjust
original_month = d.month
if convention == "following":
    while not _is_business_day(d, holidays):
        d += timedelta(days=1)
    return d
if convention == "preceding":
    while not _is_business_day(d, holidays):
        d -= timedelta(days=1)
    return d
if convention == "modified_following":
    fwd = d
    while not _is_business_day(fwd, holidays):
        fwd += timedelta(days=1)
    if fwd.month == original_month:
        return fwd              # same month, return the forward date
    # crossed month boundary — go backward instead
    bwd = d
    while not _is_business_day(bwd, holidays):
        bwd -= timedelta(days=1)
    return bwd</w:t>
      </w:r>
    </w:p>
    <w:p>
      <w:pPr>
        <w:pBdr>
          <w:left w:val="single" w:color="1F6FA5" w:sz="16" w:space="10"/>
        </w:pBdr>
        <w:spacing w:after="160" w:before="80"/>
        <w:ind w:left="200"/>
      </w:pPr>
      <w:r>
        <w:rPr>
          <w:rFonts w:ascii="Arial" w:cs="Arial" w:eastAsia="Arial" w:hAnsi="Arial"/>
          <w:i/>
          <w:iCs/>
          <w:color w:val="56718A"/>
          <w:sz w:val="22"/>
          <w:szCs w:val="22"/>
        </w:rPr>
        <w:t xml:space="preserve">modified_following is the industry default: prefer forward, but never let the adjusted date cross a month boundary; fall back to preceding in that case.</w:t>
      </w:r>
    </w:p>
    <w:p>
      <w:pPr>
        <w:pStyle w:val="Heading3"/>
        <w:spacing w:after="80" w:before="180"/>
      </w:pPr>
      <w:r>
        <w:rPr>
          <w:rFonts w:ascii="Arial" w:cs="Arial" w:eastAsia="Arial" w:hAnsi="Arial"/>
          <w:b/>
          <w:bCs/>
          <w:color w:val="263849"/>
          <w:sz w:val="26"/>
          <w:szCs w:val="26"/>
        </w:rPr>
        <w:t xml:space="preserve">8.11.4 _compute_due_date(period_end, bdays_after, convention, jurisdictions)</w:t>
      </w:r>
    </w:p>
    <w:p>
      <w:pPr>
        <w:spacing w:after="80"/>
      </w:pPr>
      <w:r>
        <w:rPr>
          <w:rFonts w:ascii="Consolas" w:cs="Consolas" w:eastAsia="Consolas" w:hAnsi="Consolas"/>
          <w:color w:val="444444"/>
          <w:sz w:val="20"/>
          <w:szCs w:val="20"/>
        </w:rPr>
        <w:t xml:space="preserve">holidays = _get_holidays(jurisdictions)       # comma-separated ISO codes
raw      = _add_business_days(period_end, bdays_after, holidays)
adjusted = _apply_convention(raw, convention, holidays)
return adjusted</w:t>
      </w:r>
    </w:p>
    <w:p>
      <w:pPr>
        <w:pStyle w:val="Heading2"/>
        <w:spacing w:after="120" w:before="240"/>
      </w:pPr>
      <w:r>
        <w:rPr>
          <w:rFonts w:ascii="Arial" w:cs="Arial" w:eastAsia="Arial" w:hAnsi="Arial"/>
          <w:b/>
          <w:bCs/>
          <w:color w:val="263849"/>
          <w:sz w:val="30"/>
          <w:szCs w:val="30"/>
        </w:rPr>
        <w:t xml:space="preserve">8.12 Reserve Account History Engine</w:t>
      </w:r>
    </w:p>
    <w:p>
      <w:pPr>
        <w:spacing w:after="140" w:line="280"/>
        <w:jc w:val="both"/>
      </w:pPr>
      <w:r>
        <w:rPr>
          <w:rFonts w:ascii="Arial" w:cs="Arial" w:eastAsia="Arial" w:hAnsi="Arial"/>
          <w:sz w:val="22"/>
          <w:szCs w:val="22"/>
        </w:rPr>
        <w:t xml:space="preserve">Turns a stream of reserve movements into the monthly time series displayed on the deal overview. Writes deal_reserve_history rows with required / actual / expected / shortfall / variance. Emits compliance_alerts on shortfall persistence beyond the cure window.</w:t>
      </w:r>
    </w:p>
    <w:p>
      <w:pPr>
        <w:pStyle w:val="Heading2"/>
        <w:spacing w:after="120" w:before="240"/>
      </w:pPr>
      <w:r>
        <w:rPr>
          <w:rFonts w:ascii="Arial" w:cs="Arial" w:eastAsia="Arial" w:hAnsi="Arial"/>
          <w:b/>
          <w:bCs/>
          <w:color w:val="263849"/>
          <w:sz w:val="30"/>
          <w:szCs w:val="30"/>
        </w:rPr>
        <w:t xml:space="preserve">8.13 Capital Structure Engine v8 — assign_cashflow_priority_ranks()</w:t>
      </w:r>
    </w:p>
    <w:p>
      <w:pPr>
        <w:spacing w:after="140" w:line="280"/>
        <w:jc w:val="both"/>
      </w:pPr>
      <w:r>
        <w:rPr>
          <w:rFonts w:ascii="Arial" w:cs="Arial" w:eastAsia="Arial" w:hAnsi="Arial"/>
          <w:sz w:val="22"/>
          <w:szCs w:val="22"/>
        </w:rPr>
        <w:t xml:space="preserve">Source: server/capital_structure_engine.py line 94.</w:t>
      </w:r>
    </w:p>
    <w:p>
      <w:pPr>
        <w:pStyle w:val="Heading3"/>
        <w:spacing w:after="80" w:before="180"/>
      </w:pPr>
      <w:r>
        <w:rPr>
          <w:rFonts w:ascii="Arial" w:cs="Arial" w:eastAsia="Arial" w:hAnsi="Arial"/>
          <w:b/>
          <w:bCs/>
          <w:color w:val="263849"/>
          <w:sz w:val="26"/>
          <w:szCs w:val="26"/>
        </w:rPr>
        <w:t xml:space="preserve">8.13.1 Level ordering</w:t>
      </w:r>
    </w:p>
    <w:p>
      <w:pPr>
        <w:spacing w:after="80"/>
      </w:pPr>
      <w:r>
        <w:rPr>
          <w:rFonts w:ascii="Consolas" w:cs="Consolas" w:eastAsia="Consolas" w:hAnsi="Consolas"/>
          <w:color w:val="444444"/>
          <w:sz w:val="20"/>
          <w:szCs w:val="20"/>
        </w:rPr>
        <w:t xml:space="preserve">LEVEL_ORDER = ["opco", "midco", "holdco",
               "majority_holdco", "minority_holdco"]
SHAREHOLDER_LOAN_TYPES = {"shl", "shareholder_loan"}
SUBORDINATED_RANKINGS = {
    "subordinated", "subordinated holdco", "mezzanine", "second lien",
}</w:t>
      </w:r>
    </w:p>
    <w:p>
      <w:pPr>
        <w:pStyle w:val="Heading3"/>
        <w:spacing w:after="80" w:before="180"/>
      </w:pPr>
      <w:r>
        <w:rPr>
          <w:rFonts w:ascii="Arial" w:cs="Arial" w:eastAsia="Arial" w:hAnsi="Arial"/>
          <w:b/>
          <w:bCs/>
          <w:color w:val="263849"/>
          <w:sz w:val="26"/>
          <w:szCs w:val="26"/>
        </w:rPr>
        <w:t xml:space="preserve">8.13.2 Full algorithm</w:t>
      </w:r>
    </w:p>
    <w:p>
      <w:pPr>
        <w:spacing w:after="80"/>
      </w:pPr>
      <w:r>
        <w:rPr>
          <w:rFonts w:ascii="Consolas" w:cs="Consolas" w:eastAsia="Consolas" w:hAnsi="Consolas"/>
          <w:color w:val="444444"/>
          <w:sz w:val="20"/>
          <w:szCs w:val="20"/>
        </w:rPr>
        <w:t xml:space="preserve">1. first_claim_level = first level in LEVEL_ORDER that has at least one
   external-debt instrument (i.e. NOT shareholder loan, NOT intercompany).
2. Mark shareholder loans and intercompany loans as rank=None (always unranked).
3. has_opco_external = True if any opco-level instrument is external debt
4. Walk LEVEL_ORDER in order:
     external_at_level = [instr at this level that are external debt]
     if not external_at_level: continue
     if level != first_claim_level AND previous_level_had_external_debt:
         base_rank += 1   # structural subordination bump
     for instrument in external_at_level:
         if instrument.cashflow_priority_rank is not None:
             continue                       # manual override wins
         if is_shareholder_loan or is_intercompany:
             rank = None
             continue
         rank = base_rank
         if _is_contractually_subordinated(instrument):
             rank += 1                      # contractual subordination bump
         if level == "minority_holdco" AND has_opco_external:
             rank += 1                      # minority holdco penalty
         instrument.cashflow_priority_rank = rank
     previous_level_had_external_debt = True</w:t>
      </w:r>
    </w:p>
    <w:p>
      <w:pPr>
        <w:pStyle w:val="Heading2"/>
        <w:spacing w:after="120" w:before="240"/>
      </w:pPr>
      <w:r>
        <w:rPr>
          <w:rFonts w:ascii="Arial" w:cs="Arial" w:eastAsia="Arial" w:hAnsi="Arial"/>
          <w:b/>
          <w:bCs/>
          <w:color w:val="263849"/>
          <w:sz w:val="30"/>
          <w:szCs w:val="30"/>
        </w:rPr>
        <w:t xml:space="preserve">8.14 Proportional Consolidation — proportional_consolidation(entities)</w:t>
      </w:r>
    </w:p>
    <w:p>
      <w:pPr>
        <w:spacing w:after="140" w:line="280"/>
        <w:jc w:val="both"/>
      </w:pPr>
      <w:r>
        <w:rPr>
          <w:rFonts w:ascii="Arial" w:cs="Arial" w:eastAsia="Arial" w:hAnsi="Arial"/>
          <w:sz w:val="22"/>
          <w:szCs w:val="22"/>
        </w:rPr>
        <w:t xml:space="preserve">Source: server/capital_structure_engine.py line 201. Applies ownership_pct to BOTH cashflows AND debt (credit-ratio-appropriate, NOT IFRS full consolidation).</w:t>
      </w:r>
    </w:p>
    <w:p>
      <w:pPr>
        <w:pStyle w:val="Heading3"/>
        <w:spacing w:after="80" w:before="180"/>
      </w:pPr>
      <w:r>
        <w:rPr>
          <w:rFonts w:ascii="Arial" w:cs="Arial" w:eastAsia="Arial" w:hAnsi="Arial"/>
          <w:b/>
          <w:bCs/>
          <w:color w:val="263849"/>
          <w:sz w:val="26"/>
          <w:szCs w:val="26"/>
        </w:rPr>
        <w:t xml:space="preserve">8.14.1 Input</w:t>
      </w:r>
    </w:p>
    <w:p>
      <w:pPr>
        <w:spacing w:after="80"/>
      </w:pPr>
      <w:r>
        <w:rPr>
          <w:rFonts w:ascii="Consolas" w:cs="Consolas" w:eastAsia="Consolas" w:hAnsi="Consolas"/>
          <w:color w:val="444444"/>
          <w:sz w:val="20"/>
          <w:szCs w:val="20"/>
        </w:rPr>
        <w:t xml:space="preserve">@dataclass
class EntityFinancials:
    entity_name: str
    ownership_pct: float            # Economic share 0–100 (NOT 0–1)
    ebitda: float = 0.0
    cfads: float = 0.0
    debt: float = 0.0
    debt_service: float = 0.0
    within_perimeter: bool = True   # outside perimeter skipped</w:t>
      </w:r>
    </w:p>
    <w:p>
      <w:pPr>
        <w:pStyle w:val="Heading3"/>
        <w:spacing w:after="80" w:before="180"/>
      </w:pPr>
      <w:r>
        <w:rPr>
          <w:rFonts w:ascii="Arial" w:cs="Arial" w:eastAsia="Arial" w:hAnsi="Arial"/>
          <w:b/>
          <w:bCs/>
          <w:color w:val="263849"/>
          <w:sz w:val="26"/>
          <w:szCs w:val="26"/>
        </w:rPr>
        <w:t xml:space="preserve">8.14.2 Algorithm</w:t>
      </w:r>
    </w:p>
    <w:p>
      <w:pPr>
        <w:spacing w:after="80"/>
      </w:pPr>
      <w:r>
        <w:rPr>
          <w:rFonts w:ascii="Consolas" w:cs="Consolas" w:eastAsia="Consolas" w:hAnsi="Consolas"/>
          <w:color w:val="444444"/>
          <w:sz w:val="20"/>
          <w:szCs w:val="20"/>
        </w:rPr>
        <w:t xml:space="preserve">ebitda = cfads = debt = ds = 0.0
for entity in entities:
    if not entity.within_perimeter:
        continue
    share = clamp(entity.ownership_pct / 100.0, 0.0, 1.0)
    ebitda += share * entity.ebitda
    cfads  += share * entity.cfads
    debt   += share * entity.debt
    ds     += share * entity.debt_service
dscr       = cfads / ds     if ds &gt; 0     else None
nd_ebitda  = debt  / ebitda if ebitda &gt; 0 else None
return {"ebitda": ebitda, "cfads": cfads, "debt": debt,
        "debt_service": ds,
        "dscr": round(dscr, 3)      if dscr      else None,
        "net_debt_ebitda": round(nd_ebitda, 3) if nd_ebitda else None}</w:t>
      </w:r>
    </w:p>
    <w:p>
      <w:pPr>
        <w:pBdr>
          <w:left w:val="single" w:color="1F6FA5" w:sz="16" w:space="10"/>
        </w:pBdr>
        <w:spacing w:after="160" w:before="80"/>
        <w:ind w:left="200"/>
      </w:pPr>
      <w:r>
        <w:rPr>
          <w:rFonts w:ascii="Arial" w:cs="Arial" w:eastAsia="Arial" w:hAnsi="Arial"/>
          <w:i/>
          <w:iCs/>
          <w:color w:val="56718A"/>
          <w:sz w:val="22"/>
          <w:szCs w:val="22"/>
        </w:rPr>
        <w:t xml:space="preserve">Worked example: HoldCo owns 60% of OpCo; OpCo has EBITDA=100, Debt=300, DS=40. Proportional → EBITDA contribution 60, Debt contribution 180, DS contribution 24. If the HoldCo has its own EBITDA=20, Debt=50, DS=10 at ownership 100%, totals: EBITDA 80, Debt 230, DS 34. DSCR = (0.6×CFADS_opco + CFADS_holdco) / 34.</w:t>
      </w:r>
    </w:p>
    <w:p>
      <w:pPr>
        <w:pStyle w:val="Heading2"/>
        <w:spacing w:after="120" w:before="240"/>
      </w:pPr>
      <w:r>
        <w:rPr>
          <w:rFonts w:ascii="Arial" w:cs="Arial" w:eastAsia="Arial" w:hAnsi="Arial"/>
          <w:b/>
          <w:bCs/>
          <w:color w:val="263849"/>
          <w:sz w:val="30"/>
          <w:szCs w:val="30"/>
        </w:rPr>
        <w:t xml:space="preserve">8.15 Capital Stack Engine v9</w:t>
      </w:r>
    </w:p>
    <w:p>
      <w:pPr>
        <w:spacing w:after="140" w:line="280"/>
        <w:jc w:val="both"/>
      </w:pPr>
      <w:r>
        <w:rPr>
          <w:rFonts w:ascii="Arial" w:cs="Arial" w:eastAsia="Arial" w:hAnsi="Arial"/>
          <w:sz w:val="22"/>
          <w:szCs w:val="22"/>
        </w:rPr>
        <w:t xml:space="preserve">Source: server/capital_structure_engine.py lines 388–800. Extends v8 with valuation, pledged-share gross-up, and change-of-control coverage.</w:t>
      </w:r>
    </w:p>
    <w:p>
      <w:pPr>
        <w:pStyle w:val="Heading3"/>
        <w:spacing w:after="80" w:before="180"/>
      </w:pPr>
      <w:r>
        <w:rPr>
          <w:rFonts w:ascii="Arial" w:cs="Arial" w:eastAsia="Arial" w:hAnsi="Arial"/>
          <w:b/>
          <w:bCs/>
          <w:color w:val="263849"/>
          <w:sz w:val="26"/>
          <w:szCs w:val="26"/>
        </w:rPr>
        <w:t xml:space="preserve">8.15.1 gross_up_facility(instrument, debtor_ownership_pct)</w:t>
      </w:r>
    </w:p>
    <w:p>
      <w:pPr>
        <w:spacing w:after="80"/>
      </w:pPr>
      <w:r>
        <w:rPr>
          <w:rFonts w:ascii="Consolas" w:cs="Consolas" w:eastAsia="Consolas" w:hAnsi="Consolas"/>
          <w:color w:val="444444"/>
          <w:sz w:val="20"/>
          <w:szCs w:val="20"/>
        </w:rPr>
        <w:t xml:space="preserve">gross_up_factor = 100 / pledged_share_pct
equivalent_debt = face_value * gross_up_factor</w:t>
      </w:r>
    </w:p>
    <w:p>
      <w:pPr>
        <w:pStyle w:val="Heading3"/>
        <w:spacing w:after="80" w:before="180"/>
      </w:pPr>
      <w:r>
        <w:rPr>
          <w:rFonts w:ascii="Arial" w:cs="Arial" w:eastAsia="Arial" w:hAnsi="Arial"/>
          <w:b/>
          <w:bCs/>
          <w:color w:val="263849"/>
          <w:sz w:val="26"/>
          <w:szCs w:val="26"/>
        </w:rPr>
        <w:t xml:space="preserve">8.15.2 compute_attributable_equity(instruments, ev) — rank walk-up</w:t>
      </w:r>
    </w:p>
    <w:p>
      <w:pPr>
        <w:spacing w:after="80"/>
      </w:pPr>
      <w:r>
        <w:rPr>
          <w:rFonts w:ascii="Consolas" w:cs="Consolas" w:eastAsia="Consolas" w:hAnsi="Consolas"/>
          <w:color w:val="444444"/>
          <w:sz w:val="20"/>
          <w:szCs w:val="20"/>
        </w:rPr>
        <w:t xml:space="preserve">current_value = ev
for rank in sorted(unique(ranks)):
    debt_at_rank     = sum(drawn_amount of instruments at this rank)
    inherited_value  = current_value
    residual_after   = inherited_value - debt_at_rank
    layers.append({rank, debt_total=debt_at_rank, inherited_value,
                   residual_after_debt=residual_after})
    current_value = residual_after   # next rank starts from this
residual_equity = current_value     # after all debt ranks</w:t>
      </w:r>
    </w:p>
    <w:p>
      <w:pPr>
        <w:pStyle w:val="Heading3"/>
        <w:spacing w:after="80" w:before="180"/>
      </w:pPr>
      <w:r>
        <w:rPr>
          <w:rFonts w:ascii="Arial" w:cs="Arial" w:eastAsia="Arial" w:hAnsi="Arial"/>
          <w:b/>
          <w:bCs/>
          <w:color w:val="263849"/>
          <w:sz w:val="26"/>
          <w:szCs w:val="26"/>
        </w:rPr>
        <w:t xml:space="preserve">8.15.3 Two-lens metrics — build_metrics()</w:t>
      </w:r>
    </w:p>
    <w:p>
      <w:pPr>
        <w:pStyle w:val="ListParagraph"/>
        <w:numPr>
          <w:ilvl w:val="0"/>
          <w:numId w:val="2"/>
        </w:numPr>
        <w:spacing w:after="60"/>
      </w:pPr>
      <w:r>
        <w:rPr>
          <w:rFonts w:ascii="Arial" w:cs="Arial" w:eastAsia="Arial" w:hAnsi="Arial"/>
          <w:b/>
          <w:bCs/>
          <w:sz w:val="22"/>
          <w:szCs w:val="22"/>
        </w:rPr>
        <w:t xml:space="preserve">Lens 1 — CTA-consolidated headline: </w:t>
      </w:r>
      <w:r>
        <w:rPr>
          <w:rFonts w:ascii="Arial" w:cs="Arial" w:eastAsia="Arial" w:hAnsi="Arial"/>
          <w:sz w:val="22"/>
          <w:szCs w:val="22"/>
        </w:rPr>
        <w:t xml:space="preserve">senior_debt_total (rank 1 only), consolidated_debt_total (all ranks). Used for the contractual covenant ratios.</w:t>
      </w:r>
    </w:p>
    <w:p>
      <w:pPr>
        <w:pStyle w:val="ListParagraph"/>
        <w:numPr>
          <w:ilvl w:val="0"/>
          <w:numId w:val="2"/>
        </w:numPr>
        <w:spacing w:after="60"/>
      </w:pPr>
      <w:r>
        <w:rPr>
          <w:rFonts w:ascii="Arial" w:cs="Arial" w:eastAsia="Arial" w:hAnsi="Arial"/>
          <w:b/>
          <w:bCs/>
          <w:sz w:val="22"/>
          <w:szCs w:val="22"/>
        </w:rPr>
        <w:t xml:space="preserve">Lens 2 — Grossed-up consolidated-equivalent: </w:t>
      </w:r>
      <w:r>
        <w:rPr>
          <w:rFonts w:ascii="Arial" w:cs="Arial" w:eastAsia="Arial" w:hAnsi="Arial"/>
          <w:sz w:val="22"/>
          <w:szCs w:val="22"/>
        </w:rPr>
        <w:t xml:space="preserve">CTA + Σ grossed-up equivalents of pledged-share debts. Used for the economic through-pledge view.</w:t>
      </w:r>
    </w:p>
    <w:p>
      <w:pPr>
        <w:spacing w:after="140" w:line="280"/>
        <w:jc w:val="both"/>
      </w:pPr>
      <w:r>
        <w:rPr>
          <w:rFonts w:ascii="Arial" w:cs="Arial" w:eastAsia="Arial" w:hAnsi="Arial"/>
          <w:sz w:val="22"/>
          <w:szCs w:val="22"/>
        </w:rPr>
        <w:t xml:space="preserve">Each lens produces: senior_ltv_pct, consolidated_ltv_pct, grossed_up_equivalent_ltv_pct, consolidated_leverage_x, grossed_up_equivalent_leverage_x.</w:t>
      </w:r>
    </w:p>
    <w:p>
      <w:pPr>
        <w:pStyle w:val="Heading3"/>
        <w:spacing w:after="80" w:before="180"/>
      </w:pPr>
      <w:r>
        <w:rPr>
          <w:rFonts w:ascii="Arial" w:cs="Arial" w:eastAsia="Arial" w:hAnsi="Arial"/>
          <w:b/>
          <w:bCs/>
          <w:color w:val="263849"/>
          <w:sz w:val="26"/>
          <w:szCs w:val="26"/>
        </w:rPr>
        <w:t xml:space="preserve">8.15.4 change_of_control_coverage() — LTV on pledged shares</w:t>
      </w:r>
    </w:p>
    <w:p>
      <w:pPr>
        <w:spacing w:after="80"/>
      </w:pPr>
      <w:r>
        <w:rPr>
          <w:rFonts w:ascii="Consolas" w:cs="Consolas" w:eastAsia="Consolas" w:hAnsi="Consolas"/>
          <w:color w:val="444444"/>
          <w:sz w:val="20"/>
          <w:szCs w:val="20"/>
        </w:rPr>
        <w:t xml:space="preserve">face           = drawn_amount
pledged_value  = equity_value_at_pledge_level * (pledged_share_pct / 100)
ltv            = (face / pledged_value) * 100
if ltv &gt; 50:   status = "red"          # severe CoC risk
elif ltv &gt; 30: status = "amber"        # elevated
else:          status = "green"</w:t>
      </w:r>
    </w:p>
    <w:p>
      <w:pPr>
        <w:pStyle w:val="Heading3"/>
        <w:spacing w:after="80" w:before="180"/>
      </w:pPr>
      <w:r>
        <w:rPr>
          <w:rFonts w:ascii="Arial" w:cs="Arial" w:eastAsia="Arial" w:hAnsi="Arial"/>
          <w:b/>
          <w:bCs/>
          <w:color w:val="263849"/>
          <w:sz w:val="26"/>
          <w:szCs w:val="26"/>
        </w:rPr>
        <w:t xml:space="preserve">8.15.5 validate_capital_stack() — v9 additions</w:t>
      </w:r>
    </w:p>
    <w:p>
      <w:pPr>
        <w:pStyle w:val="ListParagraph"/>
        <w:numPr>
          <w:ilvl w:val="0"/>
          <w:numId w:val="2"/>
        </w:numPr>
        <w:spacing w:after="60"/>
      </w:pPr>
      <w:r>
        <w:rPr>
          <w:rFonts w:ascii="Arial" w:cs="Arial" w:eastAsia="Arial" w:hAnsi="Arial"/>
          <w:sz w:val="22"/>
          <w:szCs w:val="22"/>
        </w:rPr>
        <w:t xml:space="preserve">Missing enterprise_value → warn</w:t>
      </w:r>
    </w:p>
    <w:p>
      <w:pPr>
        <w:pStyle w:val="ListParagraph"/>
        <w:numPr>
          <w:ilvl w:val="0"/>
          <w:numId w:val="2"/>
        </w:numPr>
        <w:spacing w:after="60"/>
      </w:pPr>
      <w:r>
        <w:rPr>
          <w:rFonts w:ascii="Arial" w:cs="Arial" w:eastAsia="Arial" w:hAnsi="Arial"/>
          <w:sz w:val="22"/>
          <w:szCs w:val="22"/>
        </w:rPr>
        <w:t xml:space="preserve">Valuation date &gt; 12 months old → warn (stale)</w:t>
      </w:r>
    </w:p>
    <w:p>
      <w:pPr>
        <w:pStyle w:val="ListParagraph"/>
        <w:numPr>
          <w:ilvl w:val="0"/>
          <w:numId w:val="2"/>
        </w:numPr>
        <w:spacing w:after="60"/>
      </w:pPr>
      <w:r>
        <w:rPr>
          <w:rFonts w:ascii="Arial" w:cs="Arial" w:eastAsia="Arial" w:hAnsi="Arial"/>
          <w:sz w:val="22"/>
          <w:szCs w:val="22"/>
        </w:rPr>
        <w:t xml:space="preserve">Shareholder-level debt with no pledged_share_pct → warn</w:t>
      </w:r>
    </w:p>
    <w:p>
      <w:pPr>
        <w:pStyle w:val="ListParagraph"/>
        <w:numPr>
          <w:ilvl w:val="0"/>
          <w:numId w:val="2"/>
        </w:numPr>
        <w:spacing w:after="60"/>
      </w:pPr>
      <w:r>
        <w:rPr>
          <w:rFonts w:ascii="Arial" w:cs="Arial" w:eastAsia="Arial" w:hAnsi="Arial"/>
          <w:sz w:val="22"/>
          <w:szCs w:val="22"/>
        </w:rPr>
        <w:t xml:space="preserve">Shareholder-level debt with no pledged_share_entity → warn</w:t>
      </w:r>
    </w:p>
    <w:p>
      <w:pPr>
        <w:pStyle w:val="Heading3"/>
        <w:spacing w:after="80" w:before="180"/>
      </w:pPr>
      <w:r>
        <w:rPr>
          <w:rFonts w:ascii="Arial" w:cs="Arial" w:eastAsia="Arial" w:hAnsi="Arial"/>
          <w:b/>
          <w:bCs/>
          <w:color w:val="263849"/>
          <w:sz w:val="26"/>
          <w:szCs w:val="26"/>
        </w:rPr>
        <w:t xml:space="preserve">8.15.6 build_capital_stack(deal, instruments, entities, ev, ebitda) — the orchestrator</w:t>
      </w:r>
    </w:p>
    <w:p>
      <w:pPr>
        <w:spacing w:after="140" w:line="280"/>
        <w:jc w:val="both"/>
      </w:pPr>
      <w:r>
        <w:rPr>
          <w:rFonts w:ascii="Arial" w:cs="Arial" w:eastAsia="Arial" w:hAnsi="Arial"/>
          <w:sz w:val="22"/>
          <w:szCs w:val="22"/>
        </w:rPr>
        <w:t xml:space="preserve">Returns a StackView dict containing: valuation, layers, residual_equity, parallel_claims, metrics (two lenses), our_position (total_holding, dominant_rank, all_ranks_held, pledged_share_exposure, debt_senior_to_us, pari_passu_with_us_ex_our, subordinated_cushion, true_equity_cushion, total_cushion_below_us), change_of_control[], warnings[].</w:t>
      </w:r>
    </w:p>
    <w:p>
      <w:pPr>
        <w:pStyle w:val="Heading2"/>
        <w:spacing w:after="120" w:before="240"/>
      </w:pPr>
      <w:r>
        <w:rPr>
          <w:rFonts w:ascii="Arial" w:cs="Arial" w:eastAsia="Arial" w:hAnsi="Arial"/>
          <w:b/>
          <w:bCs/>
          <w:color w:val="263849"/>
          <w:sz w:val="30"/>
          <w:szCs w:val="30"/>
        </w:rPr>
        <w:t xml:space="preserve">8.16 FX Engine — convert_amount()</w:t>
      </w:r>
    </w:p>
    <w:p>
      <w:pPr>
        <w:spacing w:after="140" w:line="280"/>
        <w:jc w:val="both"/>
      </w:pPr>
      <w:r>
        <w:rPr>
          <w:rFonts w:ascii="Arial" w:cs="Arial" w:eastAsia="Arial" w:hAnsi="Arial"/>
          <w:sz w:val="22"/>
          <w:szCs w:val="22"/>
        </w:rPr>
        <w:t xml:space="preserve">Source: server/main.py line 119. EUR-base cross-rates, 60-second cache.</w:t>
      </w:r>
    </w:p>
    <w:p>
      <w:pPr>
        <w:spacing w:after="80"/>
      </w:pPr>
      <w:r>
        <w:rPr>
          <w:rFonts w:ascii="Consolas" w:cs="Consolas" w:eastAsia="Consolas" w:hAnsi="Consolas"/>
          <w:color w:val="444444"/>
          <w:sz w:val="20"/>
          <w:szCs w:val="20"/>
        </w:rPr>
        <w:t xml:space="preserve">def convert_amount(amount, from_ccy, to_ccy, rates=None, conn=None, as_of=None):
    if amount is None:                      return None
    if from_ccy == to_ccy or None in (from_ccy, to_ccy):
        return float(amount)
    if rates is None and conn is not None:
        rates = _load_fx_rates_for_date(conn, as_of or date.today())
    rate_from = rates.get(from_ccy)        # EUR per 1 from_ccy
    rate_to   = rates.get(to_ccy)
    if rate_from is None or rate_to is None: return None
    return float(amount) * (rate_to / rate_from)</w:t>
      </w:r>
    </w:p>
    <w:p>
      <w:pPr>
        <w:spacing w:after="140" w:line="280"/>
        <w:jc w:val="both"/>
      </w:pPr>
      <w:r>
        <w:rPr>
          <w:rFonts w:ascii="Arial" w:cs="Arial" w:eastAsia="Arial" w:hAnsi="Arial"/>
          <w:sz w:val="22"/>
          <w:szCs w:val="22"/>
        </w:rPr>
        <w:t xml:space="preserve">Cache: module-level _FX_CACHE + _FX_CACHE_LOADED_AT, 60-second TTL. All arithmetic to 5 decimal places per user direction. Base currency EUR.</w:t>
      </w:r>
    </w:p>
    <w:p>
      <w:pPr>
        <w:pStyle w:val="Heading2"/>
        <w:spacing w:after="120" w:before="240"/>
      </w:pPr>
      <w:r>
        <w:rPr>
          <w:rFonts w:ascii="Arial" w:cs="Arial" w:eastAsia="Arial" w:hAnsi="Arial"/>
          <w:b/>
          <w:bCs/>
          <w:color w:val="263849"/>
          <w:sz w:val="30"/>
          <w:szCs w:val="30"/>
        </w:rPr>
        <w:t xml:space="preserve">8.17 Forecast Refresh Impact Engine</w:t>
      </w:r>
    </w:p>
    <w:p>
      <w:pPr>
        <w:spacing w:after="140" w:line="280"/>
        <w:jc w:val="both"/>
      </w:pPr>
      <w:r>
        <w:rPr>
          <w:rFonts w:ascii="Arial" w:cs="Arial" w:eastAsia="Arial" w:hAnsi="Arial"/>
          <w:sz w:val="22"/>
          <w:szCs w:val="22"/>
        </w:rPr>
        <w:t xml:space="preserve">When a PM reforecasts (creates a new forecast_case_version), this engine diffs the new version against the prior active version period-by-period, line-by-line, and writes forecast_refresh_impacts rows. Feeds the "what changed" summary on the Deal Overview update card.</w:t>
      </w:r>
    </w:p>
    <w:p>
      <w:pPr>
        <w:pStyle w:val="Heading2"/>
        <w:spacing w:after="120" w:before="240"/>
      </w:pPr>
      <w:r>
        <w:rPr>
          <w:rFonts w:ascii="Arial" w:cs="Arial" w:eastAsia="Arial" w:hAnsi="Arial"/>
          <w:b/>
          <w:bCs/>
          <w:color w:val="263849"/>
          <w:sz w:val="30"/>
          <w:szCs w:val="30"/>
        </w:rPr>
        <w:t xml:space="preserve">8.18 Margin Ratchet Engine</w:t>
      </w:r>
    </w:p>
    <w:p>
      <w:pPr>
        <w:spacing w:after="140" w:line="280"/>
        <w:jc w:val="both"/>
      </w:pPr>
      <w:r>
        <w:rPr>
          <w:rFonts w:ascii="Arial" w:cs="Arial" w:eastAsia="Arial" w:hAnsi="Arial"/>
          <w:sz w:val="22"/>
          <w:szCs w:val="22"/>
        </w:rPr>
        <w:t xml:space="preserve">Evaluates every row in capital_structure_margin_ratchets against the latest covenant test or KPI observation and decides whether the ratchet step has fired.</w:t>
      </w:r>
    </w:p>
    <w:p>
      <w:pPr>
        <w:pStyle w:val="ListParagraph"/>
        <w:numPr>
          <w:ilvl w:val="0"/>
          <w:numId w:val="2"/>
        </w:numPr>
        <w:spacing w:after="60"/>
      </w:pPr>
      <w:r>
        <w:rPr>
          <w:rFonts w:ascii="Arial" w:cs="Arial" w:eastAsia="Arial" w:hAnsi="Arial"/>
          <w:sz w:val="22"/>
          <w:szCs w:val="22"/>
        </w:rPr>
        <w:t xml:space="preserve">Read: ratchet schedule rows, latest trigger-metric value, last active step.</w:t>
      </w:r>
    </w:p>
    <w:p>
      <w:pPr>
        <w:pStyle w:val="ListParagraph"/>
        <w:numPr>
          <w:ilvl w:val="0"/>
          <w:numId w:val="2"/>
        </w:numPr>
        <w:spacing w:after="60"/>
      </w:pPr>
      <w:r>
        <w:rPr>
          <w:rFonts w:ascii="Arial" w:cs="Arial" w:eastAsia="Arial" w:hAnsi="Arial"/>
          <w:sz w:val="22"/>
          <w:szCs w:val="22"/>
        </w:rPr>
        <w:t xml:space="preserve">Apply step logic with cure-period smoothing.</w:t>
      </w:r>
    </w:p>
    <w:p>
      <w:pPr>
        <w:pStyle w:val="ListParagraph"/>
        <w:numPr>
          <w:ilvl w:val="0"/>
          <w:numId w:val="2"/>
        </w:numPr>
        <w:spacing w:after="60"/>
      </w:pPr>
      <w:r>
        <w:rPr>
          <w:rFonts w:ascii="Arial" w:cs="Arial" w:eastAsia="Arial" w:hAnsi="Arial"/>
          <w:sz w:val="22"/>
          <w:szCs w:val="22"/>
        </w:rPr>
        <w:t xml:space="preserve">Write: capital_structure_margin_ratchet_history, new coupon_bps on the instrument.</w:t>
      </w:r>
    </w:p>
    <w:p>
      <w:pPr>
        <w:pStyle w:val="ListParagraph"/>
        <w:numPr>
          <w:ilvl w:val="0"/>
          <w:numId w:val="2"/>
        </w:numPr>
        <w:spacing w:after="60"/>
      </w:pPr>
      <w:r>
        <w:rPr>
          <w:rFonts w:ascii="Arial" w:cs="Arial" w:eastAsia="Arial" w:hAnsi="Arial"/>
          <w:sz w:val="22"/>
          <w:szCs w:val="22"/>
        </w:rPr>
        <w:t xml:space="preserve">Side-effect: WA Spread on the portfolio dashboard refreshes.</w:t>
      </w:r>
    </w:p>
    <w:p>
      <w:pPr>
        <w:pStyle w:val="ListParagraph"/>
        <w:numPr>
          <w:ilvl w:val="0"/>
          <w:numId w:val="2"/>
        </w:numPr>
        <w:spacing w:after="60"/>
      </w:pPr>
      <w:r>
        <w:rPr>
          <w:rFonts w:ascii="Arial" w:cs="Arial" w:eastAsia="Arial" w:hAnsi="Arial"/>
          <w:sz w:val="22"/>
          <w:szCs w:val="22"/>
        </w:rPr>
        <w:t xml:space="preserve">ratchet_kind values: 'base_margin' (absolute tiers, time- or covenant-triggered), 'esg_adjustment' (signed bps deltas on top of active tier).</w:t>
      </w:r>
    </w:p>
    <w:p>
      <w:pPr>
        <w:pStyle w:val="ListParagraph"/>
        <w:numPr>
          <w:ilvl w:val="0"/>
          <w:numId w:val="2"/>
        </w:numPr>
        <w:spacing w:after="60"/>
      </w:pPr>
      <w:r>
        <w:rPr>
          <w:rFonts w:ascii="Arial" w:cs="Arial" w:eastAsia="Arial" w:hAnsi="Arial"/>
          <w:sz w:val="22"/>
          <w:szCs w:val="22"/>
        </w:rPr>
        <w:t xml:space="preserve">adjustment_mode default: 'additive' for esg_adjustment, 'absolute' for base_margin.</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Full pseudocode for cure-period smoothing, back-to-back movement rules, and ESG SPT missed-year treatment is outstanding. What IS pinned: the schedule shape and defaults above.</w:t>
      </w:r>
    </w:p>
    <w:p>
      <w:pPr>
        <w:pStyle w:val="Heading2"/>
        <w:spacing w:after="120" w:before="240"/>
      </w:pPr>
      <w:r>
        <w:rPr>
          <w:rFonts w:ascii="Arial" w:cs="Arial" w:eastAsia="Arial" w:hAnsi="Arial"/>
          <w:b/>
          <w:bCs/>
          <w:color w:val="263849"/>
          <w:sz w:val="30"/>
          <w:szCs w:val="30"/>
        </w:rPr>
        <w:t xml:space="preserve">8.19 Audit-trail Evidence Linker</w:t>
      </w:r>
    </w:p>
    <w:p>
      <w:pPr>
        <w:spacing w:after="140" w:line="280"/>
        <w:jc w:val="both"/>
      </w:pPr>
      <w:r>
        <w:rPr>
          <w:rFonts w:ascii="Arial" w:cs="Arial" w:eastAsia="Arial" w:hAnsi="Arial"/>
          <w:sz w:val="22"/>
          <w:szCs w:val="22"/>
        </w:rPr>
        <w:t xml:space="preserve">After a commit, walks the committed proposals and writes topsheet_snapshot_field_citations — one row per changed field, pointing to source document_id + character offsets within the evidence passage. Powers the TopSheet audit ribbon.</w:t>
      </w:r>
    </w:p>
    <w:p>
      <w:pPr>
        <w:pStyle w:val="Heading2"/>
        <w:spacing w:after="120" w:before="240"/>
      </w:pPr>
      <w:r>
        <w:rPr>
          <w:rFonts w:ascii="Arial" w:cs="Arial" w:eastAsia="Arial" w:hAnsi="Arial"/>
          <w:b/>
          <w:bCs/>
          <w:color w:val="263849"/>
          <w:sz w:val="30"/>
          <w:szCs w:val="30"/>
        </w:rPr>
        <w:t xml:space="preserve">8.20 Testing &amp; reproducibility</w:t>
      </w:r>
    </w:p>
    <w:p>
      <w:pPr>
        <w:pStyle w:val="ListParagraph"/>
        <w:numPr>
          <w:ilvl w:val="0"/>
          <w:numId w:val="2"/>
        </w:numPr>
        <w:spacing w:after="60"/>
      </w:pPr>
      <w:r>
        <w:rPr>
          <w:rFonts w:ascii="Arial" w:cs="Arial" w:eastAsia="Arial" w:hAnsi="Arial"/>
          <w:sz w:val="22"/>
          <w:szCs w:val="22"/>
        </w:rPr>
        <w:t xml:space="preserve">Every engine has a pytest module under tests/. Re-runs on a frozen fixture DB.</w:t>
      </w:r>
    </w:p>
    <w:p>
      <w:pPr>
        <w:pStyle w:val="ListParagraph"/>
        <w:numPr>
          <w:ilvl w:val="0"/>
          <w:numId w:val="2"/>
        </w:numPr>
        <w:spacing w:after="60"/>
      </w:pPr>
      <w:r>
        <w:rPr>
          <w:rFonts w:ascii="Arial" w:cs="Arial" w:eastAsia="Arial" w:hAnsi="Arial"/>
          <w:sz w:val="22"/>
          <w:szCs w:val="22"/>
        </w:rPr>
        <w:t xml:space="preserve">Fixtures are gitignored but rebuildable via bin/db-rebuild.sh --reset.</w:t>
      </w:r>
    </w:p>
    <w:p>
      <w:pPr>
        <w:pStyle w:val="ListParagraph"/>
        <w:numPr>
          <w:ilvl w:val="0"/>
          <w:numId w:val="2"/>
        </w:numPr>
        <w:spacing w:after="60"/>
      </w:pPr>
      <w:r>
        <w:rPr>
          <w:rFonts w:ascii="Arial" w:cs="Arial" w:eastAsia="Arial" w:hAnsi="Arial"/>
          <w:sz w:val="22"/>
          <w:szCs w:val="22"/>
        </w:rPr>
        <w:t xml:space="preserve">Engine outputs are diffed against committed expected-values JSON in tests/expected/.</w:t>
      </w:r>
    </w:p>
    <w:p>
      <w:pPr>
        <w:pStyle w:val="ListParagraph"/>
        <w:numPr>
          <w:ilvl w:val="0"/>
          <w:numId w:val="2"/>
        </w:numPr>
        <w:spacing w:after="60"/>
      </w:pPr>
      <w:r>
        <w:rPr>
          <w:rFonts w:ascii="Arial" w:cs="Arial" w:eastAsia="Arial" w:hAnsi="Arial"/>
          <w:sz w:val="22"/>
          <w:szCs w:val="22"/>
        </w:rPr>
        <w:t xml:space="preserve">Capital Stack engine: tests/test_capital_stack.py — 50 assertions across 7 cases including Gatwick worked scenarios.</w:t>
      </w:r>
    </w:p>
    <w:p>
      <w:pPr>
        <w:pStyle w:val="Heading2"/>
        <w:spacing w:after="120" w:before="240"/>
      </w:pPr>
      <w:r>
        <w:rPr>
          <w:rFonts w:ascii="Arial" w:cs="Arial" w:eastAsia="Arial" w:hAnsi="Arial"/>
          <w:b/>
          <w:bCs/>
          <w:color w:val="263849"/>
          <w:sz w:val="30"/>
          <w:szCs w:val="30"/>
        </w:rPr>
        <w:t xml:space="preserve">8.21 Engine invocation endpoints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960"/>
      </w:tblGrid>
      <w:tr>
        <w:trPr>
          <w:tblHeader/>
        </w:trPr>
        <w:tc>
          <w:tcPr>
            <w:tcW w:type="dxa" w:w="3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Engine</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/api/deals/{slug}/analytics/compute-grade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run_assessment (grade_engine)</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/api/deals/{slug}/analytics/detect-trends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detect_trends (v5)</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/api/deals/{slug}/analytics/assess-distribution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assess_distribution</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/api/deals/{slug}/analytics/three-case-comparison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three_case_comparison</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/api/deals/{slug}/analytics/run-variance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 Engine</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/api/deals/{slug}/analytics/run-covenant-tests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 Testing Engine</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/api/deals/{slug}/analytics/risk-score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aggregation (read-only)</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/api/portfolio/analytics/risk-scores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Cross-portfolio risk aggregation</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/api/deals/{slug}/performance/compute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run_assessment + persist</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/api/portfolio/performance/compute-all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run_assessment × N deals</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/api/deals/{slug}/performance/override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HAM override (max +1 improvement, 6-month expiry)</w:t>
            </w:r>
          </w:p>
        </w:tc>
      </w:tr>
    </w:tbl>
    <w:p>
      <w:pPr>
        <w:pStyle w:val="Heading1"/>
        <w:pageBreakBefore/>
        <w:spacing w:after="180" w:before="240"/>
      </w:pPr>
      <w:r>
        <w:rPr>
          <w:rFonts w:ascii="Arial" w:cs="Arial" w:eastAsia="Arial" w:hAnsi="Arial"/>
          <w:b/>
          <w:bCs/>
          <w:color w:val="1F6FA5"/>
          <w:sz w:val="40"/>
          <w:szCs w:val="40"/>
        </w:rPr>
        <w:t xml:space="preserve">Part IX — Document intake and audit trail</w:t>
      </w:r>
    </w:p>
    <w:p>
      <w:pPr>
        <w:pStyle w:val="Heading2"/>
        <w:spacing w:after="120" w:before="240"/>
      </w:pPr>
      <w:r>
        <w:rPr>
          <w:rFonts w:ascii="Arial" w:cs="Arial" w:eastAsia="Arial" w:hAnsi="Arial"/>
          <w:b/>
          <w:bCs/>
          <w:color w:val="263849"/>
          <w:sz w:val="30"/>
          <w:szCs w:val="30"/>
        </w:rPr>
        <w:t xml:space="preserve">9.1 Purpose</w:t>
      </w:r>
    </w:p>
    <w:p>
      <w:pPr>
        <w:spacing w:after="140" w:line="280"/>
        <w:jc w:val="both"/>
      </w:pPr>
      <w:r>
        <w:rPr>
          <w:rFonts w:ascii="Arial" w:cs="Arial" w:eastAsia="Arial" w:hAnsi="Arial"/>
          <w:sz w:val="22"/>
          <w:szCs w:val="22"/>
        </w:rPr>
        <w:t xml:space="preserve">Every data change into the platform must originate from a source document. The intake pipeline turns an uploaded file into a set of proposed row-writes that an analyst reviews, edits, and commits. Commit is atomic; supersession is explicit; provenance is preserved.</w:t>
      </w:r>
    </w:p>
    <w:p>
      <w:pPr>
        <w:spacing w:after="140" w:line="280"/>
        <w:jc w:val="both"/>
      </w:pPr>
      <w:r>
        <w:rPr>
          <w:rFonts w:ascii="Arial" w:cs="Arial" w:eastAsia="Arial" w:hAnsi="Arial"/>
          <w:sz w:val="22"/>
          <w:szCs w:val="22"/>
        </w:rPr>
        <w:t xml:space="preserve">This design is deliberately human-in-the-loop: even when ML extractors reach high confidence, nothing writes to canonical deal tables until an analyst commits. That rule is what lets investors and regulators trace any on-platform number back to a source document and a named approver.</w:t>
      </w:r>
    </w:p>
    <w:p>
      <w:pPr>
        <w:pStyle w:val="Heading2"/>
        <w:spacing w:after="120" w:before="240"/>
      </w:pPr>
      <w:r>
        <w:rPr>
          <w:rFonts w:ascii="Arial" w:cs="Arial" w:eastAsia="Arial" w:hAnsi="Arial"/>
          <w:b/>
          <w:bCs/>
          <w:color w:val="263849"/>
          <w:sz w:val="30"/>
          <w:szCs w:val="30"/>
        </w:rPr>
        <w:t xml:space="preserve">9.2 Stages</w:t>
      </w:r>
    </w:p>
    <w:p>
      <w:pPr>
        <w:pStyle w:val="Heading3"/>
        <w:spacing w:after="80" w:before="180"/>
      </w:pPr>
      <w:r>
        <w:rPr>
          <w:rFonts w:ascii="Arial" w:cs="Arial" w:eastAsia="Arial" w:hAnsi="Arial"/>
          <w:b/>
          <w:bCs/>
          <w:color w:val="263849"/>
          <w:sz w:val="26"/>
          <w:szCs w:val="26"/>
        </w:rPr>
        <w:t xml:space="preserve">9.2.1 Upload</w:t>
      </w:r>
    </w:p>
    <w:p>
      <w:pPr>
        <w:pStyle w:val="ListParagraph"/>
        <w:numPr>
          <w:ilvl w:val="0"/>
          <w:numId w:val="2"/>
        </w:numPr>
        <w:spacing w:after="60"/>
      </w:pPr>
      <w:r>
        <w:rPr>
          <w:rFonts w:ascii="Arial" w:cs="Arial" w:eastAsia="Arial" w:hAnsi="Arial"/>
          <w:sz w:val="22"/>
          <w:szCs w:val="22"/>
        </w:rPr>
        <w:t xml:space="preserve">Endpoint: POST /api/documents/upload, multipart/form-data.</w:t>
      </w:r>
    </w:p>
    <w:p>
      <w:pPr>
        <w:pStyle w:val="ListParagraph"/>
        <w:numPr>
          <w:ilvl w:val="0"/>
          <w:numId w:val="2"/>
        </w:numPr>
        <w:spacing w:after="60"/>
      </w:pPr>
      <w:r>
        <w:rPr>
          <w:rFonts w:ascii="Arial" w:cs="Arial" w:eastAsia="Arial" w:hAnsi="Arial"/>
          <w:sz w:val="22"/>
          <w:szCs w:val="22"/>
        </w:rPr>
        <w:t xml:space="preserve">Writes incoming_documents (raw_bytes or object_store_key, filename, mime_type, uploaded_by, optional deal_slug).</w:t>
      </w:r>
    </w:p>
    <w:p>
      <w:pPr>
        <w:pStyle w:val="ListParagraph"/>
        <w:numPr>
          <w:ilvl w:val="0"/>
          <w:numId w:val="2"/>
        </w:numPr>
        <w:spacing w:after="60"/>
      </w:pPr>
      <w:r>
        <w:rPr>
          <w:rFonts w:ascii="Arial" w:cs="Arial" w:eastAsia="Arial" w:hAnsi="Arial"/>
          <w:sz w:val="22"/>
          <w:szCs w:val="22"/>
        </w:rPr>
        <w:t xml:space="preserve">Enqueues a document_processing_runs row with status='queued'.</w:t>
      </w:r>
    </w:p>
    <w:p>
      <w:pPr>
        <w:pStyle w:val="Heading3"/>
        <w:spacing w:after="80" w:before="180"/>
      </w:pPr>
      <w:r>
        <w:rPr>
          <w:rFonts w:ascii="Arial" w:cs="Arial" w:eastAsia="Arial" w:hAnsi="Arial"/>
          <w:b/>
          <w:bCs/>
          <w:color w:val="263849"/>
          <w:sz w:val="26"/>
          <w:szCs w:val="26"/>
        </w:rPr>
        <w:t xml:space="preserve">9.2.2 Classification</w:t>
      </w:r>
    </w:p>
    <w:p>
      <w:pPr>
        <w:spacing w:after="140" w:line="280"/>
        <w:jc w:val="both"/>
      </w:pPr>
      <w:r>
        <w:rPr>
          <w:rFonts w:ascii="Arial" w:cs="Arial" w:eastAsia="Arial" w:hAnsi="Arial"/>
          <w:sz w:val="22"/>
          <w:szCs w:val="22"/>
        </w:rPr>
        <w:t xml:space="preserve">The processing run first classifies the document:</w:t>
      </w:r>
    </w:p>
    <w:p>
      <w:pPr>
        <w:pStyle w:val="ListParagraph"/>
        <w:numPr>
          <w:ilvl w:val="0"/>
          <w:numId w:val="2"/>
        </w:numPr>
        <w:spacing w:after="60"/>
      </w:pPr>
      <w:r>
        <w:rPr>
          <w:rFonts w:ascii="Arial" w:cs="Arial" w:eastAsia="Arial" w:hAnsi="Arial"/>
          <w:sz w:val="22"/>
          <w:szCs w:val="22"/>
        </w:rPr>
        <w:t xml:space="preserve">topsheet_excel (v8/v9) — TopSheet importer path</w:t>
      </w:r>
    </w:p>
    <w:p>
      <w:pPr>
        <w:pStyle w:val="ListParagraph"/>
        <w:numPr>
          <w:ilvl w:val="0"/>
          <w:numId w:val="2"/>
        </w:numPr>
        <w:spacing w:after="60"/>
      </w:pPr>
      <w:r>
        <w:rPr>
          <w:rFonts w:ascii="Arial" w:cs="Arial" w:eastAsia="Arial" w:hAnsi="Arial"/>
          <w:sz w:val="22"/>
          <w:szCs w:val="22"/>
        </w:rPr>
        <w:t xml:space="preserve">financial_model — Excel sponsor model, openpyxl</w:t>
      </w:r>
    </w:p>
    <w:p>
      <w:pPr>
        <w:pStyle w:val="ListParagraph"/>
        <w:numPr>
          <w:ilvl w:val="0"/>
          <w:numId w:val="2"/>
        </w:numPr>
        <w:spacing w:after="60"/>
      </w:pPr>
      <w:r>
        <w:rPr>
          <w:rFonts w:ascii="Arial" w:cs="Arial" w:eastAsia="Arial" w:hAnsi="Arial"/>
          <w:sz w:val="22"/>
          <w:szCs w:val="22"/>
        </w:rPr>
        <w:t xml:space="preserve">quarterly_report — PDF, free-text + tables</w:t>
      </w:r>
    </w:p>
    <w:p>
      <w:pPr>
        <w:pStyle w:val="ListParagraph"/>
        <w:numPr>
          <w:ilvl w:val="0"/>
          <w:numId w:val="2"/>
        </w:numPr>
        <w:spacing w:after="60"/>
      </w:pPr>
      <w:r>
        <w:rPr>
          <w:rFonts w:ascii="Arial" w:cs="Arial" w:eastAsia="Arial" w:hAnsi="Arial"/>
          <w:sz w:val="22"/>
          <w:szCs w:val="22"/>
        </w:rPr>
        <w:t xml:space="preserve">compliance_certificate — PDF or Word covenant attestation</w:t>
      </w:r>
    </w:p>
    <w:p>
      <w:pPr>
        <w:pStyle w:val="ListParagraph"/>
        <w:numPr>
          <w:ilvl w:val="0"/>
          <w:numId w:val="2"/>
        </w:numPr>
        <w:spacing w:after="60"/>
      </w:pPr>
      <w:r>
        <w:rPr>
          <w:rFonts w:ascii="Arial" w:cs="Arial" w:eastAsia="Arial" w:hAnsi="Arial"/>
          <w:sz w:val="22"/>
          <w:szCs w:val="22"/>
        </w:rPr>
        <w:t xml:space="preserve">amendment_letter — PDF or Word; feeds deal_amendments</w:t>
      </w:r>
    </w:p>
    <w:p>
      <w:pPr>
        <w:pStyle w:val="ListParagraph"/>
        <w:numPr>
          <w:ilvl w:val="0"/>
          <w:numId w:val="2"/>
        </w:numPr>
        <w:spacing w:after="60"/>
      </w:pPr>
      <w:r>
        <w:rPr>
          <w:rFonts w:ascii="Arial" w:cs="Arial" w:eastAsia="Arial" w:hAnsi="Arial"/>
          <w:sz w:val="22"/>
          <w:szCs w:val="22"/>
        </w:rPr>
        <w:t xml:space="preserve">side_letter — PDF; consent conditions</w:t>
      </w:r>
    </w:p>
    <w:p>
      <w:pPr>
        <w:pStyle w:val="ListParagraph"/>
        <w:numPr>
          <w:ilvl w:val="0"/>
          <w:numId w:val="2"/>
        </w:numPr>
        <w:spacing w:after="60"/>
      </w:pPr>
      <w:r>
        <w:rPr>
          <w:rFonts w:ascii="Arial" w:cs="Arial" w:eastAsia="Arial" w:hAnsi="Arial"/>
          <w:sz w:val="22"/>
          <w:szCs w:val="22"/>
        </w:rPr>
        <w:t xml:space="preserve">other — manual-only; empty proposals for analyst hand-entry</w:t>
      </w:r>
    </w:p>
    <w:p>
      <w:pPr>
        <w:pStyle w:val="Heading3"/>
        <w:spacing w:after="80" w:before="180"/>
      </w:pPr>
      <w:r>
        <w:rPr>
          <w:rFonts w:ascii="Arial" w:cs="Arial" w:eastAsia="Arial" w:hAnsi="Arial"/>
          <w:b/>
          <w:bCs/>
          <w:color w:val="263849"/>
          <w:sz w:val="26"/>
          <w:szCs w:val="26"/>
        </w:rPr>
        <w:t xml:space="preserve">9.2.3 Extraction</w:t>
      </w:r>
    </w:p>
    <w:p>
      <w:pPr>
        <w:spacing w:after="140" w:line="280"/>
        <w:jc w:val="both"/>
      </w:pPr>
      <w:r>
        <w:rPr>
          <w:rFonts w:ascii="Arial" w:cs="Arial" w:eastAsia="Arial" w:hAnsi="Arial"/>
          <w:sz w:val="22"/>
          <w:szCs w:val="22"/>
        </w:rPr>
        <w:t xml:space="preserve">Type-specific extractors produce structured proposals. Each proposal row carries:</w:t>
      </w:r>
    </w:p>
    <w:p>
      <w:pPr>
        <w:pStyle w:val="ListParagraph"/>
        <w:numPr>
          <w:ilvl w:val="0"/>
          <w:numId w:val="2"/>
        </w:numPr>
        <w:spacing w:after="60"/>
      </w:pPr>
      <w:r>
        <w:rPr>
          <w:rFonts w:ascii="Arial" w:cs="Arial" w:eastAsia="Arial" w:hAnsi="Arial"/>
          <w:sz w:val="22"/>
          <w:szCs w:val="22"/>
        </w:rPr>
        <w:t xml:space="preserve">target_table — the deal-scoped table to write to</w:t>
      </w:r>
    </w:p>
    <w:p>
      <w:pPr>
        <w:pStyle w:val="ListParagraph"/>
        <w:numPr>
          <w:ilvl w:val="0"/>
          <w:numId w:val="2"/>
        </w:numPr>
        <w:spacing w:after="60"/>
      </w:pPr>
      <w:r>
        <w:rPr>
          <w:rFonts w:ascii="Arial" w:cs="Arial" w:eastAsia="Arial" w:hAnsi="Arial"/>
          <w:sz w:val="22"/>
          <w:szCs w:val="22"/>
        </w:rPr>
        <w:t xml:space="preserve">target_pk — natural key of the row (e.g. (deal_id, period_id, line_key))</w:t>
      </w:r>
    </w:p>
    <w:p>
      <w:pPr>
        <w:pStyle w:val="ListParagraph"/>
        <w:numPr>
          <w:ilvl w:val="0"/>
          <w:numId w:val="2"/>
        </w:numPr>
        <w:spacing w:after="60"/>
      </w:pPr>
      <w:r>
        <w:rPr>
          <w:rFonts w:ascii="Arial" w:cs="Arial" w:eastAsia="Arial" w:hAnsi="Arial"/>
          <w:sz w:val="22"/>
          <w:szCs w:val="22"/>
        </w:rPr>
        <w:t xml:space="preserve">field_changes — {field, old_value, new_value, confidence, evidence_citation}</w:t>
      </w:r>
    </w:p>
    <w:p>
      <w:pPr>
        <w:pStyle w:val="ListParagraph"/>
        <w:numPr>
          <w:ilvl w:val="0"/>
          <w:numId w:val="2"/>
        </w:numPr>
        <w:spacing w:after="60"/>
      </w:pPr>
      <w:r>
        <w:rPr>
          <w:rFonts w:ascii="Arial" w:cs="Arial" w:eastAsia="Arial" w:hAnsi="Arial"/>
          <w:sz w:val="22"/>
          <w:szCs w:val="22"/>
        </w:rPr>
        <w:t xml:space="preserve">supersedes — optional document_id whose rows this proposal replaces</w:t>
      </w:r>
    </w:p>
    <w:p>
      <w:pPr>
        <w:pStyle w:val="ListParagraph"/>
        <w:numPr>
          <w:ilvl w:val="0"/>
          <w:numId w:val="2"/>
        </w:numPr>
        <w:spacing w:after="60"/>
      </w:pPr>
      <w:r>
        <w:rPr>
          <w:rFonts w:ascii="Arial" w:cs="Arial" w:eastAsia="Arial" w:hAnsi="Arial"/>
          <w:sz w:val="22"/>
          <w:szCs w:val="22"/>
        </w:rPr>
        <w:t xml:space="preserve">ai_audit_log_id — link to ai_audit_logs for AI-assisted extractions</w:t>
      </w:r>
    </w:p>
    <w:p>
      <w:pPr>
        <w:pStyle w:val="Heading3"/>
        <w:spacing w:after="80" w:before="180"/>
      </w:pPr>
      <w:r>
        <w:rPr>
          <w:rFonts w:ascii="Arial" w:cs="Arial" w:eastAsia="Arial" w:hAnsi="Arial"/>
          <w:b/>
          <w:bCs/>
          <w:color w:val="263849"/>
          <w:sz w:val="26"/>
          <w:szCs w:val="26"/>
        </w:rPr>
        <w:t xml:space="preserve">9.2.4 Review</w:t>
      </w:r>
    </w:p>
    <w:p>
      <w:pPr>
        <w:spacing w:after="140" w:line="280"/>
        <w:jc w:val="both"/>
      </w:pPr>
      <w:r>
        <w:rPr>
          <w:rFonts w:ascii="Arial" w:cs="Arial" w:eastAsia="Arial" w:hAnsi="Arial"/>
          <w:sz w:val="22"/>
          <w:szCs w:val="22"/>
        </w:rPr>
        <w:t xml:space="preserve">Analyst opens /documents/{id}/proposals. Each proposal rendered as a diff card:</w:t>
      </w:r>
    </w:p>
    <w:p>
      <w:pPr>
        <w:pStyle w:val="ListParagraph"/>
        <w:numPr>
          <w:ilvl w:val="0"/>
          <w:numId w:val="2"/>
        </w:numPr>
        <w:spacing w:after="60"/>
      </w:pPr>
      <w:r>
        <w:rPr>
          <w:rFonts w:ascii="Arial" w:cs="Arial" w:eastAsia="Arial" w:hAnsi="Arial"/>
          <w:sz w:val="22"/>
          <w:szCs w:val="22"/>
        </w:rPr>
        <w:t xml:space="preserve">Left: existing row in target table</w:t>
      </w:r>
    </w:p>
    <w:p>
      <w:pPr>
        <w:pStyle w:val="ListParagraph"/>
        <w:numPr>
          <w:ilvl w:val="0"/>
          <w:numId w:val="2"/>
        </w:numPr>
        <w:spacing w:after="60"/>
      </w:pPr>
      <w:r>
        <w:rPr>
          <w:rFonts w:ascii="Arial" w:cs="Arial" w:eastAsia="Arial" w:hAnsi="Arial"/>
          <w:sz w:val="22"/>
          <w:szCs w:val="22"/>
        </w:rPr>
        <w:t xml:space="preserve">Middle: proposed new values with per-field confidence badge</w:t>
      </w:r>
    </w:p>
    <w:p>
      <w:pPr>
        <w:pStyle w:val="ListParagraph"/>
        <w:numPr>
          <w:ilvl w:val="0"/>
          <w:numId w:val="2"/>
        </w:numPr>
        <w:spacing w:after="60"/>
      </w:pPr>
      <w:r>
        <w:rPr>
          <w:rFonts w:ascii="Arial" w:cs="Arial" w:eastAsia="Arial" w:hAnsi="Arial"/>
          <w:sz w:val="22"/>
          <w:szCs w:val="22"/>
        </w:rPr>
        <w:t xml:space="preserve">Right: evidence passage from source document, highlighted at offsets</w:t>
      </w:r>
    </w:p>
    <w:p>
      <w:pPr>
        <w:pStyle w:val="ListParagraph"/>
        <w:numPr>
          <w:ilvl w:val="0"/>
          <w:numId w:val="2"/>
        </w:numPr>
        <w:spacing w:after="60"/>
      </w:pPr>
      <w:r>
        <w:rPr>
          <w:rFonts w:ascii="Arial" w:cs="Arial" w:eastAsia="Arial" w:hAnsi="Arial"/>
          <w:sz w:val="22"/>
          <w:szCs w:val="22"/>
        </w:rPr>
        <w:t xml:space="preserve">Analyst can override any field, reject individual proposals, or approve the set</w:t>
      </w:r>
    </w:p>
    <w:p>
      <w:pPr>
        <w:pStyle w:val="Heading3"/>
        <w:spacing w:after="80" w:before="180"/>
      </w:pPr>
      <w:r>
        <w:rPr>
          <w:rFonts w:ascii="Arial" w:cs="Arial" w:eastAsia="Arial" w:hAnsi="Arial"/>
          <w:b/>
          <w:bCs/>
          <w:color w:val="263849"/>
          <w:sz w:val="26"/>
          <w:szCs w:val="26"/>
        </w:rPr>
        <w:t xml:space="preserve">9.2.5 Commit</w:t>
      </w:r>
    </w:p>
    <w:p>
      <w:pPr>
        <w:spacing w:after="140" w:line="280"/>
        <w:jc w:val="both"/>
      </w:pPr>
      <w:r>
        <w:rPr>
          <w:rFonts w:ascii="Arial" w:cs="Arial" w:eastAsia="Arial" w:hAnsi="Arial"/>
          <w:sz w:val="22"/>
          <w:szCs w:val="22"/>
        </w:rPr>
        <w:t xml:space="preserve">POST /api/documents/{id}/commit runs atomically inside one transaction:</w:t>
      </w:r>
    </w:p>
    <w:p>
      <w:pPr>
        <w:pStyle w:val="ListParagraph"/>
        <w:numPr>
          <w:ilvl w:val="0"/>
          <w:numId w:val="2"/>
        </w:numPr>
        <w:spacing w:after="60"/>
      </w:pPr>
      <w:r>
        <w:rPr>
          <w:rFonts w:ascii="Arial" w:cs="Arial" w:eastAsia="Arial" w:hAnsi="Arial"/>
          <w:sz w:val="22"/>
          <w:szCs w:val="22"/>
        </w:rPr>
        <w:t xml:space="preserve">Insert/update target rows with source_* five-column provenance</w:t>
      </w:r>
    </w:p>
    <w:p>
      <w:pPr>
        <w:pStyle w:val="ListParagraph"/>
        <w:numPr>
          <w:ilvl w:val="0"/>
          <w:numId w:val="2"/>
        </w:numPr>
        <w:spacing w:after="60"/>
      </w:pPr>
      <w:r>
        <w:rPr>
          <w:rFonts w:ascii="Arial" w:cs="Arial" w:eastAsia="Arial" w:hAnsi="Arial"/>
          <w:sz w:val="22"/>
          <w:szCs w:val="22"/>
        </w:rPr>
        <w:t xml:space="preserve">Mark superseded rows via document_supersessions</w:t>
      </w:r>
    </w:p>
    <w:p>
      <w:pPr>
        <w:pStyle w:val="ListParagraph"/>
        <w:numPr>
          <w:ilvl w:val="0"/>
          <w:numId w:val="2"/>
        </w:numPr>
        <w:spacing w:after="60"/>
      </w:pPr>
      <w:r>
        <w:rPr>
          <w:rFonts w:ascii="Arial" w:cs="Arial" w:eastAsia="Arial" w:hAnsi="Arial"/>
          <w:sz w:val="22"/>
          <w:szCs w:val="22"/>
        </w:rPr>
        <w:t xml:space="preserve">Write topsheet_snapshot_provenance + topsheet_snapshot_field_citations</w:t>
      </w:r>
    </w:p>
    <w:p>
      <w:pPr>
        <w:pStyle w:val="ListParagraph"/>
        <w:numPr>
          <w:ilvl w:val="0"/>
          <w:numId w:val="2"/>
        </w:numPr>
        <w:spacing w:after="60"/>
      </w:pPr>
      <w:r>
        <w:rPr>
          <w:rFonts w:ascii="Arial" w:cs="Arial" w:eastAsia="Arial" w:hAnsi="Arial"/>
          <w:sz w:val="22"/>
          <w:szCs w:val="22"/>
        </w:rPr>
        <w:t xml:space="preserve">Fire downstream engines (Grade, Variance, Covenant, Distribution, Trend)</w:t>
      </w:r>
    </w:p>
    <w:p>
      <w:pPr>
        <w:pStyle w:val="ListParagraph"/>
        <w:numPr>
          <w:ilvl w:val="0"/>
          <w:numId w:val="2"/>
        </w:numPr>
        <w:spacing w:after="60"/>
      </w:pPr>
      <w:r>
        <w:rPr>
          <w:rFonts w:ascii="Arial" w:cs="Arial" w:eastAsia="Arial" w:hAnsi="Arial"/>
          <w:sz w:val="22"/>
          <w:szCs w:val="22"/>
        </w:rPr>
        <w:t xml:space="preserve">Emit activity_events + compliance_alerts where engines produced new breaches</w:t>
      </w:r>
    </w:p>
    <w:p>
      <w:pPr>
        <w:pStyle w:val="ListParagraph"/>
        <w:numPr>
          <w:ilvl w:val="0"/>
          <w:numId w:val="2"/>
        </w:numPr>
        <w:spacing w:after="60"/>
      </w:pPr>
      <w:r>
        <w:rPr>
          <w:rFonts w:ascii="Arial" w:cs="Arial" w:eastAsia="Arial" w:hAnsi="Arial"/>
          <w:sz w:val="22"/>
          <w:szCs w:val="22"/>
        </w:rPr>
        <w:t xml:space="preserve">Flip incoming_documents.status to 'committed'; documents.status to 'active'</w:t>
      </w:r>
    </w:p>
    <w:p>
      <w:pPr>
        <w:pStyle w:val="Heading3"/>
        <w:spacing w:after="80" w:before="180"/>
      </w:pPr>
      <w:r>
        <w:rPr>
          <w:rFonts w:ascii="Arial" w:cs="Arial" w:eastAsia="Arial" w:hAnsi="Arial"/>
          <w:b/>
          <w:bCs/>
          <w:color w:val="263849"/>
          <w:sz w:val="26"/>
          <w:szCs w:val="26"/>
        </w:rPr>
        <w:t xml:space="preserve">9.2.6 Reject</w:t>
      </w:r>
    </w:p>
    <w:p>
      <w:pPr>
        <w:spacing w:after="140" w:line="280"/>
        <w:jc w:val="both"/>
      </w:pPr>
      <w:r>
        <w:rPr>
          <w:rFonts w:ascii="Arial" w:cs="Arial" w:eastAsia="Arial" w:hAnsi="Arial"/>
          <w:sz w:val="22"/>
          <w:szCs w:val="22"/>
        </w:rPr>
        <w:t xml:space="preserve">POST /api/documents/{id}/reject marks the run rejected with reason. No writes beyond status flip; original incoming_documents remains queryable.</w:t>
      </w:r>
    </w:p>
    <w:p>
      <w:pPr>
        <w:pStyle w:val="Heading2"/>
        <w:spacing w:after="120" w:before="240"/>
      </w:pPr>
      <w:r>
        <w:rPr>
          <w:rFonts w:ascii="Arial" w:cs="Arial" w:eastAsia="Arial" w:hAnsi="Arial"/>
          <w:b/>
          <w:bCs/>
          <w:color w:val="263849"/>
          <w:sz w:val="30"/>
          <w:szCs w:val="30"/>
        </w:rPr>
        <w:t xml:space="preserve">9.3 Audit-trail scaffolding</w:t>
      </w:r>
    </w:p>
    <w:p>
      <w:pPr>
        <w:spacing w:after="140" w:line="280"/>
        <w:jc w:val="both"/>
      </w:pPr>
      <w:r>
        <w:rPr>
          <w:rFonts w:ascii="Arial" w:cs="Arial" w:eastAsia="Arial" w:hAnsi="Arial"/>
          <w:sz w:val="22"/>
          <w:szCs w:val="22"/>
        </w:rPr>
        <w:t xml:space="preserve">Every deal-scoped table carries a five-column source_* block. 17 tables retrofitted; new tables must include by default.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Meaning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FK into documents.id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source_page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1-indexed page or sheet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source_citation_offsets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 {char_start, char_end} for text or {sheet, cell_start, cell_end} for spreadsheets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source_confidence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0.0–1.0. NULL for human-entered rows. 1.0 for structured extraction.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source_extractor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'human' | 'topsheet_importer_v9' | 'pdf_financial_model_v2' | ...</w:t>
            </w:r>
          </w:p>
        </w:tc>
      </w:tr>
    </w:tbl>
    <w:p>
      <w:pPr>
        <w:spacing w:after="140" w:line="280"/>
        <w:jc w:val="both"/>
      </w:pPr>
      <w:r>
        <w:rPr>
          <w:rFonts w:ascii="Arial" w:cs="Arial" w:eastAsia="Arial" w:hAnsi="Arial"/>
          <w:sz w:val="22"/>
          <w:szCs w:val="22"/>
        </w:rPr>
        <w:t xml:space="preserve">At snapshot time, topsheet_snapshot_field_citations pins a frozen pointer to every field's source at that moment — producing a time-stable audit trail even as underlying documents are superseded.</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Precise semantics of each source_* column as written by each extractor type — e.g. does topsheet_importer set source_confidence=1.0 always, or does it carry through confidence values from in-template formulas — is outstanding. Flag as TBD.</w:t>
      </w:r>
    </w:p>
    <w:p>
      <w:pPr>
        <w:pStyle w:val="Heading2"/>
        <w:spacing w:after="120" w:before="240"/>
      </w:pPr>
      <w:r>
        <w:rPr>
          <w:rFonts w:ascii="Arial" w:cs="Arial" w:eastAsia="Arial" w:hAnsi="Arial"/>
          <w:b/>
          <w:bCs/>
          <w:color w:val="263849"/>
          <w:sz w:val="30"/>
          <w:szCs w:val="30"/>
        </w:rPr>
        <w:t xml:space="preserve">9.4 Extractors</w:t>
      </w:r>
    </w:p>
    <w:p>
      <w:pPr>
        <w:pStyle w:val="Heading3"/>
        <w:spacing w:after="80" w:before="180"/>
      </w:pPr>
      <w:r>
        <w:rPr>
          <w:rFonts w:ascii="Arial" w:cs="Arial" w:eastAsia="Arial" w:hAnsi="Arial"/>
          <w:b/>
          <w:bCs/>
          <w:color w:val="263849"/>
          <w:sz w:val="26"/>
          <w:szCs w:val="26"/>
        </w:rPr>
        <w:t xml:space="preserve">9.4.1 TopSheet importer</w:t>
      </w:r>
    </w:p>
    <w:p>
      <w:pPr>
        <w:pStyle w:val="ListParagraph"/>
        <w:numPr>
          <w:ilvl w:val="0"/>
          <w:numId w:val="2"/>
        </w:numPr>
        <w:spacing w:after="60"/>
      </w:pPr>
      <w:r>
        <w:rPr>
          <w:rFonts w:ascii="Arial" w:cs="Arial" w:eastAsia="Arial" w:hAnsi="Arial"/>
          <w:sz w:val="22"/>
          <w:szCs w:val="22"/>
        </w:rPr>
        <w:t xml:space="preserve">server/topsheet_importer.py, uses openpyxl</w:t>
      </w:r>
    </w:p>
    <w:p>
      <w:pPr>
        <w:pStyle w:val="ListParagraph"/>
        <w:numPr>
          <w:ilvl w:val="0"/>
          <w:numId w:val="2"/>
        </w:numPr>
        <w:spacing w:after="60"/>
      </w:pPr>
      <w:r>
        <w:rPr>
          <w:rFonts w:ascii="Arial" w:cs="Arial" w:eastAsia="Arial" w:hAnsi="Arial"/>
          <w:sz w:val="22"/>
          <w:szCs w:val="22"/>
        </w:rPr>
        <w:t xml:space="preserve">Validates every tab against v8/v9 contract</w:t>
      </w:r>
    </w:p>
    <w:p>
      <w:pPr>
        <w:pStyle w:val="ListParagraph"/>
        <w:numPr>
          <w:ilvl w:val="0"/>
          <w:numId w:val="2"/>
        </w:numPr>
        <w:spacing w:after="60"/>
      </w:pPr>
      <w:r>
        <w:rPr>
          <w:rFonts w:ascii="Arial" w:cs="Arial" w:eastAsia="Arial" w:hAnsi="Arial"/>
          <w:sz w:val="22"/>
          <w:szCs w:val="22"/>
        </w:rPr>
        <w:t xml:space="preserve">source_confidence = 1.0 (structured data)</w:t>
      </w:r>
    </w:p>
    <w:p>
      <w:pPr>
        <w:pStyle w:val="ListParagraph"/>
        <w:numPr>
          <w:ilvl w:val="0"/>
          <w:numId w:val="2"/>
        </w:numPr>
        <w:spacing w:after="60"/>
      </w:pPr>
      <w:r>
        <w:rPr>
          <w:rFonts w:ascii="Arial" w:cs="Arial" w:eastAsia="Arial" w:hAnsi="Arial"/>
          <w:sz w:val="22"/>
          <w:szCs w:val="22"/>
        </w:rPr>
        <w:t xml:space="preserve">source_extractor = 'topsheet_importer_v9'</w:t>
      </w:r>
    </w:p>
    <w:p>
      <w:pPr>
        <w:pStyle w:val="Heading3"/>
        <w:spacing w:after="80" w:before="180"/>
      </w:pPr>
      <w:r>
        <w:rPr>
          <w:rFonts w:ascii="Arial" w:cs="Arial" w:eastAsia="Arial" w:hAnsi="Arial"/>
          <w:b/>
          <w:bCs/>
          <w:color w:val="263849"/>
          <w:sz w:val="26"/>
          <w:szCs w:val="26"/>
        </w:rPr>
        <w:t xml:space="preserve">9.4.2 Financial model reader</w:t>
      </w:r>
    </w:p>
    <w:p>
      <w:pPr>
        <w:pStyle w:val="ListParagraph"/>
        <w:numPr>
          <w:ilvl w:val="0"/>
          <w:numId w:val="2"/>
        </w:numPr>
        <w:spacing w:after="60"/>
      </w:pPr>
      <w:r>
        <w:rPr>
          <w:rFonts w:ascii="Arial" w:cs="Arial" w:eastAsia="Arial" w:hAnsi="Arial"/>
          <w:sz w:val="22"/>
          <w:szCs w:val="22"/>
        </w:rPr>
        <w:t xml:space="preserve">Opens named ranges and standard sheet names (Cashflow, Summary, Covenants)</w:t>
      </w:r>
    </w:p>
    <w:p>
      <w:pPr>
        <w:pStyle w:val="ListParagraph"/>
        <w:numPr>
          <w:ilvl w:val="0"/>
          <w:numId w:val="2"/>
        </w:numPr>
        <w:spacing w:after="60"/>
      </w:pPr>
      <w:r>
        <w:rPr>
          <w:rFonts w:ascii="Arial" w:cs="Arial" w:eastAsia="Arial" w:hAnsi="Arial"/>
          <w:sz w:val="22"/>
          <w:szCs w:val="22"/>
        </w:rPr>
        <w:t xml:space="preserve">Writes forecast_period_items proposals scoped to a forecast_case_version</w:t>
      </w:r>
    </w:p>
    <w:p>
      <w:pPr>
        <w:pStyle w:val="ListParagraph"/>
        <w:numPr>
          <w:ilvl w:val="0"/>
          <w:numId w:val="2"/>
        </w:numPr>
        <w:spacing w:after="60"/>
      </w:pPr>
      <w:r>
        <w:rPr>
          <w:rFonts w:ascii="Arial" w:cs="Arial" w:eastAsia="Arial" w:hAnsi="Arial"/>
          <w:sz w:val="22"/>
          <w:szCs w:val="22"/>
        </w:rPr>
        <w:t xml:space="preserve">Pairs with a forecast_model_metadata row</w:t>
      </w:r>
    </w:p>
    <w:p>
      <w:pPr>
        <w:pStyle w:val="Heading3"/>
        <w:spacing w:after="80" w:before="180"/>
      </w:pPr>
      <w:r>
        <w:rPr>
          <w:rFonts w:ascii="Arial" w:cs="Arial" w:eastAsia="Arial" w:hAnsi="Arial"/>
          <w:b/>
          <w:bCs/>
          <w:color w:val="263849"/>
          <w:sz w:val="26"/>
          <w:szCs w:val="26"/>
        </w:rPr>
        <w:t xml:space="preserve">9.4.3 Quarterly report parser</w:t>
      </w:r>
    </w:p>
    <w:p>
      <w:pPr>
        <w:pStyle w:val="ListParagraph"/>
        <w:numPr>
          <w:ilvl w:val="0"/>
          <w:numId w:val="2"/>
        </w:numPr>
        <w:spacing w:after="60"/>
      </w:pPr>
      <w:r>
        <w:rPr>
          <w:rFonts w:ascii="Arial" w:cs="Arial" w:eastAsia="Arial" w:hAnsi="Arial"/>
          <w:sz w:val="22"/>
          <w:szCs w:val="22"/>
        </w:rPr>
        <w:t xml:space="preserve">Partial: PDF tables via Camelot</w:t>
      </w:r>
    </w:p>
    <w:p>
      <w:pPr>
        <w:pStyle w:val="ListParagraph"/>
        <w:numPr>
          <w:ilvl w:val="0"/>
          <w:numId w:val="2"/>
        </w:numPr>
        <w:spacing w:after="60"/>
      </w:pPr>
      <w:r>
        <w:rPr>
          <w:rFonts w:ascii="Arial" w:cs="Arial" w:eastAsia="Arial" w:hAnsi="Arial"/>
          <w:sz w:val="22"/>
          <w:szCs w:val="22"/>
        </w:rPr>
        <w:t xml:space="preserve">Free-text covenant attestations via regex</w:t>
      </w:r>
    </w:p>
    <w:p>
      <w:pPr>
        <w:pStyle w:val="ListParagraph"/>
        <w:numPr>
          <w:ilvl w:val="0"/>
          <w:numId w:val="2"/>
        </w:numPr>
        <w:spacing w:after="60"/>
      </w:pPr>
      <w:r>
        <w:rPr>
          <w:rFonts w:ascii="Arial" w:cs="Arial" w:eastAsia="Arial" w:hAnsi="Arial"/>
          <w:sz w:val="22"/>
          <w:szCs w:val="22"/>
        </w:rPr>
        <w:t xml:space="preserve">Commentary fed as metadata to ai_audit_logs for analyst reference</w:t>
      </w:r>
    </w:p>
    <w:p>
      <w:pPr>
        <w:pStyle w:val="Heading3"/>
        <w:spacing w:after="80" w:before="180"/>
      </w:pPr>
      <w:r>
        <w:rPr>
          <w:rFonts w:ascii="Arial" w:cs="Arial" w:eastAsia="Arial" w:hAnsi="Arial"/>
          <w:b/>
          <w:bCs/>
          <w:color w:val="263849"/>
          <w:sz w:val="26"/>
          <w:szCs w:val="26"/>
        </w:rPr>
        <w:t xml:space="preserve">9.4.4 Compliance certificate parser</w:t>
      </w:r>
    </w:p>
    <w:p>
      <w:pPr>
        <w:pStyle w:val="ListParagraph"/>
        <w:numPr>
          <w:ilvl w:val="0"/>
          <w:numId w:val="2"/>
        </w:numPr>
        <w:spacing w:after="60"/>
      </w:pPr>
      <w:r>
        <w:rPr>
          <w:rFonts w:ascii="Arial" w:cs="Arial" w:eastAsia="Arial" w:hAnsi="Arial"/>
          <w:sz w:val="22"/>
          <w:szCs w:val="22"/>
        </w:rPr>
        <w:t xml:space="preserve">Scans for covenant-metric keywords + computed values</w:t>
      </w:r>
    </w:p>
    <w:p>
      <w:pPr>
        <w:pStyle w:val="ListParagraph"/>
        <w:numPr>
          <w:ilvl w:val="0"/>
          <w:numId w:val="2"/>
        </w:numPr>
        <w:spacing w:after="60"/>
      </w:pPr>
      <w:r>
        <w:rPr>
          <w:rFonts w:ascii="Arial" w:cs="Arial" w:eastAsia="Arial" w:hAnsi="Arial"/>
          <w:sz w:val="22"/>
          <w:szCs w:val="22"/>
        </w:rPr>
        <w:t xml:space="preserve">Writes covenant_tests proposals</w:t>
      </w:r>
    </w:p>
    <w:p>
      <w:pPr>
        <w:pStyle w:val="Heading3"/>
        <w:spacing w:after="80" w:before="180"/>
      </w:pPr>
      <w:r>
        <w:rPr>
          <w:rFonts w:ascii="Arial" w:cs="Arial" w:eastAsia="Arial" w:hAnsi="Arial"/>
          <w:b/>
          <w:bCs/>
          <w:color w:val="263849"/>
          <w:sz w:val="26"/>
          <w:szCs w:val="26"/>
        </w:rPr>
        <w:t xml:space="preserve">9.4.5 Amendment letter parser</w:t>
      </w:r>
    </w:p>
    <w:p>
      <w:pPr>
        <w:pStyle w:val="ListParagraph"/>
        <w:numPr>
          <w:ilvl w:val="0"/>
          <w:numId w:val="2"/>
        </w:numPr>
        <w:spacing w:after="60"/>
      </w:pPr>
      <w:r>
        <w:rPr>
          <w:rFonts w:ascii="Arial" w:cs="Arial" w:eastAsia="Arial" w:hAnsi="Arial"/>
          <w:sz w:val="22"/>
          <w:szCs w:val="22"/>
        </w:rPr>
        <w:t xml:space="preserve">Identifies parties, effective date, affected clauses</w:t>
      </w:r>
    </w:p>
    <w:p>
      <w:pPr>
        <w:pStyle w:val="ListParagraph"/>
        <w:numPr>
          <w:ilvl w:val="0"/>
          <w:numId w:val="2"/>
        </w:numPr>
        <w:spacing w:after="60"/>
      </w:pPr>
      <w:r>
        <w:rPr>
          <w:rFonts w:ascii="Arial" w:cs="Arial" w:eastAsia="Arial" w:hAnsi="Arial"/>
          <w:sz w:val="22"/>
          <w:szCs w:val="22"/>
        </w:rPr>
        <w:t xml:space="preserve">Produces deal_amendments draft + amendment_change_impacts per clause touched</w:t>
      </w:r>
    </w:p>
    <w:p>
      <w:pPr>
        <w:pStyle w:val="Heading2"/>
        <w:spacing w:after="120" w:before="240"/>
      </w:pPr>
      <w:r>
        <w:rPr>
          <w:rFonts w:ascii="Arial" w:cs="Arial" w:eastAsia="Arial" w:hAnsi="Arial"/>
          <w:b/>
          <w:bCs/>
          <w:color w:val="263849"/>
          <w:sz w:val="30"/>
          <w:szCs w:val="30"/>
        </w:rPr>
        <w:t xml:space="preserve">9.5 Supersession</w:t>
      </w:r>
    </w:p>
    <w:p>
      <w:pPr>
        <w:spacing w:after="140" w:line="280"/>
        <w:jc w:val="both"/>
      </w:pPr>
      <w:r>
        <w:rPr>
          <w:rFonts w:ascii="Arial" w:cs="Arial" w:eastAsia="Arial" w:hAnsi="Arial"/>
          <w:sz w:val="22"/>
          <w:szCs w:val="22"/>
        </w:rPr>
        <w:t xml:space="preserve">When a new document replaces an older one (e.g. Q2 report supersedes Q1 proposals), document_supersessions records the chain. Readers follow the chain forward. Reverting a commit inserts a new supersession pointing backwards — never a hard delete.</w:t>
      </w:r>
    </w:p>
    <w:p>
      <w:pPr>
        <w:pStyle w:val="Heading2"/>
        <w:spacing w:after="120" w:before="240"/>
      </w:pPr>
      <w:r>
        <w:rPr>
          <w:rFonts w:ascii="Arial" w:cs="Arial" w:eastAsia="Arial" w:hAnsi="Arial"/>
          <w:b/>
          <w:bCs/>
          <w:color w:val="263849"/>
          <w:sz w:val="30"/>
          <w:szCs w:val="30"/>
        </w:rPr>
        <w:t xml:space="preserve">9.6 Error handling</w:t>
      </w:r>
    </w:p>
    <w:p>
      <w:pPr>
        <w:pStyle w:val="ListParagraph"/>
        <w:numPr>
          <w:ilvl w:val="0"/>
          <w:numId w:val="2"/>
        </w:numPr>
        <w:spacing w:after="60"/>
      </w:pPr>
      <w:r>
        <w:rPr>
          <w:rFonts w:ascii="Arial" w:cs="Arial" w:eastAsia="Arial" w:hAnsi="Arial"/>
          <w:sz w:val="22"/>
          <w:szCs w:val="22"/>
        </w:rPr>
        <w:t xml:space="preserve">Parse errors produce one proposal per tab/section with confidence=0 and human-readable error string.</w:t>
      </w:r>
    </w:p>
    <w:p>
      <w:pPr>
        <w:pStyle w:val="ListParagraph"/>
        <w:numPr>
          <w:ilvl w:val="0"/>
          <w:numId w:val="2"/>
        </w:numPr>
        <w:spacing w:after="60"/>
      </w:pPr>
      <w:r>
        <w:rPr>
          <w:rFonts w:ascii="Arial" w:cs="Arial" w:eastAsia="Arial" w:hAnsi="Arial"/>
          <w:sz w:val="22"/>
          <w:szCs w:val="22"/>
        </w:rPr>
        <w:t xml:space="preserve">Schema violations block commit until analyst overrides or corrects.</w:t>
      </w:r>
    </w:p>
    <w:p>
      <w:pPr>
        <w:pStyle w:val="ListParagraph"/>
        <w:numPr>
          <w:ilvl w:val="0"/>
          <w:numId w:val="2"/>
        </w:numPr>
        <w:spacing w:after="60"/>
      </w:pPr>
      <w:r>
        <w:rPr>
          <w:rFonts w:ascii="Arial" w:cs="Arial" w:eastAsia="Arial" w:hAnsi="Arial"/>
          <w:sz w:val="22"/>
          <w:szCs w:val="22"/>
        </w:rPr>
        <w:t xml:space="preserve">Engine failures during commit roll back the whole transaction — no partial writes.</w:t>
      </w:r>
    </w:p>
    <w:p>
      <w:pPr>
        <w:pStyle w:val="Heading2"/>
        <w:spacing w:after="120" w:before="240"/>
      </w:pPr>
      <w:r>
        <w:rPr>
          <w:rFonts w:ascii="Arial" w:cs="Arial" w:eastAsia="Arial" w:hAnsi="Arial"/>
          <w:b/>
          <w:bCs/>
          <w:color w:val="263849"/>
          <w:sz w:val="30"/>
          <w:szCs w:val="30"/>
        </w:rPr>
        <w:t xml:space="preserve">9.7 Event emission</w:t>
      </w:r>
    </w:p>
    <w:p>
      <w:pPr>
        <w:pStyle w:val="ListParagraph"/>
        <w:numPr>
          <w:ilvl w:val="0"/>
          <w:numId w:val="2"/>
        </w:numPr>
        <w:spacing w:after="60"/>
      </w:pPr>
      <w:r>
        <w:rPr>
          <w:rFonts w:ascii="Arial" w:cs="Arial" w:eastAsia="Arial" w:hAnsi="Arial"/>
          <w:sz w:val="22"/>
          <w:szCs w:val="22"/>
        </w:rPr>
        <w:t xml:space="preserve">document.uploaded, document.processing.started/completed/failed</w:t>
      </w:r>
    </w:p>
    <w:p>
      <w:pPr>
        <w:pStyle w:val="ListParagraph"/>
        <w:numPr>
          <w:ilvl w:val="0"/>
          <w:numId w:val="2"/>
        </w:numPr>
        <w:spacing w:after="60"/>
      </w:pPr>
      <w:r>
        <w:rPr>
          <w:rFonts w:ascii="Arial" w:cs="Arial" w:eastAsia="Arial" w:hAnsi="Arial"/>
          <w:sz w:val="22"/>
          <w:szCs w:val="22"/>
        </w:rPr>
        <w:t xml:space="preserve">document.proposals.ready, document.committed, document.rejected, document.superseded</w:t>
      </w:r>
    </w:p>
    <w:p>
      <w:pPr>
        <w:pStyle w:val="ListParagraph"/>
        <w:numPr>
          <w:ilvl w:val="0"/>
          <w:numId w:val="2"/>
        </w:numPr>
        <w:spacing w:after="60"/>
      </w:pPr>
      <w:r>
        <w:rPr>
          <w:rFonts w:ascii="Arial" w:cs="Arial" w:eastAsia="Arial" w:hAnsi="Arial"/>
          <w:sz w:val="22"/>
          <w:szCs w:val="22"/>
        </w:rPr>
        <w:t xml:space="preserve">engine.grade.run, engine.variance.run, engine.covenant.run, engine.distribution.run, engine.trend.run</w:t>
      </w:r>
    </w:p>
    <w:p>
      <w:pPr>
        <w:pStyle w:val="ListParagraph"/>
        <w:numPr>
          <w:ilvl w:val="0"/>
          <w:numId w:val="2"/>
        </w:numPr>
        <w:spacing w:after="60"/>
      </w:pPr>
      <w:r>
        <w:rPr>
          <w:rFonts w:ascii="Arial" w:cs="Arial" w:eastAsia="Arial" w:hAnsi="Arial"/>
          <w:sz w:val="22"/>
          <w:szCs w:val="22"/>
        </w:rPr>
        <w:t xml:space="preserve">alert.opened, alert.acknowledged, alert.resolved</w:t>
      </w:r>
    </w:p>
    <w:p>
      <w:pPr>
        <w:spacing w:after="140" w:line="280"/>
        <w:jc w:val="both"/>
      </w:pPr>
      <w:r>
        <w:rPr>
          <w:rFonts w:ascii="Arial" w:cs="Arial" w:eastAsia="Arial" w:hAnsi="Arial"/>
          <w:sz w:val="22"/>
          <w:szCs w:val="22"/>
        </w:rPr>
        <w:t xml:space="preserve">Full registry in Appendix C.</w:t>
      </w:r>
    </w:p>
    <w:p>
      <w:pPr>
        <w:pStyle w:val="Heading2"/>
        <w:spacing w:after="120" w:before="240"/>
      </w:pPr>
      <w:r>
        <w:rPr>
          <w:rFonts w:ascii="Arial" w:cs="Arial" w:eastAsia="Arial" w:hAnsi="Arial"/>
          <w:b/>
          <w:bCs/>
          <w:color w:val="263849"/>
          <w:sz w:val="30"/>
          <w:szCs w:val="30"/>
        </w:rPr>
        <w:t xml:space="preserve">9.8 Deferred items</w:t>
      </w:r>
    </w:p>
    <w:p>
      <w:pPr>
        <w:pStyle w:val="ListParagraph"/>
        <w:numPr>
          <w:ilvl w:val="0"/>
          <w:numId w:val="2"/>
        </w:numPr>
        <w:spacing w:after="60"/>
      </w:pPr>
      <w:r>
        <w:rPr>
          <w:rFonts w:ascii="Arial" w:cs="Arial" w:eastAsia="Arial" w:hAnsi="Arial"/>
          <w:sz w:val="22"/>
          <w:szCs w:val="22"/>
        </w:rPr>
        <w:t xml:space="preserve">OCR on scanned PDFs (Tesseract) — currently assumes digital-born PDFs.</w:t>
      </w:r>
    </w:p>
    <w:p>
      <w:pPr>
        <w:pStyle w:val="ListParagraph"/>
        <w:numPr>
          <w:ilvl w:val="0"/>
          <w:numId w:val="2"/>
        </w:numPr>
        <w:spacing w:after="60"/>
      </w:pPr>
      <w:r>
        <w:rPr>
          <w:rFonts w:ascii="Arial" w:cs="Arial" w:eastAsia="Arial" w:hAnsi="Arial"/>
          <w:sz w:val="22"/>
          <w:szCs w:val="22"/>
        </w:rPr>
        <w:t xml:space="preserve">Multi-document bundled commit (QR + model + cert in one transaction).</w:t>
      </w:r>
    </w:p>
    <w:p>
      <w:pPr>
        <w:pStyle w:val="ListParagraph"/>
        <w:numPr>
          <w:ilvl w:val="0"/>
          <w:numId w:val="2"/>
        </w:numPr>
        <w:spacing w:after="60"/>
      </w:pPr>
      <w:r>
        <w:rPr>
          <w:rFonts w:ascii="Arial" w:cs="Arial" w:eastAsia="Arial" w:hAnsi="Arial"/>
          <w:sz w:val="22"/>
          <w:szCs w:val="22"/>
        </w:rPr>
        <w:t xml:space="preserve">Second-approver workflow for commits — enterprise may require sign-off pair.</w:t>
      </w:r>
    </w:p>
    <w:p>
      <w:pPr>
        <w:pStyle w:val="ListParagraph"/>
        <w:numPr>
          <w:ilvl w:val="0"/>
          <w:numId w:val="2"/>
        </w:numPr>
        <w:spacing w:after="60"/>
      </w:pPr>
      <w:r>
        <w:rPr>
          <w:rFonts w:ascii="Arial" w:cs="Arial" w:eastAsia="Arial" w:hAnsi="Arial"/>
          <w:sz w:val="22"/>
          <w:szCs w:val="22"/>
        </w:rPr>
        <w:t xml:space="preserve">Automated reconciliation between overlapping proposals from two documents on the same period.</w:t>
      </w:r>
    </w:p>
    <w:p>
      <w:pPr>
        <w:pStyle w:val="Heading1"/>
        <w:pageBreakBefore/>
        <w:spacing w:after="180" w:before="240"/>
      </w:pPr>
      <w:r>
        <w:rPr>
          <w:rFonts w:ascii="Arial" w:cs="Arial" w:eastAsia="Arial" w:hAnsi="Arial"/>
          <w:b/>
          <w:bCs/>
          <w:color w:val="1F6FA5"/>
          <w:sz w:val="40"/>
          <w:szCs w:val="40"/>
        </w:rPr>
        <w:t xml:space="preserve">Part X — TopSheet Excel template</w:t>
      </w:r>
    </w:p>
    <w:p>
      <w:pPr>
        <w:pStyle w:val="Heading2"/>
        <w:spacing w:after="120" w:before="240"/>
      </w:pPr>
      <w:r>
        <w:rPr>
          <w:rFonts w:ascii="Arial" w:cs="Arial" w:eastAsia="Arial" w:hAnsi="Arial"/>
          <w:b/>
          <w:bCs/>
          <w:color w:val="263849"/>
          <w:sz w:val="30"/>
          <w:szCs w:val="30"/>
        </w:rPr>
        <w:t xml:space="preserve">10.1 Purpose</w:t>
      </w:r>
    </w:p>
    <w:p>
      <w:pPr>
        <w:spacing w:after="140" w:line="280"/>
        <w:jc w:val="both"/>
      </w:pPr>
      <w:r>
        <w:rPr>
          <w:rFonts w:ascii="Arial" w:cs="Arial" w:eastAsia="Arial" w:hAnsi="Arial"/>
          <w:sz w:val="22"/>
          <w:szCs w:val="22"/>
        </w:rPr>
        <w:t xml:space="preserve">The TopSheet Excel template is the canonical onboarding and update vehicle for every deal. It is both a structured data-entry workbook and a contract: every field the platform stores at the deal level has a home in one of its tabs, and the importer rejects uploads that violate the contract.</w:t>
      </w:r>
    </w:p>
    <w:p>
      <w:pPr>
        <w:pStyle w:val="Heading2"/>
        <w:spacing w:after="120" w:before="240"/>
      </w:pPr>
      <w:r>
        <w:rPr>
          <w:rFonts w:ascii="Arial" w:cs="Arial" w:eastAsia="Arial" w:hAnsi="Arial"/>
          <w:b/>
          <w:bCs/>
          <w:color w:val="263849"/>
          <w:sz w:val="30"/>
          <w:szCs w:val="30"/>
        </w:rPr>
        <w:t xml:space="preserve">10.2 Generator &amp; importer</w:t>
      </w:r>
    </w:p>
    <w:p>
      <w:pPr>
        <w:pStyle w:val="ListParagraph"/>
        <w:numPr>
          <w:ilvl w:val="0"/>
          <w:numId w:val="2"/>
        </w:numPr>
        <w:spacing w:after="60"/>
      </w:pPr>
      <w:r>
        <w:rPr>
          <w:rFonts w:ascii="Arial" w:cs="Arial" w:eastAsia="Arial" w:hAnsi="Arial"/>
          <w:b/>
          <w:bCs/>
          <w:sz w:val="22"/>
          <w:szCs w:val="22"/>
        </w:rPr>
        <w:t xml:space="preserve">Generator: </w:t>
      </w:r>
      <w:r>
        <w:rPr>
          <w:rFonts w:ascii="Arial" w:cs="Arial" w:eastAsia="Arial" w:hAnsi="Arial"/>
          <w:sz w:val="22"/>
          <w:szCs w:val="22"/>
        </w:rPr>
        <w:t xml:space="preserve">scripts/create-topsheet-template.py — produces the blank v9 .xlsx</w:t>
      </w:r>
    </w:p>
    <w:p>
      <w:pPr>
        <w:pStyle w:val="ListParagraph"/>
        <w:numPr>
          <w:ilvl w:val="0"/>
          <w:numId w:val="2"/>
        </w:numPr>
        <w:spacing w:after="60"/>
      </w:pPr>
      <w:r>
        <w:rPr>
          <w:rFonts w:ascii="Arial" w:cs="Arial" w:eastAsia="Arial" w:hAnsi="Arial"/>
          <w:b/>
          <w:bCs/>
          <w:sz w:val="22"/>
          <w:szCs w:val="22"/>
        </w:rPr>
        <w:t xml:space="preserve">Download URL: </w:t>
      </w:r>
      <w:r>
        <w:rPr>
          <w:rFonts w:ascii="Arial" w:cs="Arial" w:eastAsia="Arial" w:hAnsi="Arial"/>
          <w:sz w:val="22"/>
          <w:szCs w:val="22"/>
        </w:rPr>
        <w:t xml:space="preserve">/plumbing/topsheet-template.xlsx (served from client/public/)</w:t>
      </w:r>
    </w:p>
    <w:p>
      <w:pPr>
        <w:pStyle w:val="ListParagraph"/>
        <w:numPr>
          <w:ilvl w:val="0"/>
          <w:numId w:val="2"/>
        </w:numPr>
        <w:spacing w:after="60"/>
      </w:pPr>
      <w:r>
        <w:rPr>
          <w:rFonts w:ascii="Arial" w:cs="Arial" w:eastAsia="Arial" w:hAnsi="Arial"/>
          <w:b/>
          <w:bCs/>
          <w:sz w:val="22"/>
          <w:szCs w:val="22"/>
        </w:rPr>
        <w:t xml:space="preserve">Importer: </w:t>
      </w:r>
      <w:r>
        <w:rPr>
          <w:rFonts w:ascii="Arial" w:cs="Arial" w:eastAsia="Arial" w:hAnsi="Arial"/>
          <w:sz w:val="22"/>
          <w:szCs w:val="22"/>
        </w:rPr>
        <w:t xml:space="preserve">server/topsheet_importer.py</w:t>
      </w:r>
    </w:p>
    <w:p>
      <w:pPr>
        <w:pStyle w:val="ListParagraph"/>
        <w:numPr>
          <w:ilvl w:val="0"/>
          <w:numId w:val="2"/>
        </w:numPr>
        <w:spacing w:after="60"/>
      </w:pPr>
      <w:r>
        <w:rPr>
          <w:rFonts w:ascii="Arial" w:cs="Arial" w:eastAsia="Arial" w:hAnsi="Arial"/>
          <w:b/>
          <w:bCs/>
          <w:sz w:val="22"/>
          <w:szCs w:val="22"/>
        </w:rPr>
        <w:t xml:space="preserve">Instructions doc: </w:t>
      </w:r>
      <w:r>
        <w:rPr>
          <w:rFonts w:ascii="Arial" w:cs="Arial" w:eastAsia="Arial" w:hAnsi="Arial"/>
          <w:sz w:val="22"/>
          <w:szCs w:val="22"/>
        </w:rPr>
        <w:t xml:space="preserve">docs/topsheet-template-instructions.md</w:t>
      </w:r>
    </w:p>
    <w:p>
      <w:pPr>
        <w:pStyle w:val="ListParagraph"/>
        <w:numPr>
          <w:ilvl w:val="0"/>
          <w:numId w:val="2"/>
        </w:numPr>
        <w:spacing w:after="60"/>
      </w:pPr>
      <w:r>
        <w:rPr>
          <w:rFonts w:ascii="Arial" w:cs="Arial" w:eastAsia="Arial" w:hAnsi="Arial"/>
          <w:b/>
          <w:bCs/>
          <w:sz w:val="22"/>
          <w:szCs w:val="22"/>
        </w:rPr>
        <w:t xml:space="preserve">Field spec: </w:t>
      </w:r>
      <w:r>
        <w:rPr>
          <w:rFonts w:ascii="Arial" w:cs="Arial" w:eastAsia="Arial" w:hAnsi="Arial"/>
          <w:sz w:val="22"/>
          <w:szCs w:val="22"/>
        </w:rPr>
        <w:t xml:space="preserve">docs/topsheet-complete-specification.md</w:t>
      </w:r>
    </w:p>
    <w:p>
      <w:pPr>
        <w:pStyle w:val="Heading2"/>
        <w:spacing w:after="120" w:before="240"/>
      </w:pPr>
      <w:r>
        <w:rPr>
          <w:rFonts w:ascii="Arial" w:cs="Arial" w:eastAsia="Arial" w:hAnsi="Arial"/>
          <w:b/>
          <w:bCs/>
          <w:color w:val="263849"/>
          <w:sz w:val="30"/>
          <w:szCs w:val="30"/>
        </w:rPr>
        <w:t xml:space="preserve">10.3 Visual conventions (from generator)</w:t>
      </w:r>
    </w:p>
    <w:p>
      <w:pPr>
        <w:pStyle w:val="ListParagraph"/>
        <w:numPr>
          <w:ilvl w:val="0"/>
          <w:numId w:val="2"/>
        </w:numPr>
        <w:spacing w:after="60"/>
      </w:pPr>
      <w:r>
        <w:rPr>
          <w:rFonts w:ascii="Arial" w:cs="Arial" w:eastAsia="Arial" w:hAnsi="Arial"/>
          <w:sz w:val="22"/>
          <w:szCs w:val="22"/>
        </w:rPr>
        <w:t xml:space="preserve">Yellow cells = input fields (user populates)</w:t>
      </w:r>
    </w:p>
    <w:p>
      <w:pPr>
        <w:pStyle w:val="ListParagraph"/>
        <w:numPr>
          <w:ilvl w:val="0"/>
          <w:numId w:val="2"/>
        </w:numPr>
        <w:spacing w:after="60"/>
      </w:pPr>
      <w:r>
        <w:rPr>
          <w:rFonts w:ascii="Arial" w:cs="Arial" w:eastAsia="Arial" w:hAnsi="Arial"/>
          <w:sz w:val="22"/>
          <w:szCs w:val="22"/>
        </w:rPr>
        <w:t xml:space="preserve">Grey cells = computed by system (will be overwritten on import)</w:t>
      </w:r>
    </w:p>
    <w:p>
      <w:pPr>
        <w:pStyle w:val="ListParagraph"/>
        <w:numPr>
          <w:ilvl w:val="0"/>
          <w:numId w:val="2"/>
        </w:numPr>
        <w:spacing w:after="60"/>
      </w:pPr>
      <w:r>
        <w:rPr>
          <w:rFonts w:ascii="Arial" w:cs="Arial" w:eastAsia="Arial" w:hAnsi="Arial"/>
          <w:sz w:val="22"/>
          <w:szCs w:val="22"/>
        </w:rPr>
        <w:t xml:space="preserve">Red labels = REQUIRED fields; deal ingestion fails without them</w:t>
      </w:r>
    </w:p>
    <w:p>
      <w:pPr>
        <w:pStyle w:val="ListParagraph"/>
        <w:numPr>
          <w:ilvl w:val="0"/>
          <w:numId w:val="2"/>
        </w:numPr>
        <w:spacing w:after="60"/>
      </w:pPr>
      <w:r>
        <w:rPr>
          <w:rFonts w:ascii="Arial" w:cs="Arial" w:eastAsia="Arial" w:hAnsi="Arial"/>
          <w:sz w:val="22"/>
          <w:szCs w:val="22"/>
        </w:rPr>
        <w:t xml:space="preserve">Blue header bars = section headers; do not modify</w:t>
      </w:r>
    </w:p>
    <w:p>
      <w:pPr>
        <w:pStyle w:val="ListParagraph"/>
        <w:numPr>
          <w:ilvl w:val="0"/>
          <w:numId w:val="2"/>
        </w:numPr>
        <w:spacing w:after="60"/>
      </w:pPr>
      <w:r>
        <w:rPr>
          <w:rFonts w:ascii="Arial" w:cs="Arial" w:eastAsia="Arial" w:hAnsi="Arial"/>
          <w:sz w:val="22"/>
          <w:szCs w:val="22"/>
        </w:rPr>
        <w:t xml:space="preserve">Dropdown validation = many fields have predefined dropdown lists</w:t>
      </w:r>
    </w:p>
    <w:p>
      <w:pPr>
        <w:pStyle w:val="Heading2"/>
        <w:spacing w:after="120" w:before="240"/>
      </w:pPr>
      <w:r>
        <w:rPr>
          <w:rFonts w:ascii="Arial" w:cs="Arial" w:eastAsia="Arial" w:hAnsi="Arial"/>
          <w:b/>
          <w:bCs/>
          <w:color w:val="263849"/>
          <w:sz w:val="30"/>
          <w:szCs w:val="30"/>
        </w:rPr>
        <w:t xml:space="preserve">10.4 Data conventions</w:t>
      </w:r>
    </w:p>
    <w:p>
      <w:pPr>
        <w:pStyle w:val="ListParagraph"/>
        <w:numPr>
          <w:ilvl w:val="0"/>
          <w:numId w:val="2"/>
        </w:numPr>
        <w:spacing w:after="60"/>
      </w:pPr>
      <w:r>
        <w:rPr>
          <w:rFonts w:ascii="Arial" w:cs="Arial" w:eastAsia="Arial" w:hAnsi="Arial"/>
          <w:sz w:val="22"/>
          <w:szCs w:val="22"/>
        </w:rPr>
        <w:t xml:space="preserve">Dates: YYYY-MM-DD (e.g. 2024-01-01)</w:t>
      </w:r>
    </w:p>
    <w:p>
      <w:pPr>
        <w:pStyle w:val="ListParagraph"/>
        <w:numPr>
          <w:ilvl w:val="0"/>
          <w:numId w:val="2"/>
        </w:numPr>
        <w:spacing w:after="60"/>
      </w:pPr>
      <w:r>
        <w:rPr>
          <w:rFonts w:ascii="Arial" w:cs="Arial" w:eastAsia="Arial" w:hAnsi="Arial"/>
          <w:sz w:val="22"/>
          <w:szCs w:val="22"/>
        </w:rPr>
        <w:t xml:space="preserve">Currency amounts: Full amounts in deal base currency; no M/B notation (e.g. 100000000 not 100M)</w:t>
      </w:r>
    </w:p>
    <w:p>
      <w:pPr>
        <w:pStyle w:val="ListParagraph"/>
        <w:numPr>
          <w:ilvl w:val="0"/>
          <w:numId w:val="2"/>
        </w:numPr>
        <w:spacing w:after="60"/>
      </w:pPr>
      <w:r>
        <w:rPr>
          <w:rFonts w:ascii="Arial" w:cs="Arial" w:eastAsia="Arial" w:hAnsi="Arial"/>
          <w:sz w:val="22"/>
          <w:szCs w:val="22"/>
        </w:rPr>
        <w:t xml:space="preserve">Basis points: integer (e.g. 350 for 3.50%)</w:t>
      </w:r>
    </w:p>
    <w:p>
      <w:pPr>
        <w:pStyle w:val="ListParagraph"/>
        <w:numPr>
          <w:ilvl w:val="0"/>
          <w:numId w:val="2"/>
        </w:numPr>
        <w:spacing w:after="60"/>
      </w:pPr>
      <w:r>
        <w:rPr>
          <w:rFonts w:ascii="Arial" w:cs="Arial" w:eastAsia="Arial" w:hAnsi="Arial"/>
          <w:sz w:val="22"/>
          <w:szCs w:val="22"/>
        </w:rPr>
        <w:t xml:space="preserve">Percentages: decimal fraction (0.65) OR explicit percent field; columns are type-cued</w:t>
      </w:r>
    </w:p>
    <w:p>
      <w:pPr>
        <w:pStyle w:val="ListParagraph"/>
        <w:numPr>
          <w:ilvl w:val="0"/>
          <w:numId w:val="2"/>
        </w:numPr>
        <w:spacing w:after="60"/>
      </w:pPr>
      <w:r>
        <w:rPr>
          <w:rFonts w:ascii="Arial" w:cs="Arial" w:eastAsia="Arial" w:hAnsi="Arial"/>
          <w:sz w:val="22"/>
          <w:szCs w:val="22"/>
        </w:rPr>
        <w:t xml:space="preserve">Booleans: TRUE / FALSE / YES / NO / 1 / 0 all accepted</w:t>
      </w:r>
    </w:p>
    <w:p>
      <w:pPr>
        <w:pStyle w:val="ListParagraph"/>
        <w:numPr>
          <w:ilvl w:val="0"/>
          <w:numId w:val="2"/>
        </w:numPr>
        <w:spacing w:after="60"/>
      </w:pPr>
      <w:r>
        <w:rPr>
          <w:rFonts w:ascii="Arial" w:cs="Arial" w:eastAsia="Arial" w:hAnsi="Arial"/>
          <w:sz w:val="22"/>
          <w:szCs w:val="22"/>
        </w:rPr>
        <w:t xml:space="preserve">JSONB columns: either a JSON string or multiple rows that the importer assembles</w:t>
      </w:r>
    </w:p>
    <w:p>
      <w:pPr>
        <w:pStyle w:val="Heading2"/>
        <w:spacing w:after="120" w:before="240"/>
      </w:pPr>
      <w:r>
        <w:rPr>
          <w:rFonts w:ascii="Arial" w:cs="Arial" w:eastAsia="Arial" w:hAnsi="Arial"/>
          <w:b/>
          <w:bCs/>
          <w:color w:val="263849"/>
          <w:sz w:val="30"/>
          <w:szCs w:val="30"/>
        </w:rPr>
        <w:t xml:space="preserve">10.5 Type coercion (importer rules)</w:t>
      </w:r>
    </w:p>
    <w:p>
      <w:pPr>
        <w:spacing w:after="140" w:line="280"/>
        <w:jc w:val="both"/>
      </w:pPr>
      <w:r>
        <w:rPr>
          <w:rFonts w:ascii="Arial" w:cs="Arial" w:eastAsia="Arial" w:hAnsi="Arial"/>
          <w:sz w:val="22"/>
          <w:szCs w:val="22"/>
        </w:rPr>
        <w:t xml:space="preserve">The importer applies _coerce_for_column() for every field into the deals table. Coercion sets:</w:t>
      </w:r>
    </w:p>
    <w:p>
      <w:pPr>
        <w:pStyle w:val="ListParagraph"/>
        <w:numPr>
          <w:ilvl w:val="0"/>
          <w:numId w:val="2"/>
        </w:numPr>
        <w:spacing w:after="60"/>
      </w:pPr>
      <w:r>
        <w:rPr>
          <w:rFonts w:ascii="Arial" w:cs="Arial" w:eastAsia="Arial" w:hAnsi="Arial"/>
          <w:b/>
          <w:bCs/>
          <w:sz w:val="22"/>
          <w:szCs w:val="22"/>
        </w:rPr>
        <w:t xml:space="preserve">date_cols: </w:t>
      </w:r>
      <w:r>
        <w:rPr>
          <w:rFonts w:ascii="Arial" w:cs="Arial" w:eastAsia="Arial" w:hAnsi="Arial"/>
          <w:sz w:val="22"/>
          <w:szCs w:val="22"/>
        </w:rPr>
        <w:t xml:space="preserve">origination_date, commitment_date, first_drawdown_date, cod_date, maturity_date, concession_expiry_date, model_date → parsed via _date() which accepts YYYY-MM-DD, DD/MM/YYYY, MM/DD/YYYY, DD-MM-YYYY.</w:t>
      </w:r>
    </w:p>
    <w:p>
      <w:pPr>
        <w:pStyle w:val="ListParagraph"/>
        <w:numPr>
          <w:ilvl w:val="0"/>
          <w:numId w:val="2"/>
        </w:numPr>
        <w:spacing w:after="60"/>
      </w:pPr>
      <w:r>
        <w:rPr>
          <w:rFonts w:ascii="Arial" w:cs="Arial" w:eastAsia="Arial" w:hAnsi="Arial"/>
          <w:b/>
          <w:bCs/>
          <w:sz w:val="22"/>
          <w:szCs w:val="22"/>
        </w:rPr>
        <w:t xml:space="preserve">bool_cols: </w:t>
      </w:r>
      <w:r>
        <w:rPr>
          <w:rFonts w:ascii="Arial" w:cs="Arial" w:eastAsia="Arial" w:hAnsi="Arial"/>
          <w:sz w:val="22"/>
          <w:szCs w:val="22"/>
        </w:rPr>
        <w:t xml:space="preserve">syndicated, coc_regime_exists, equity_cure_available, no_hard_covenant_dscr, no_hard_covenant_icr, proxy_default_flag, rating_trigger_configured.</w:t>
      </w:r>
    </w:p>
    <w:p>
      <w:pPr>
        <w:pStyle w:val="ListParagraph"/>
        <w:numPr>
          <w:ilvl w:val="0"/>
          <w:numId w:val="2"/>
        </w:numPr>
        <w:spacing w:after="60"/>
      </w:pPr>
      <w:r>
        <w:rPr>
          <w:rFonts w:ascii="Arial" w:cs="Arial" w:eastAsia="Arial" w:hAnsi="Arial"/>
          <w:b/>
          <w:bCs/>
          <w:sz w:val="22"/>
          <w:szCs w:val="22"/>
        </w:rPr>
        <w:t xml:space="preserve">int_cols: </w:t>
      </w:r>
      <w:r>
        <w:rPr>
          <w:rFonts w:ascii="Arial" w:cs="Arial" w:eastAsia="Arial" w:hAnsi="Arial"/>
          <w:sz w:val="22"/>
          <w:szCs w:val="22"/>
        </w:rPr>
        <w:t xml:space="preserve">cod_months, contract_length_months, fiscal_year_end_month, number_of_lenders, pricing_margin_bps, performance_grade, consecutive_lockup_periods.</w:t>
      </w:r>
    </w:p>
    <w:p>
      <w:pPr>
        <w:pStyle w:val="ListParagraph"/>
        <w:numPr>
          <w:ilvl w:val="0"/>
          <w:numId w:val="2"/>
        </w:numPr>
        <w:spacing w:after="60"/>
      </w:pPr>
      <w:r>
        <w:rPr>
          <w:rFonts w:ascii="Arial" w:cs="Arial" w:eastAsia="Arial" w:hAnsi="Arial"/>
          <w:b/>
          <w:bCs/>
          <w:sz w:val="22"/>
          <w:szCs w:val="22"/>
        </w:rPr>
        <w:t xml:space="preserve">jsonb_cols: </w:t>
      </w:r>
      <w:r>
        <w:rPr>
          <w:rFonts w:ascii="Arial" w:cs="Arial" w:eastAsia="Arial" w:hAnsi="Arial"/>
          <w:sz w:val="22"/>
          <w:szCs w:val="22"/>
        </w:rPr>
        <w:t xml:space="preserve">consortium_members, coc_permitted_transfers, sources_and_uses, capital_structure_instruments, capital_structure_classes, capital_structure_entities, cashflow_waterfall, reserve_accounts, liquidity_facilities, sector_kpis_static, stress_parameters, named_scenarios, collateral_assessment, counterparties, equity_cure_regime, development_phases, rollout_plan, hedging_policy, hedging_portfolio.</w:t>
      </w:r>
    </w:p>
    <w:p>
      <w:pPr>
        <w:pStyle w:val="ListParagraph"/>
        <w:numPr>
          <w:ilvl w:val="0"/>
          <w:numId w:val="2"/>
        </w:numPr>
        <w:spacing w:after="60"/>
      </w:pPr>
      <w:r>
        <w:rPr>
          <w:rFonts w:ascii="Arial" w:cs="Arial" w:eastAsia="Arial" w:hAnsi="Arial"/>
          <w:b/>
          <w:bCs/>
          <w:sz w:val="22"/>
          <w:szCs w:val="22"/>
        </w:rPr>
        <w:t xml:space="preserve">array_cols: </w:t>
      </w:r>
      <w:r>
        <w:rPr>
          <w:rFonts w:ascii="Arial" w:cs="Arial" w:eastAsia="Arial" w:hAnsi="Arial"/>
          <w:sz w:val="22"/>
          <w:szCs w:val="22"/>
        </w:rPr>
        <w:t xml:space="preserve">approved_auditors (split by ; or ,).</w:t>
      </w:r>
    </w:p>
    <w:p>
      <w:pPr>
        <w:pStyle w:val="ListParagraph"/>
        <w:numPr>
          <w:ilvl w:val="0"/>
          <w:numId w:val="2"/>
        </w:numPr>
        <w:spacing w:after="60"/>
      </w:pPr>
      <w:r>
        <w:rPr>
          <w:rFonts w:ascii="Arial" w:cs="Arial" w:eastAsia="Arial" w:hAnsi="Arial"/>
          <w:b/>
          <w:bCs/>
          <w:sz w:val="22"/>
          <w:szCs w:val="22"/>
        </w:rPr>
        <w:t xml:space="preserve">decimal_cols: </w:t>
      </w:r>
      <w:r>
        <w:rPr>
          <w:rFonts w:ascii="Arial" w:cs="Arial" w:eastAsia="Arial" w:hAnsi="Arial"/>
          <w:sz w:val="22"/>
          <w:szCs w:val="22"/>
        </w:rPr>
        <w:t xml:space="preserve">weighted_average_life, our_holding_pct, coupon_rate, enterprise_value, total_drawn, our_commitment, our_drawn, unlevered_irr, levered_equity_irr, moic, all_in_cost_of_debt, ebitda_margin_lifetime, tax_leakage_rate, upfront_economics, facility_amount.</w:t>
      </w:r>
    </w:p>
    <w:p>
      <w:pPr>
        <w:pStyle w:val="Heading2"/>
        <w:spacing w:after="120" w:before="240"/>
      </w:pPr>
      <w:r>
        <w:rPr>
          <w:rFonts w:ascii="Arial" w:cs="Arial" w:eastAsia="Arial" w:hAnsi="Arial"/>
          <w:b/>
          <w:bCs/>
          <w:color w:val="263849"/>
          <w:sz w:val="30"/>
          <w:szCs w:val="30"/>
        </w:rPr>
        <w:t xml:space="preserve">10.6 Null-equivalent tokens</w:t>
      </w:r>
    </w:p>
    <w:p>
      <w:pPr>
        <w:spacing w:after="140" w:line="280"/>
        <w:jc w:val="both"/>
      </w:pPr>
      <w:r>
        <w:rPr>
          <w:rFonts w:ascii="Arial" w:cs="Arial" w:eastAsia="Arial" w:hAnsi="Arial"/>
          <w:sz w:val="22"/>
          <w:szCs w:val="22"/>
        </w:rPr>
        <w:t xml:space="preserve">The importer treats the following values in yellow cells as NULL (not literal strings):</w:t>
      </w:r>
    </w:p>
    <w:p>
      <w:pPr>
        <w:spacing w:after="80"/>
      </w:pPr>
      <w:r>
        <w:rPr>
          <w:rFonts w:ascii="Consolas" w:cs="Consolas" w:eastAsia="Consolas" w:hAnsi="Consolas"/>
          <w:color w:val="444444"/>
          <w:sz w:val="20"/>
          <w:szCs w:val="20"/>
        </w:rPr>
        <w:t xml:space="preserve">"" (empty)     "BLANK"     "N/A"     "-"</w:t>
      </w:r>
    </w:p>
    <w:p>
      <w:pPr>
        <w:pStyle w:val="Heading2"/>
        <w:spacing w:after="120" w:before="240"/>
      </w:pPr>
      <w:r>
        <w:rPr>
          <w:rFonts w:ascii="Arial" w:cs="Arial" w:eastAsia="Arial" w:hAnsi="Arial"/>
          <w:b/>
          <w:bCs/>
          <w:color w:val="263849"/>
          <w:sz w:val="30"/>
          <w:szCs w:val="30"/>
        </w:rPr>
        <w:t xml:space="preserve">10.7 DEALS_COLUMNS set (81 columns on deals table)</w:t>
      </w:r>
    </w:p>
    <w:p>
      <w:pPr>
        <w:spacing w:after="140" w:line="280"/>
        <w:jc w:val="both"/>
      </w:pPr>
      <w:r>
        <w:rPr>
          <w:rFonts w:ascii="Arial" w:cs="Arial" w:eastAsia="Arial" w:hAnsi="Arial"/>
          <w:sz w:val="22"/>
          <w:szCs w:val="22"/>
        </w:rPr>
        <w:t xml:space="preserve">These are the columns on the deals table the importer accepts via key-value sheets. Grouped by semantic family:</w:t>
      </w:r>
    </w:p>
    <w:p>
      <w:pPr>
        <w:pStyle w:val="Heading3"/>
        <w:spacing w:after="80" w:before="180"/>
      </w:pPr>
      <w:r>
        <w:rPr>
          <w:rFonts w:ascii="Arial" w:cs="Arial" w:eastAsia="Arial" w:hAnsi="Arial"/>
          <w:b/>
          <w:bCs/>
          <w:color w:val="263849"/>
          <w:sz w:val="26"/>
          <w:szCs w:val="26"/>
        </w:rPr>
        <w:t xml:space="preserve">10.7.1 Borrower &amp; structure</w:t>
      </w:r>
    </w:p>
    <w:p>
      <w:pPr>
        <w:spacing w:after="80"/>
      </w:pPr>
      <w:r>
        <w:rPr>
          <w:rFonts w:ascii="Consolas" w:cs="Consolas" w:eastAsia="Consolas" w:hAnsi="Consolas"/>
          <w:color w:val="444444"/>
          <w:sz w:val="20"/>
          <w:szCs w:val="20"/>
        </w:rPr>
        <w:t xml:space="preserve">borrower_legal_name, borrower_trading_name, borrower_lei, borrower_jurisdiction,
borrower_registered_number, project_codename, approved_auditors, sic_code,
sector_label, sub_sector_label, ticcs_classification, sponsor_name,
sponsor_fund, parent_group, ownership_structure, consortium_members,
country, reporting_currency, counterparties, structure_type,
origination_type, seniority, security_type, security_summary</w:t>
      </w:r>
    </w:p>
    <w:p>
      <w:pPr>
        <w:pStyle w:val="Heading3"/>
        <w:spacing w:after="80" w:before="180"/>
      </w:pPr>
      <w:r>
        <w:rPr>
          <w:rFonts w:ascii="Arial" w:cs="Arial" w:eastAsia="Arial" w:hAnsi="Arial"/>
          <w:b/>
          <w:bCs/>
          <w:color w:val="263849"/>
          <w:sz w:val="26"/>
          <w:szCs w:val="26"/>
        </w:rPr>
        <w:t xml:space="preserve">10.7.2 Dates, size, pricing</w:t>
      </w:r>
    </w:p>
    <w:p>
      <w:pPr>
        <w:spacing w:after="80"/>
      </w:pPr>
      <w:r>
        <w:rPr>
          <w:rFonts w:ascii="Consolas" w:cs="Consolas" w:eastAsia="Consolas" w:hAnsi="Consolas"/>
          <w:color w:val="444444"/>
          <w:sz w:val="20"/>
          <w:szCs w:val="20"/>
        </w:rPr>
        <w:t xml:space="preserve">origination_date, commitment_date, first_drawdown_date, cod_date,
cod_months, maturity_date, weighted_average_life, contract_length_months,
fiscal_year_end_month, concession_expiry_date, regulatory_period_current,
reporting_periodicity, total_drawn, our_commitment, our_drawn,
our_holding_pct, pricing_type, pricing_margin_bps, reference_rate,
coupon_rate, amortisation_profile, call_protection, governing_law,
syndicated, number_of_lenders, facility_agent, security_trustee</w:t>
      </w:r>
    </w:p>
    <w:p>
      <w:pPr>
        <w:pStyle w:val="Heading3"/>
        <w:spacing w:after="80" w:before="180"/>
      </w:pPr>
      <w:r>
        <w:rPr>
          <w:rFonts w:ascii="Arial" w:cs="Arial" w:eastAsia="Arial" w:hAnsi="Arial"/>
          <w:b/>
          <w:bCs/>
          <w:color w:val="263849"/>
          <w:sz w:val="26"/>
          <w:szCs w:val="26"/>
        </w:rPr>
        <w:t xml:space="preserve">10.7.3 Change of control</w:t>
      </w:r>
    </w:p>
    <w:p>
      <w:pPr>
        <w:spacing w:after="80"/>
      </w:pPr>
      <w:r>
        <w:rPr>
          <w:rFonts w:ascii="Consolas" w:cs="Consolas" w:eastAsia="Consolas" w:hAnsi="Consolas"/>
          <w:color w:val="444444"/>
          <w:sz w:val="20"/>
          <w:szCs w:val="20"/>
        </w:rPr>
        <w:t xml:space="preserve">coc_regime_exists, coc_definition, coc_consequence,
coc_prepayment_basis, coc_permitted_transfers, coc_consent_threshold</w:t>
      </w:r>
    </w:p>
    <w:p>
      <w:pPr>
        <w:pStyle w:val="Heading3"/>
        <w:spacing w:after="80" w:before="180"/>
      </w:pPr>
      <w:r>
        <w:rPr>
          <w:rFonts w:ascii="Arial" w:cs="Arial" w:eastAsia="Arial" w:hAnsi="Arial"/>
          <w:b/>
          <w:bCs/>
          <w:color w:val="263849"/>
          <w:sz w:val="26"/>
          <w:szCs w:val="26"/>
        </w:rPr>
        <w:t xml:space="preserve">10.7.4 JSONB complex</w:t>
      </w:r>
    </w:p>
    <w:p>
      <w:pPr>
        <w:spacing w:after="80"/>
      </w:pPr>
      <w:r>
        <w:rPr>
          <w:rFonts w:ascii="Consolas" w:cs="Consolas" w:eastAsia="Consolas" w:hAnsi="Consolas"/>
          <w:color w:val="444444"/>
          <w:sz w:val="20"/>
          <w:szCs w:val="20"/>
        </w:rPr>
        <w:t xml:space="preserve">sources_and_uses, enterprise_value, capital_structure_instruments,
capital_structure_classes, capital_structure_entities, cashflow_waterfall,
reserve_accounts, liquidity_facilities</w:t>
      </w:r>
    </w:p>
    <w:p>
      <w:pPr>
        <w:pStyle w:val="Heading3"/>
        <w:spacing w:after="80" w:before="180"/>
      </w:pPr>
      <w:r>
        <w:rPr>
          <w:rFonts w:ascii="Arial" w:cs="Arial" w:eastAsia="Arial" w:hAnsi="Arial"/>
          <w:b/>
          <w:bCs/>
          <w:color w:val="263849"/>
          <w:sz w:val="26"/>
          <w:szCs w:val="26"/>
        </w:rPr>
        <w:t xml:space="preserve">10.7.5 Ratings, grade, rating trigger</w:t>
      </w:r>
    </w:p>
    <w:p>
      <w:pPr>
        <w:spacing w:after="80"/>
      </w:pPr>
      <w:r>
        <w:rPr>
          <w:rFonts w:ascii="Consolas" w:cs="Consolas" w:eastAsia="Consolas" w:hAnsi="Consolas"/>
          <w:color w:val="444444"/>
          <w:sz w:val="20"/>
          <w:szCs w:val="20"/>
        </w:rPr>
        <w:t xml:space="preserve">moodys_rating, moodys_outlook, moodys_watch,
sp_rating, sp_outlook, sp_watch,
fitch_rating, fitch_outlook, fitch_watch,
internal_credit_score, performance_grade, ma_eligibility,
rating_trigger_configured, rating_trigger_threshold,
rating_trigger_consequence,
no_hard_covenant_dscr, no_hard_covenant_icr, proxy_default_flag,
sector_kpis_static, stress_parameters, named_scenarios</w:t>
      </w:r>
    </w:p>
    <w:p>
      <w:pPr>
        <w:pStyle w:val="Heading3"/>
        <w:spacing w:after="80" w:before="180"/>
      </w:pPr>
      <w:r>
        <w:rPr>
          <w:rFonts w:ascii="Arial" w:cs="Arial" w:eastAsia="Arial" w:hAnsi="Arial"/>
          <w:b/>
          <w:bCs/>
          <w:color w:val="263849"/>
          <w:sz w:val="26"/>
          <w:szCs w:val="26"/>
        </w:rPr>
        <w:t xml:space="preserve">10.7.6 Economics</w:t>
      </w:r>
    </w:p>
    <w:p>
      <w:pPr>
        <w:spacing w:after="80"/>
      </w:pPr>
      <w:r>
        <w:rPr>
          <w:rFonts w:ascii="Consolas" w:cs="Consolas" w:eastAsia="Consolas" w:hAnsi="Consolas"/>
          <w:color w:val="444444"/>
          <w:sz w:val="20"/>
          <w:szCs w:val="20"/>
        </w:rPr>
        <w:t xml:space="preserve">unlevered_irr, levered_equity_irr, moic, all_in_cost_of_debt,
ebitda_margin_lifetime, tax_leakage_rate, upfront_economics,
collateral_assessment</w:t>
      </w:r>
    </w:p>
    <w:p>
      <w:pPr>
        <w:pStyle w:val="Heading3"/>
        <w:spacing w:after="80" w:before="180"/>
      </w:pPr>
      <w:r>
        <w:rPr>
          <w:rFonts w:ascii="Arial" w:cs="Arial" w:eastAsia="Arial" w:hAnsi="Arial"/>
          <w:b/>
          <w:bCs/>
          <w:color w:val="263849"/>
          <w:sz w:val="26"/>
          <w:szCs w:val="26"/>
        </w:rPr>
        <w:t xml:space="preserve">10.7.7 Revenue risk taxonomy</w:t>
      </w:r>
    </w:p>
    <w:p>
      <w:pPr>
        <w:spacing w:after="80"/>
      </w:pPr>
      <w:r>
        <w:rPr>
          <w:rFonts w:ascii="Consolas" w:cs="Consolas" w:eastAsia="Consolas" w:hAnsi="Consolas"/>
          <w:color w:val="444444"/>
          <w:sz w:val="20"/>
          <w:szCs w:val="20"/>
        </w:rPr>
        <w:t xml:space="preserve">revenue_pricing_mechanism, revenue_volume_mechanism,
revenue_duration_category, revenue_risk_composite, revenue_risk_level</w:t>
      </w:r>
    </w:p>
    <w:p>
      <w:pPr>
        <w:pStyle w:val="Heading3"/>
        <w:spacing w:after="80" w:before="180"/>
      </w:pPr>
      <w:r>
        <w:rPr>
          <w:rFonts w:ascii="Arial" w:cs="Arial" w:eastAsia="Arial" w:hAnsi="Arial"/>
          <w:b/>
          <w:bCs/>
          <w:color w:val="263849"/>
          <w:sz w:val="26"/>
          <w:szCs w:val="26"/>
        </w:rPr>
        <w:t xml:space="preserve">10.7.8 Compliance state</w:t>
      </w:r>
    </w:p>
    <w:p>
      <w:pPr>
        <w:spacing w:after="80"/>
      </w:pPr>
      <w:r>
        <w:rPr>
          <w:rFonts w:ascii="Consolas" w:cs="Consolas" w:eastAsia="Consolas" w:hAnsi="Consolas"/>
          <w:color w:val="444444"/>
          <w:sz w:val="20"/>
          <w:szCs w:val="20"/>
        </w:rPr>
        <w:t xml:space="preserve">equity_cure_available, equity_cure_regime,
overall_covenant_status, compliance_status, distribution_status,
consecutive_lockup_periods, assigned_ham, assigned_pm</w:t>
      </w:r>
    </w:p>
    <w:p>
      <w:pPr>
        <w:pStyle w:val="Heading3"/>
        <w:spacing w:after="80" w:before="180"/>
      </w:pPr>
      <w:r>
        <w:rPr>
          <w:rFonts w:ascii="Arial" w:cs="Arial" w:eastAsia="Arial" w:hAnsi="Arial"/>
          <w:b/>
          <w:bCs/>
          <w:color w:val="263849"/>
          <w:sz w:val="26"/>
          <w:szCs w:val="26"/>
        </w:rPr>
        <w:t xml:space="preserve">10.7.9 v8 distribution mechanics</w:t>
      </w:r>
    </w:p>
    <w:p>
      <w:pPr>
        <w:spacing w:after="80"/>
      </w:pPr>
      <w:r>
        <w:rPr>
          <w:rFonts w:ascii="Consolas" w:cs="Consolas" w:eastAsia="Consolas" w:hAnsi="Consolas"/>
          <w:color w:val="444444"/>
          <w:sz w:val="20"/>
          <w:szCs w:val="20"/>
        </w:rPr>
        <w:t xml:space="preserve">distribution_frequency, distribution_calculation_basis,
distribution_waterfall_position, sweep_before_distribution,
sweep_in_dscr, trapped_cash_mechanism, trapped_cash_release,
lockup_cure_window_days, lockup_escalation_periods,
lockup_escalation_consequence</w:t>
      </w:r>
    </w:p>
    <w:p>
      <w:pPr>
        <w:pStyle w:val="Heading3"/>
        <w:spacing w:after="80" w:before="180"/>
      </w:pPr>
      <w:r>
        <w:rPr>
          <w:rFonts w:ascii="Arial" w:cs="Arial" w:eastAsia="Arial" w:hAnsi="Arial"/>
          <w:b/>
          <w:bCs/>
          <w:color w:val="263849"/>
          <w:sz w:val="26"/>
          <w:szCs w:val="26"/>
        </w:rPr>
        <w:t xml:space="preserve">10.7.10 Other</w:t>
      </w:r>
    </w:p>
    <w:p>
      <w:pPr>
        <w:spacing w:after="80"/>
      </w:pPr>
      <w:r>
        <w:rPr>
          <w:rFonts w:ascii="Consolas" w:cs="Consolas" w:eastAsia="Consolas" w:hAnsi="Consolas"/>
          <w:color w:val="444444"/>
          <w:sz w:val="20"/>
          <w:szCs w:val="20"/>
        </w:rPr>
        <w:t xml:space="preserve">development_phases, rollout_plan, hedging_policy, hedging_portfolio,
model_version, model_date,
name, borrower, sector, deal_type, region, currency, facility_amount,
phase, summary, deal_overview, revenue_risk</w:t>
      </w:r>
    </w:p>
    <w:p>
      <w:pPr>
        <w:pStyle w:val="Heading2"/>
        <w:spacing w:after="120" w:before="240"/>
      </w:pPr>
      <w:r>
        <w:rPr>
          <w:rFonts w:ascii="Arial" w:cs="Arial" w:eastAsia="Arial" w:hAnsi="Arial"/>
          <w:b/>
          <w:bCs/>
          <w:color w:val="263849"/>
          <w:sz w:val="30"/>
          <w:szCs w:val="30"/>
        </w:rPr>
        <w:t xml:space="preserve">10.8 Tab-by-tab inventory (v9 — 22 sheets + 4 v9 additions)</w:t>
      </w:r>
    </w:p>
    <w:p>
      <w:pPr>
        <w:pStyle w:val="Heading3"/>
        <w:spacing w:after="80" w:before="180"/>
      </w:pPr>
      <w:r>
        <w:rPr>
          <w:rFonts w:ascii="Arial" w:cs="Arial" w:eastAsia="Arial" w:hAnsi="Arial"/>
          <w:b/>
          <w:bCs/>
          <w:color w:val="263849"/>
          <w:sz w:val="26"/>
          <w:szCs w:val="26"/>
        </w:rPr>
        <w:t xml:space="preserve">Tab 1 — Deal Identity</w:t>
      </w:r>
    </w:p>
    <w:p>
      <w:pPr>
        <w:spacing w:after="140" w:line="280"/>
        <w:jc w:val="both"/>
      </w:pPr>
      <w:r>
        <w:rPr>
          <w:rFonts w:ascii="Arial" w:cs="Arial" w:eastAsia="Arial" w:hAnsi="Arial"/>
          <w:sz w:val="22"/>
          <w:szCs w:val="22"/>
        </w:rPr>
        <w:t xml:space="preserve">Key-value layout. Row 4 is the header: Field | Type | Req | Value | Notes | DB Field. Column D carries the value; column F carries the target deals column name (e.g. "topsheet.borrower_legal_name").</w:t>
      </w:r>
    </w:p>
    <w:p>
      <w:pPr>
        <w:pStyle w:val="ListParagraph"/>
        <w:numPr>
          <w:ilvl w:val="0"/>
          <w:numId w:val="2"/>
        </w:numPr>
        <w:spacing w:after="60"/>
      </w:pPr>
      <w:r>
        <w:rPr>
          <w:rFonts w:ascii="Arial" w:cs="Arial" w:eastAsia="Arial" w:hAnsi="Arial"/>
          <w:sz w:val="22"/>
          <w:szCs w:val="22"/>
        </w:rPr>
        <w:t xml:space="preserve">Sections: Identity, Categorisation, Dates, Size, Valuation &amp; Equity (v9), Revenue-risk taxonomy, Distribution mechanics (v8), Narrative, Status.</w:t>
      </w:r>
    </w:p>
    <w:p>
      <w:pPr>
        <w:pStyle w:val="ListParagraph"/>
        <w:numPr>
          <w:ilvl w:val="0"/>
          <w:numId w:val="2"/>
        </w:numPr>
        <w:spacing w:after="60"/>
      </w:pPr>
      <w:r>
        <w:rPr>
          <w:rFonts w:ascii="Arial" w:cs="Arial" w:eastAsia="Arial" w:hAnsi="Arial"/>
          <w:sz w:val="22"/>
          <w:szCs w:val="22"/>
        </w:rPr>
        <w:t xml:space="preserve">Required fields: borrower_legal_name, sector, country, reporting_currency.</w:t>
      </w:r>
    </w:p>
    <w:p>
      <w:pPr>
        <w:pStyle w:val="Heading3"/>
        <w:spacing w:after="80" w:before="180"/>
      </w:pPr>
      <w:r>
        <w:rPr>
          <w:rFonts w:ascii="Arial" w:cs="Arial" w:eastAsia="Arial" w:hAnsi="Arial"/>
          <w:b/>
          <w:bCs/>
          <w:color w:val="263849"/>
          <w:sz w:val="26"/>
          <w:szCs w:val="26"/>
        </w:rPr>
        <w:t xml:space="preserve">Tab 2 — Capital Structure (one row per instrument)</w:t>
      </w:r>
    </w:p>
    <w:p>
      <w:pPr>
        <w:spacing w:after="140" w:line="280"/>
        <w:jc w:val="both"/>
      </w:pPr>
      <w:r>
        <w:rPr>
          <w:rFonts w:ascii="Arial" w:cs="Arial" w:eastAsia="Arial" w:hAnsi="Arial"/>
          <w:sz w:val="22"/>
          <w:szCs w:val="22"/>
        </w:rPr>
        <w:t xml:space="preserve">32 columns in v9.</w:t>
      </w:r>
    </w:p>
    <w:p>
      <w:pPr>
        <w:spacing w:after="80"/>
      </w:pPr>
      <w:r>
        <w:rPr>
          <w:rFonts w:ascii="Consolas" w:cs="Consolas" w:eastAsia="Consolas" w:hAnsi="Consolas"/>
          <w:color w:val="444444"/>
          <w:sz w:val="20"/>
          <w:szCs w:val="20"/>
        </w:rPr>
        <w:t xml:space="preserve">Col 0  instrument_name           Col 16 status
Col 1  instrument_type           Col 17 notes
Col 2  waterfall_priority        Col 18 entity_level               (v8)
Col 3  enforcement_class         Col 19 entity_name                (v8)
Col 4  committed_amount          Col 20 ownership_pct              (v8)
Col 5  drawn_amount              Col 21 structural_seniority       (v8)
Col 6  currency                  Col 22 ratio_consolidation_level  (v8)
Col 7  start_date                Col 23 intercompany_lender        (v8)
Col 8  maturity_date             Col 24 subordination_agreement    (v8)
Col 9  interest_type             Col 25 cashflow_priority_rank     (v8)
Col 10 base_rate                 Col 26 coupon_bps                 (v9)
Col 11 margin_bps                Col 27 base_rate_at_issuance_bps  (v9)
Col 12 repayment_type            Col 28 spread_bps                 (v9)
Col 13 our_holding               Col 29 benchmark_spread_bps       (v9)
Col 14 our_holding_pct           Col 30 payment_frequency          (v9)
Col 15 dsra_months               Col 31 upfront_fee_bps            (v9)
                                  Col 32 commitment_fee_pct_of_margin  (v9)</w:t>
      </w:r>
    </w:p>
    <w:p>
      <w:pPr>
        <w:pStyle w:val="Heading3"/>
        <w:spacing w:after="80" w:before="180"/>
      </w:pPr>
      <w:r>
        <w:rPr>
          <w:rFonts w:ascii="Arial" w:cs="Arial" w:eastAsia="Arial" w:hAnsi="Arial"/>
          <w:b/>
          <w:bCs/>
          <w:color w:val="263849"/>
          <w:sz w:val="26"/>
          <w:szCs w:val="26"/>
        </w:rPr>
        <w:t xml:space="preserve">Tab 2b — Margin Ratchets (child of capital structure)</w:t>
      </w:r>
    </w:p>
    <w:p>
      <w:pPr>
        <w:spacing w:after="80"/>
      </w:pPr>
      <w:r>
        <w:rPr>
          <w:rFonts w:ascii="Consolas" w:cs="Consolas" w:eastAsia="Consolas" w:hAnsi="Consolas"/>
          <w:color w:val="444444"/>
          <w:sz w:val="20"/>
          <w:szCs w:val="20"/>
        </w:rPr>
        <w:t xml:space="preserve">Col 0  instrument_ref       (must match Tab 2 instrument_name)
Col 1  step_order
Col 2  ratchet_kind         ("base_margin" | "esg_adjustment")
Col 3  trigger_type
Col 4  trigger_metric
Col 5  trigger_operator
Col 6  trigger_threshold
Col 7  trigger_threshold_upper
Col 8  effective_from
Col 9  effective_to
Col 10 adjustment_mode      (default: "additive" for esg, "absolute" for base_margin)
Col 11 margin_bps
Col 12 pik_portion_bps
Col 13 step_type
Col 14 notes</w:t>
      </w:r>
    </w:p>
    <w:p>
      <w:pPr>
        <w:pStyle w:val="Heading3"/>
        <w:spacing w:after="80" w:before="180"/>
      </w:pPr>
      <w:r>
        <w:rPr>
          <w:rFonts w:ascii="Arial" w:cs="Arial" w:eastAsia="Arial" w:hAnsi="Arial"/>
          <w:b/>
          <w:bCs/>
          <w:color w:val="263849"/>
          <w:sz w:val="26"/>
          <w:szCs w:val="26"/>
        </w:rPr>
        <w:t xml:space="preserve">Tab 3 — Enforcement Classes</w:t>
      </w:r>
    </w:p>
    <w:p>
      <w:pPr>
        <w:spacing w:after="80"/>
      </w:pPr>
      <w:r>
        <w:rPr>
          <w:rFonts w:ascii="Consolas" w:cs="Consolas" w:eastAsia="Consolas" w:hAnsi="Consolas"/>
          <w:color w:val="444444"/>
          <w:sz w:val="20"/>
          <w:szCs w:val="20"/>
        </w:rPr>
        <w:t xml:space="preserve">class_name, class_code, priority, included_instruments,
ratio_definitions, covenant_thresholds, notes</w:t>
      </w:r>
    </w:p>
    <w:p>
      <w:pPr>
        <w:pStyle w:val="Heading3"/>
        <w:spacing w:after="80" w:before="180"/>
      </w:pPr>
      <w:r>
        <w:rPr>
          <w:rFonts w:ascii="Arial" w:cs="Arial" w:eastAsia="Arial" w:hAnsi="Arial"/>
          <w:b/>
          <w:bCs/>
          <w:color w:val="263849"/>
          <w:sz w:val="26"/>
          <w:szCs w:val="26"/>
        </w:rPr>
        <w:t xml:space="preserve">Tab 4 — Ratings</w:t>
      </w:r>
    </w:p>
    <w:p>
      <w:pPr>
        <w:spacing w:after="140" w:line="280"/>
        <w:jc w:val="both"/>
      </w:pPr>
      <w:r>
        <w:rPr>
          <w:rFonts w:ascii="Arial" w:cs="Arial" w:eastAsia="Arial" w:hAnsi="Arial"/>
          <w:sz w:val="22"/>
          <w:szCs w:val="22"/>
        </w:rPr>
        <w:t xml:space="preserve">Key-value. Sections: external (Moody's/S&amp;P/Fitch: rating, outlook, watch, date), internal credit score, rating trigger (configured / threshold / consequence).</w:t>
      </w:r>
    </w:p>
    <w:p>
      <w:pPr>
        <w:pStyle w:val="Heading3"/>
        <w:spacing w:after="80" w:before="180"/>
      </w:pPr>
      <w:r>
        <w:rPr>
          <w:rFonts w:ascii="Arial" w:cs="Arial" w:eastAsia="Arial" w:hAnsi="Arial"/>
          <w:b/>
          <w:bCs/>
          <w:color w:val="263849"/>
          <w:sz w:val="26"/>
          <w:szCs w:val="26"/>
        </w:rPr>
        <w:t xml:space="preserve">Tab 5 — Sources &amp; Uses</w:t>
      </w:r>
    </w:p>
    <w:p>
      <w:pPr>
        <w:spacing w:after="140" w:line="280"/>
        <w:jc w:val="both"/>
      </w:pPr>
      <w:r>
        <w:rPr>
          <w:rFonts w:ascii="Arial" w:cs="Arial" w:eastAsia="Arial" w:hAnsi="Arial"/>
          <w:sz w:val="22"/>
          <w:szCs w:val="22"/>
        </w:rPr>
        <w:t xml:space="preserve">Flat rows; importer assembles into deals.sources_and_uses JSONB. Columns: source_use, category, amount, currency, narrative.</w:t>
      </w:r>
    </w:p>
    <w:p>
      <w:pPr>
        <w:pStyle w:val="Heading3"/>
        <w:spacing w:after="80" w:before="180"/>
      </w:pPr>
      <w:r>
        <w:rPr>
          <w:rFonts w:ascii="Arial" w:cs="Arial" w:eastAsia="Arial" w:hAnsi="Arial"/>
          <w:b/>
          <w:bCs/>
          <w:color w:val="263849"/>
          <w:sz w:val="26"/>
          <w:szCs w:val="26"/>
        </w:rPr>
        <w:t xml:space="preserve">Tab 6 — Covenant Config (used by pre-v8 imports)</w:t>
      </w:r>
    </w:p>
    <w:p>
      <w:pPr>
        <w:spacing w:after="80"/>
      </w:pPr>
      <w:r>
        <w:rPr>
          <w:rFonts w:ascii="Consolas" w:cs="Consolas" w:eastAsia="Consolas" w:hAnsi="Consolas"/>
          <w:color w:val="444444"/>
          <w:sz w:val="20"/>
          <w:szCs w:val="20"/>
        </w:rPr>
        <w:t xml:space="preserve">Col 0  covenant_name          Col 5  lockup_level
Col 1  ratio_name             Col 6  trigger_level
Col 2  covenant_category      Col 7  default_level
Col 3  test_type              Col 8  composition_tag
Col 4  direction              Col 9  test_frequency
                               Col 11 ratio_level (v8)
Section break: NO-HARD-COVENANT proxy flags (no_hard_covenant_dscr,
no_hard_covenant_icr, proxy_default_flag).
Section break: RATING-BASED TRIGGER
(rating_trigger_configured, _threshold, _consequence).</w:t>
      </w:r>
    </w:p>
    <w:p>
      <w:pPr>
        <w:pStyle w:val="Heading3"/>
        <w:spacing w:after="80" w:before="180"/>
      </w:pPr>
      <w:r>
        <w:rPr>
          <w:rFonts w:ascii="Arial" w:cs="Arial" w:eastAsia="Arial" w:hAnsi="Arial"/>
          <w:b/>
          <w:bCs/>
          <w:color w:val="263849"/>
          <w:sz w:val="26"/>
          <w:szCs w:val="26"/>
        </w:rPr>
        <w:t xml:space="preserve">Tab 7 — Corporate Entities (v8)</w:t>
      </w:r>
    </w:p>
    <w:p>
      <w:pPr>
        <w:spacing w:after="80"/>
      </w:pPr>
      <w:r>
        <w:rPr>
          <w:rFonts w:ascii="Consolas" w:cs="Consolas" w:eastAsia="Consolas" w:hAnsi="Consolas"/>
          <w:color w:val="444444"/>
          <w:sz w:val="20"/>
          <w:szCs w:val="20"/>
        </w:rPr>
        <w:t xml:space="preserve">Col 0  entity_name             Col 6  ownership_pct          (v8)
Col 1  entity_type             Col 7  ownership_type         (v8)
Col 2  parent_entity           Col 8  control_type           (v8)
Col 3  jurisdiction            Col 9  consolidation_method   (v8)
Col 4  ring_fenced             Col 10 within_security_perimeter (v8)
Col 5  securitisation_boundary Col 11 ratio_level            (v8)</w:t>
      </w:r>
    </w:p>
    <w:p>
      <w:pPr>
        <w:pStyle w:val="Heading3"/>
        <w:spacing w:after="80" w:before="180"/>
      </w:pPr>
      <w:r>
        <w:rPr>
          <w:rFonts w:ascii="Arial" w:cs="Arial" w:eastAsia="Arial" w:hAnsi="Arial"/>
          <w:b/>
          <w:bCs/>
          <w:color w:val="263849"/>
          <w:sz w:val="26"/>
          <w:szCs w:val="26"/>
        </w:rPr>
        <w:t xml:space="preserve">Tab 8 — Covenant Thresholds v8</w:t>
      </w:r>
    </w:p>
    <w:p>
      <w:pPr>
        <w:spacing w:after="80"/>
      </w:pPr>
      <w:r>
        <w:rPr>
          <w:rFonts w:ascii="Consolas" w:cs="Consolas" w:eastAsia="Consolas" w:hAnsi="Consolas"/>
          <w:color w:val="444444"/>
          <w:sz w:val="20"/>
          <w:szCs w:val="20"/>
        </w:rPr>
        <w:t xml:space="preserve">Col 0  covenant_name       Col 6  enforcement_class
Col 1  ratio_name          Col 7  lockup_level
Col 2  category            Col 8  trigger_level
Col 3  test_type           Col 9  default_level
Col 4  direction           Col 10 equity_cure_available
Col 5  test_frequency      Col 11 ratio_level            (v8)</w:t>
      </w:r>
    </w:p>
    <w:p>
      <w:pPr>
        <w:pStyle w:val="Heading3"/>
        <w:spacing w:after="80" w:before="180"/>
      </w:pPr>
      <w:r>
        <w:rPr>
          <w:rFonts w:ascii="Arial" w:cs="Arial" w:eastAsia="Arial" w:hAnsi="Arial"/>
          <w:b/>
          <w:bCs/>
          <w:color w:val="263849"/>
          <w:sz w:val="26"/>
          <w:szCs w:val="26"/>
        </w:rPr>
        <w:t xml:space="preserve">Tab 9 — Counterparties</w:t>
      </w:r>
    </w:p>
    <w:p>
      <w:pPr>
        <w:spacing w:after="80"/>
      </w:pPr>
      <w:r>
        <w:rPr>
          <w:rFonts w:ascii="Consolas" w:cs="Consolas" w:eastAsia="Consolas" w:hAnsi="Consolas"/>
          <w:color w:val="444444"/>
          <w:sz w:val="20"/>
          <w:szCs w:val="20"/>
        </w:rPr>
        <w:t xml:space="preserve">name, counterparty_type, credit_rating, lei,
dependency_narrative, replacement_risk, contract_expiry,
contract_value, notes</w:t>
      </w:r>
    </w:p>
    <w:p>
      <w:pPr>
        <w:pStyle w:val="Heading3"/>
        <w:spacing w:after="80" w:before="180"/>
      </w:pPr>
      <w:r>
        <w:rPr>
          <w:rFonts w:ascii="Arial" w:cs="Arial" w:eastAsia="Arial" w:hAnsi="Arial"/>
          <w:b/>
          <w:bCs/>
          <w:color w:val="263849"/>
          <w:sz w:val="26"/>
          <w:szCs w:val="26"/>
        </w:rPr>
        <w:t xml:space="preserve">Tab 10 — Reserve Accounts</w:t>
      </w:r>
    </w:p>
    <w:p>
      <w:pPr>
        <w:spacing w:after="80"/>
      </w:pPr>
      <w:r>
        <w:rPr>
          <w:rFonts w:ascii="Consolas" w:cs="Consolas" w:eastAsia="Consolas" w:hAnsi="Consolas"/>
          <w:color w:val="444444"/>
          <w:sz w:val="20"/>
          <w:szCs w:val="20"/>
        </w:rPr>
        <w:t xml:space="preserve">account_name, account_type, sizing_basis, required_balance,
current_balance, funded_status, funding_method, provider,
linked_instrument, expiry, notes</w:t>
      </w:r>
    </w:p>
    <w:p>
      <w:pPr>
        <w:pStyle w:val="Heading3"/>
        <w:spacing w:after="80" w:before="180"/>
      </w:pPr>
      <w:r>
        <w:rPr>
          <w:rFonts w:ascii="Arial" w:cs="Arial" w:eastAsia="Arial" w:hAnsi="Arial"/>
          <w:b/>
          <w:bCs/>
          <w:color w:val="263849"/>
          <w:sz w:val="26"/>
          <w:szCs w:val="26"/>
        </w:rPr>
        <w:t xml:space="preserve">Tab 11 — Hedge Portfolio</w:t>
      </w:r>
    </w:p>
    <w:p>
      <w:pPr>
        <w:spacing w:after="80"/>
      </w:pPr>
      <w:r>
        <w:rPr>
          <w:rFonts w:ascii="Consolas" w:cs="Consolas" w:eastAsia="Consolas" w:hAnsi="Consolas"/>
          <w:color w:val="444444"/>
          <w:sz w:val="20"/>
          <w:szCs w:val="20"/>
        </w:rPr>
        <w:t xml:space="preserve">hedge_type, notional, pct_of_debt, start_date, maturity,
fixed_rate, counterparty, counterparty_rating,
mark_to_market, mtm_date, notes</w:t>
      </w:r>
    </w:p>
    <w:p>
      <w:pPr>
        <w:pStyle w:val="Heading3"/>
        <w:spacing w:after="80" w:before="180"/>
      </w:pPr>
      <w:r>
        <w:rPr>
          <w:rFonts w:ascii="Arial" w:cs="Arial" w:eastAsia="Arial" w:hAnsi="Arial"/>
          <w:b/>
          <w:bCs/>
          <w:color w:val="263849"/>
          <w:sz w:val="26"/>
          <w:szCs w:val="26"/>
        </w:rPr>
        <w:t xml:space="preserve">Tab 12 — Development Phases</w:t>
      </w:r>
    </w:p>
    <w:p>
      <w:pPr>
        <w:spacing w:after="80"/>
      </w:pPr>
      <w:r>
        <w:rPr>
          <w:rFonts w:ascii="Consolas" w:cs="Consolas" w:eastAsia="Consolas" w:hAnsi="Consolas"/>
          <w:color w:val="444444"/>
          <w:sz w:val="20"/>
          <w:szCs w:val="20"/>
        </w:rPr>
        <w:t xml:space="preserve">phase_name, phase_number, capex_budget, start_date,
target_end_date, actual_end_date, status, actual_spend,
description, notes
# derived: variance = capex_budget - actual_spend</w:t>
      </w:r>
    </w:p>
    <w:p>
      <w:pPr>
        <w:pStyle w:val="Heading3"/>
        <w:spacing w:after="80" w:before="180"/>
      </w:pPr>
      <w:r>
        <w:rPr>
          <w:rFonts w:ascii="Arial" w:cs="Arial" w:eastAsia="Arial" w:hAnsi="Arial"/>
          <w:b/>
          <w:bCs/>
          <w:color w:val="263849"/>
          <w:sz w:val="26"/>
          <w:szCs w:val="26"/>
        </w:rPr>
        <w:t xml:space="preserve">Tab 13 — Investor Allocations</w:t>
      </w:r>
    </w:p>
    <w:p>
      <w:pPr>
        <w:spacing w:after="80"/>
      </w:pPr>
      <w:r>
        <w:rPr>
          <w:rFonts w:ascii="Consolas" w:cs="Consolas" w:eastAsia="Consolas" w:hAnsi="Consolas"/>
          <w:color w:val="444444"/>
          <w:sz w:val="20"/>
          <w:szCs w:val="20"/>
        </w:rPr>
        <w:t xml:space="preserve">investor_name, account_mandate, tranche, amount,
mandate_size, pct_of_mandate, notes</w:t>
      </w:r>
    </w:p>
    <w:p>
      <w:pPr>
        <w:pStyle w:val="Heading3"/>
        <w:spacing w:after="80" w:before="180"/>
      </w:pPr>
      <w:r>
        <w:rPr>
          <w:rFonts w:ascii="Arial" w:cs="Arial" w:eastAsia="Arial" w:hAnsi="Arial"/>
          <w:b/>
          <w:bCs/>
          <w:color w:val="263849"/>
          <w:sz w:val="26"/>
          <w:szCs w:val="26"/>
        </w:rPr>
        <w:t xml:space="preserve">Tab 14 — Key Outputs</w:t>
      </w:r>
    </w:p>
    <w:p>
      <w:pPr>
        <w:spacing w:after="140" w:line="280"/>
        <w:jc w:val="both"/>
      </w:pPr>
      <w:r>
        <w:rPr>
          <w:rFonts w:ascii="Arial" w:cs="Arial" w:eastAsia="Arial" w:hAnsi="Arial"/>
          <w:sz w:val="22"/>
          <w:szCs w:val="22"/>
        </w:rPr>
        <w:t xml:space="preserve">Key-value into deals columns: unlevered_irr, levered_equity_irr, moic, all_in_cost_of_debt, ebitda_margin_lifetime, tax_leakage_rate, upfront_economics.</w:t>
      </w:r>
    </w:p>
    <w:p>
      <w:pPr>
        <w:pStyle w:val="Heading3"/>
        <w:spacing w:after="80" w:before="180"/>
      </w:pPr>
      <w:r>
        <w:rPr>
          <w:rFonts w:ascii="Arial" w:cs="Arial" w:eastAsia="Arial" w:hAnsi="Arial"/>
          <w:b/>
          <w:bCs/>
          <w:color w:val="263849"/>
          <w:sz w:val="26"/>
          <w:szCs w:val="26"/>
        </w:rPr>
        <w:t xml:space="preserve">Tab 15 — Intercreditor Terms</w:t>
      </w:r>
    </w:p>
    <w:p>
      <w:pPr>
        <w:spacing w:after="140" w:line="280"/>
        <w:jc w:val="both"/>
      </w:pPr>
      <w:r>
        <w:rPr>
          <w:rFonts w:ascii="Arial" w:cs="Arial" w:eastAsia="Arial" w:hAnsi="Arial"/>
          <w:sz w:val="22"/>
          <w:szCs w:val="22"/>
        </w:rPr>
        <w:t xml:space="preserve">Key-value. Recognised fields: governing_law, standstill_period, turnover_provisions, permitted_junior_payments, security_release_conditions, non_petition_clause, enforcement_priority.</w:t>
      </w:r>
    </w:p>
    <w:p>
      <w:pPr>
        <w:pStyle w:val="Heading3"/>
        <w:spacing w:after="80" w:before="180"/>
      </w:pPr>
      <w:r>
        <w:rPr>
          <w:rFonts w:ascii="Arial" w:cs="Arial" w:eastAsia="Arial" w:hAnsi="Arial"/>
          <w:b/>
          <w:bCs/>
          <w:color w:val="263849"/>
          <w:sz w:val="26"/>
          <w:szCs w:val="26"/>
        </w:rPr>
        <w:t xml:space="preserve">Tab 16 — Base Case (management_case forecast, priority 1)</w:t>
      </w:r>
    </w:p>
    <w:p>
      <w:pPr>
        <w:spacing w:after="140" w:line="280"/>
        <w:jc w:val="both"/>
      </w:pPr>
      <w:r>
        <w:rPr>
          <w:rFonts w:ascii="Arial" w:cs="Arial" w:eastAsia="Arial" w:hAnsi="Arial"/>
          <w:sz w:val="22"/>
          <w:szCs w:val="22"/>
        </w:rPr>
        <w:t xml:space="preserve">Expected layout:</w:t>
      </w:r>
    </w:p>
    <w:p>
      <w:pPr>
        <w:spacing w:after="80"/>
      </w:pPr>
      <w:r>
        <w:rPr>
          <w:rFonts w:ascii="Consolas" w:cs="Consolas" w:eastAsia="Consolas" w:hAnsi="Consolas"/>
          <w:color w:val="444444"/>
          <w:sz w:val="20"/>
          <w:szCs w:val="20"/>
        </w:rPr>
        <w:t xml:space="preserve">Row 4 (i=3) header: [None, "Line Item", "Min", "Max", "Average", "2024Q1", ...]
Col 0 = category tag (CF/BS/AN/RT/KPI)
Col 1 = line item label
Col 5+ = period values per period_flag
Periods with no metrics are skipped.
Label → metric key via LINE_ITEM_KEYS registry.</w:t>
      </w:r>
    </w:p>
    <w:p>
      <w:pPr>
        <w:pStyle w:val="Heading3"/>
        <w:spacing w:after="80" w:before="180"/>
      </w:pPr>
      <w:r>
        <w:rPr>
          <w:rFonts w:ascii="Arial" w:cs="Arial" w:eastAsia="Arial" w:hAnsi="Arial"/>
          <w:b/>
          <w:bCs/>
          <w:color w:val="263849"/>
          <w:sz w:val="26"/>
          <w:szCs w:val="26"/>
        </w:rPr>
        <w:t xml:space="preserve">Tab 17 — Management Case (stored as lender_case, priority 2)</w:t>
      </w:r>
    </w:p>
    <w:p>
      <w:pPr>
        <w:spacing w:after="140" w:line="280"/>
        <w:jc w:val="both"/>
      </w:pPr>
      <w:r>
        <w:rPr>
          <w:rFonts w:ascii="Arial" w:cs="Arial" w:eastAsia="Arial" w:hAnsi="Arial"/>
          <w:sz w:val="22"/>
          <w:szCs w:val="22"/>
        </w:rPr>
        <w:t xml:space="preserve">Same shape as Tab 16. Note: the sheet label "Management Case" maps to scenario_kind = lender_case in the database. The name reflects legacy usage; v10+ should rename this sheet to "Lender Case".</w:t>
      </w:r>
    </w:p>
    <w:p>
      <w:pPr>
        <w:pStyle w:val="Heading3"/>
        <w:spacing w:after="80" w:before="180"/>
      </w:pPr>
      <w:r>
        <w:rPr>
          <w:rFonts w:ascii="Arial" w:cs="Arial" w:eastAsia="Arial" w:hAnsi="Arial"/>
          <w:b/>
          <w:bCs/>
          <w:color w:val="263849"/>
          <w:sz w:val="26"/>
          <w:szCs w:val="26"/>
        </w:rPr>
        <w:t xml:space="preserve">Tab 18 — Downside Case (combined_downside, priority 3)</w:t>
      </w:r>
    </w:p>
    <w:p>
      <w:pPr>
        <w:spacing w:after="140" w:line="280"/>
        <w:jc w:val="both"/>
      </w:pPr>
      <w:r>
        <w:rPr>
          <w:rFonts w:ascii="Arial" w:cs="Arial" w:eastAsia="Arial" w:hAnsi="Arial"/>
          <w:sz w:val="22"/>
          <w:szCs w:val="22"/>
        </w:rPr>
        <w:t xml:space="preserve">Same shape as Tab 16.</w:t>
      </w:r>
    </w:p>
    <w:p>
      <w:pPr>
        <w:pStyle w:val="Heading3"/>
        <w:spacing w:after="80" w:before="180"/>
      </w:pPr>
      <w:r>
        <w:rPr>
          <w:rFonts w:ascii="Arial" w:cs="Arial" w:eastAsia="Arial" w:hAnsi="Arial"/>
          <w:b/>
          <w:bCs/>
          <w:color w:val="263849"/>
          <w:sz w:val="26"/>
          <w:szCs w:val="26"/>
        </w:rPr>
        <w:t xml:space="preserve">Tab 19 — Actuals</w:t>
      </w:r>
    </w:p>
    <w:p>
      <w:pPr>
        <w:spacing w:after="80"/>
      </w:pPr>
      <w:r>
        <w:rPr>
          <w:rFonts w:ascii="Consolas" w:cs="Consolas" w:eastAsia="Consolas" w:hAnsi="Consolas"/>
          <w:color w:val="444444"/>
          <w:sz w:val="20"/>
          <w:szCs w:val="20"/>
        </w:rPr>
        <w:t xml:space="preserve">Row 4  header: [None, "Line Item", "Period 1", "Period 2", ...]
Rows 5-12 (i=4-11): META rows:
    "Period Label"           → period_label
    "Period End Date"        → period_end
    "Source Document"        → source_document_name
    "Source Document Type"   → source_document_type
    "Received Date"          → received_date
    "Extraction Confidence"  → extraction_confidence
    "Approval Tier"          → approval_tier
    "Approved By"            → approved_by
Row 13+: financial data with CF/BS/AN/RT categories
Validation: period must have period_label to be included.
period_flag derived: "Q1 2026" → "2026Q1", "H1 2026" → "2026H1"</w:t>
      </w:r>
    </w:p>
    <w:p>
      <w:pPr>
        <w:pStyle w:val="Heading3"/>
        <w:spacing w:after="80" w:before="180"/>
      </w:pPr>
      <w:r>
        <w:rPr>
          <w:rFonts w:ascii="Arial" w:cs="Arial" w:eastAsia="Arial" w:hAnsi="Arial"/>
          <w:b/>
          <w:bCs/>
          <w:color w:val="263849"/>
          <w:sz w:val="26"/>
          <w:szCs w:val="26"/>
        </w:rPr>
        <w:t xml:space="preserve">Tab 20 — Risk Register (Template 2, 30 columns)</w:t>
      </w:r>
    </w:p>
    <w:p>
      <w:pPr>
        <w:spacing w:after="80"/>
      </w:pPr>
      <w:r>
        <w:rPr>
          <w:rFonts w:ascii="Consolas" w:cs="Consolas" w:eastAsia="Consolas" w:hAnsi="Consolas"/>
          <w:color w:val="444444"/>
          <w:sz w:val="20"/>
          <w:szCs w:val="20"/>
        </w:rPr>
        <w:t xml:space="preserve">offset+1  risk_id (must start "RISK-")
offset+4  present: Yes|No|N/A
            → status = "assessed" | "not_applicable" | "not_yet_assessed"
offset+5  likelihood      (word or 1-5)
offset+6  severity        (word or 1-6)
offset+9  trend
offset+10 mitigation_party (M1..M5)
offset+12 mitigation_capital (C1..C5)
offset+13-20  capital type, provider, amount, expiry, detail
Mitigation party map:
  M1 → M1_none
  M2 → M2_reputational
  M3 → M3_contractual
  M4 → M4_direct_economic
  M5 → M5_rated_sovereign
Mitigation capital map:
  C1 → C1_none
  C2 → C2_comfort
  C3 → C3_contractual_backstop
  C4 → C4_funded_reserve
  C5 → C5_unconditional_guarantee</w:t>
      </w:r>
    </w:p>
    <w:p>
      <w:pPr>
        <w:pStyle w:val="Heading3"/>
        <w:spacing w:after="80" w:before="180"/>
      </w:pPr>
      <w:r>
        <w:rPr>
          <w:rFonts w:ascii="Arial" w:cs="Arial" w:eastAsia="Arial" w:hAnsi="Arial"/>
          <w:b/>
          <w:bCs/>
          <w:color w:val="263849"/>
          <w:sz w:val="26"/>
          <w:szCs w:val="26"/>
        </w:rPr>
        <w:t xml:space="preserve">Tab 21 — Stress Config</w:t>
      </w:r>
    </w:p>
    <w:p>
      <w:pPr>
        <w:spacing w:after="80"/>
      </w:pPr>
      <w:r>
        <w:rPr>
          <w:rFonts w:ascii="Consolas" w:cs="Consolas" w:eastAsia="Consolas" w:hAnsi="Consolas"/>
          <w:color w:val="444444"/>
          <w:sz w:val="20"/>
          <w:szCs w:val="20"/>
        </w:rPr>
        <w:t xml:space="preserve">parameter, start_value, flex, modelled_value, notes
→ stored as deals.stress_parameters (JSONB array)</w:t>
      </w:r>
    </w:p>
    <w:p>
      <w:pPr>
        <w:pStyle w:val="Heading3"/>
        <w:spacing w:after="80" w:before="180"/>
      </w:pPr>
      <w:r>
        <w:rPr>
          <w:rFonts w:ascii="Arial" w:cs="Arial" w:eastAsia="Arial" w:hAnsi="Arial"/>
          <w:b/>
          <w:bCs/>
          <w:color w:val="263849"/>
          <w:sz w:val="26"/>
          <w:szCs w:val="26"/>
        </w:rPr>
        <w:t xml:space="preserve">Tab 22 — KPI Scenario Series (v9, Tab 9 in newer template)</w:t>
      </w:r>
    </w:p>
    <w:p>
      <w:pPr>
        <w:spacing w:after="80"/>
      </w:pPr>
      <w:r>
        <w:rPr>
          <w:rFonts w:ascii="Consolas" w:cs="Consolas" w:eastAsia="Consolas" w:hAnsi="Consolas"/>
          <w:color w:val="444444"/>
          <w:sz w:val="20"/>
          <w:szCs w:val="20"/>
        </w:rPr>
        <w:t xml:space="preserve">Col 0  kpi_key
Col 1  kpi_label
Col 2  scenario_kind     (management_case | single_variant_stress |
                          combined_downside | credit_case | lender_case | custom)
Col 3  stress_label
Col 4  driving_risk_ref  (format "RISK-XX-NNN")
Col 5  period_flag
Col 6  value
Sparse rows with any of (kpi_key, scenario_kind, period_flag, value) empty
are skipped.
Import logic (per distinct scenario+stress+driving_risk tuple):
  1. Find/create forecast_case
  2. Find/create active forecast_case_version
  3. Resolve driving_risk_ref → deal_risk_register.id
  4. Insert forecast_period_items rows + update line_item_definitions
     + deal_line_item_labels</w:t>
      </w:r>
    </w:p>
    <w:p>
      <w:pPr>
        <w:pStyle w:val="Heading3"/>
        <w:spacing w:after="80" w:before="180"/>
      </w:pPr>
      <w:r>
        <w:rPr>
          <w:rFonts w:ascii="Arial" w:cs="Arial" w:eastAsia="Arial" w:hAnsi="Arial"/>
          <w:b/>
          <w:bCs/>
          <w:color w:val="263849"/>
          <w:sz w:val="26"/>
          <w:szCs w:val="26"/>
        </w:rPr>
        <w:t xml:space="preserve">Tab 23 — Metadata</w:t>
      </w:r>
    </w:p>
    <w:p>
      <w:pPr>
        <w:spacing w:after="140" w:line="280"/>
        <w:jc w:val="both"/>
      </w:pPr>
      <w:r>
        <w:rPr>
          <w:rFonts w:ascii="Arial" w:cs="Arial" w:eastAsia="Arial" w:hAnsi="Arial"/>
          <w:sz w:val="22"/>
          <w:szCs w:val="22"/>
        </w:rPr>
        <w:t xml:space="preserve">Key-value: model_version, model_date, approved_auditors (semicolon-separated).</w:t>
      </w:r>
    </w:p>
    <w:p>
      <w:pPr>
        <w:pStyle w:val="Heading3"/>
        <w:spacing w:after="80" w:before="180"/>
      </w:pPr>
      <w:r>
        <w:rPr>
          <w:rFonts w:ascii="Arial" w:cs="Arial" w:eastAsia="Arial" w:hAnsi="Arial"/>
          <w:b/>
          <w:bCs/>
          <w:color w:val="263849"/>
          <w:sz w:val="26"/>
          <w:szCs w:val="26"/>
        </w:rPr>
        <w:t xml:space="preserve">Tab 24 — Line Labels (sector template)</w:t>
      </w:r>
    </w:p>
    <w:p>
      <w:pPr>
        <w:spacing w:after="80"/>
      </w:pPr>
      <w:r>
        <w:rPr>
          <w:rFonts w:ascii="Consolas" w:cs="Consolas" w:eastAsia="Consolas" w:hAnsi="Consolas"/>
          <w:color w:val="444444"/>
          <w:sz w:val="20"/>
          <w:szCs w:val="20"/>
        </w:rPr>
        <w:t xml:space="preserve">Sections detected by keywords:
  "sector template" / "sector:"        → sector_template
  "revenue"  + "line"/"label"          → revenue_line_labels
  "cost"     + "line"/"label"          → cost_line_labels
  "capex"    + "line"/"label"          → capex_line_labels
  "kpi"      / "sector kpi"            → sector_kpi_labels
Stored in deal_financial_template JSONB.</w:t>
      </w:r>
    </w:p>
    <w:p>
      <w:pPr>
        <w:pStyle w:val="Heading2"/>
        <w:spacing w:after="120" w:before="240"/>
      </w:pPr>
      <w:r>
        <w:rPr>
          <w:rFonts w:ascii="Arial" w:cs="Arial" w:eastAsia="Arial" w:hAnsi="Arial"/>
          <w:b/>
          <w:bCs/>
          <w:color w:val="263849"/>
          <w:sz w:val="30"/>
          <w:szCs w:val="30"/>
        </w:rPr>
        <w:t xml:space="preserve">10.9 LINE_ITEM_KEYS registry (display label → JSON key)</w:t>
      </w:r>
    </w:p>
    <w:p>
      <w:pPr>
        <w:spacing w:after="140" w:line="280"/>
        <w:jc w:val="both"/>
      </w:pPr>
      <w:r>
        <w:rPr>
          <w:rFonts w:ascii="Arial" w:cs="Arial" w:eastAsia="Arial" w:hAnsi="Arial"/>
          <w:sz w:val="22"/>
          <w:szCs w:val="22"/>
        </w:rPr>
        <w:t xml:space="preserve">100+ label→key mappings used by forecast and actuals parsers. Examples:</w:t>
      </w:r>
    </w:p>
    <w:p>
      <w:pPr>
        <w:spacing w:after="80"/>
      </w:pPr>
      <w:r>
        <w:rPr>
          <w:rFonts w:ascii="Consolas" w:cs="Consolas" w:eastAsia="Consolas" w:hAnsi="Consolas"/>
          <w:color w:val="444444"/>
          <w:sz w:val="20"/>
          <w:szCs w:val="20"/>
        </w:rPr>
        <w:t xml:space="preserve"># Cashflow
"total revenue"          → total_revenue
"gpu revenue"            → gpu_revenue
"storage revenue"        → storage_revenue
"footprint charges"      → footprint_charges
"energy recharge"        → energy_recharge
# ... 80+ more
# Ratios
"senior quarterly dscr"  → senior_quarterly_dscr
"senior annual dscr"     → senior_annual_dscr
"senior net debt / ebitda" → senior_net_debt_ebitda
"total net debt / ebitda" → total_net_debt_ebitda
# ... 30+ more</w:t>
      </w:r>
    </w:p>
    <w:p>
      <w:pPr>
        <w:pStyle w:val="Heading2"/>
        <w:spacing w:after="120" w:before="240"/>
      </w:pPr>
      <w:r>
        <w:rPr>
          <w:rFonts w:ascii="Arial" w:cs="Arial" w:eastAsia="Arial" w:hAnsi="Arial"/>
          <w:b/>
          <w:bCs/>
          <w:color w:val="263849"/>
          <w:sz w:val="30"/>
          <w:szCs w:val="30"/>
        </w:rPr>
        <w:t xml:space="preserve">10.10 Scenario-case mapping</w:t>
      </w:r>
    </w:p>
    <w:p>
      <w:pPr>
        <w:spacing w:after="80"/>
      </w:pPr>
      <w:r>
        <w:rPr>
          <w:rFonts w:ascii="Consolas" w:cs="Consolas" w:eastAsia="Consolas" w:hAnsi="Consolas"/>
          <w:color w:val="444444"/>
          <w:sz w:val="20"/>
          <w:szCs w:val="20"/>
        </w:rPr>
        <w:t xml:space="preserve">SCENARIO_MAP = {
    "16. Base Case":         "management_case",   # priority 1, drives grade
    "17. Management Case":   "lender_case",       # priority 2, secondary
    "18. Downside Case":     "combined_downside", # priority 3, floor/alarm
}
CASE_TYPE_PRIORITY = {"management_case": 1, "lender_case": 2,
                      "combined_downside": 3}</w:t>
      </w:r>
    </w:p>
    <w:p>
      <w:pPr>
        <w:spacing w:after="140" w:line="280"/>
        <w:jc w:val="both"/>
      </w:pPr>
      <w:r>
        <w:rPr>
          <w:rFonts w:ascii="Arial" w:cs="Arial" w:eastAsia="Arial" w:hAnsi="Arial"/>
          <w:sz w:val="22"/>
          <w:szCs w:val="22"/>
        </w:rPr>
        <w:t xml:space="preserve">drives_monitoring flag on forecast_case set to True only for management_case.</w:t>
      </w:r>
    </w:p>
    <w:p>
      <w:pPr>
        <w:pStyle w:val="Heading2"/>
        <w:spacing w:after="120" w:before="240"/>
      </w:pPr>
      <w:r>
        <w:rPr>
          <w:rFonts w:ascii="Arial" w:cs="Arial" w:eastAsia="Arial" w:hAnsi="Arial"/>
          <w:b/>
          <w:bCs/>
          <w:color w:val="263849"/>
          <w:sz w:val="30"/>
          <w:szCs w:val="30"/>
        </w:rPr>
        <w:t xml:space="preserve">10.11 Proposed new tab — Waterfall (TBD)</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Agreed 2026-04-18: waterfall structure should be a new TopSheet section rather than the free-text waterfall_description column. Proposed shape below. Implementation outstanding.</w:t>
      </w:r>
    </w:p>
    <w:p>
      <w:pPr>
        <w:spacing w:after="80"/>
      </w:pPr>
      <w:r>
        <w:rPr>
          <w:rFonts w:ascii="Arial" w:cs="Arial" w:eastAsia="Arial" w:hAnsi="Arial"/>
          <w:b/>
          <w:bCs/>
          <w:sz w:val="22"/>
          <w:szCs w:val="22"/>
        </w:rPr>
        <w:t xml:space="preserve">Proposed Tab 25 — Waterfall</w:t>
      </w:r>
    </w:p>
    <w:p>
      <w:pPr>
        <w:pStyle w:val="ListParagraph"/>
        <w:numPr>
          <w:ilvl w:val="0"/>
          <w:numId w:val="2"/>
        </w:numPr>
        <w:spacing w:after="60"/>
      </w:pPr>
      <w:r>
        <w:rPr>
          <w:rFonts w:ascii="Arial" w:cs="Arial" w:eastAsia="Arial" w:hAnsi="Arial"/>
          <w:sz w:val="22"/>
          <w:szCs w:val="22"/>
        </w:rPr>
        <w:t xml:space="preserve">waterfall_step_order INTEGER — 1..n</w:t>
      </w:r>
    </w:p>
    <w:p>
      <w:pPr>
        <w:pStyle w:val="ListParagraph"/>
        <w:numPr>
          <w:ilvl w:val="0"/>
          <w:numId w:val="2"/>
        </w:numPr>
        <w:spacing w:after="60"/>
      </w:pPr>
      <w:r>
        <w:rPr>
          <w:rFonts w:ascii="Arial" w:cs="Arial" w:eastAsia="Arial" w:hAnsi="Arial"/>
          <w:sz w:val="22"/>
          <w:szCs w:val="22"/>
        </w:rPr>
        <w:t xml:space="preserve">step_name TEXT — 'Operating costs', 'Senior interest', 'Senior principal scheduled', 'DSRA top-up', 'Mezzanine interest', 'Mezzanine principal', 'Cash sweep', 'Subordinated interest', 'Distributions to equity'</w:t>
      </w:r>
    </w:p>
    <w:p>
      <w:pPr>
        <w:pStyle w:val="ListParagraph"/>
        <w:numPr>
          <w:ilvl w:val="0"/>
          <w:numId w:val="2"/>
        </w:numPr>
        <w:spacing w:after="60"/>
      </w:pPr>
      <w:r>
        <w:rPr>
          <w:rFonts w:ascii="Arial" w:cs="Arial" w:eastAsia="Arial" w:hAnsi="Arial"/>
          <w:sz w:val="22"/>
          <w:szCs w:val="22"/>
        </w:rPr>
        <w:t xml:space="preserve">step_type TEXT — cost / interest / principal / reserve / sweep / distribution</w:t>
      </w:r>
    </w:p>
    <w:p>
      <w:pPr>
        <w:pStyle w:val="ListParagraph"/>
        <w:numPr>
          <w:ilvl w:val="0"/>
          <w:numId w:val="2"/>
        </w:numPr>
        <w:spacing w:after="60"/>
      </w:pPr>
      <w:r>
        <w:rPr>
          <w:rFonts w:ascii="Arial" w:cs="Arial" w:eastAsia="Arial" w:hAnsi="Arial"/>
          <w:sz w:val="22"/>
          <w:szCs w:val="22"/>
        </w:rPr>
        <w:t xml:space="preserve">applies_to_entity_slug, applies_to_instrument_identifier</w:t>
      </w:r>
    </w:p>
    <w:p>
      <w:pPr>
        <w:pStyle w:val="ListParagraph"/>
        <w:numPr>
          <w:ilvl w:val="0"/>
          <w:numId w:val="2"/>
        </w:numPr>
        <w:spacing w:after="60"/>
      </w:pPr>
      <w:r>
        <w:rPr>
          <w:rFonts w:ascii="Arial" w:cs="Arial" w:eastAsia="Arial" w:hAnsi="Arial"/>
          <w:sz w:val="22"/>
          <w:szCs w:val="22"/>
        </w:rPr>
        <w:t xml:space="preserve">trigger_condition TEXT — optional predicate (e.g. DSCR ≥ lockup_level)</w:t>
      </w:r>
    </w:p>
    <w:p>
      <w:pPr>
        <w:pStyle w:val="ListParagraph"/>
        <w:numPr>
          <w:ilvl w:val="0"/>
          <w:numId w:val="2"/>
        </w:numPr>
        <w:spacing w:after="60"/>
      </w:pPr>
      <w:r>
        <w:rPr>
          <w:rFonts w:ascii="Arial" w:cs="Arial" w:eastAsia="Arial" w:hAnsi="Arial"/>
          <w:sz w:val="22"/>
          <w:szCs w:val="22"/>
        </w:rPr>
        <w:t xml:space="preserve">notes TEXT</w:t>
      </w:r>
    </w:p>
    <w:p>
      <w:pPr>
        <w:spacing w:after="140" w:line="280"/>
        <w:jc w:val="both"/>
      </w:pPr>
      <w:r>
        <w:rPr>
          <w:rFonts w:ascii="Arial" w:cs="Arial" w:eastAsia="Arial" w:hAnsi="Arial"/>
          <w:sz w:val="22"/>
          <w:szCs w:val="22"/>
        </w:rPr>
        <w:t xml:space="preserve">Target table: deal_waterfall_steps with same columns + source_* block.</w:t>
      </w:r>
    </w:p>
    <w:p>
      <w:pPr>
        <w:pStyle w:val="Heading2"/>
        <w:spacing w:after="120" w:before="240"/>
      </w:pPr>
      <w:r>
        <w:rPr>
          <w:rFonts w:ascii="Arial" w:cs="Arial" w:eastAsia="Arial" w:hAnsi="Arial"/>
          <w:b/>
          <w:bCs/>
          <w:color w:val="263849"/>
          <w:sz w:val="30"/>
          <w:szCs w:val="30"/>
        </w:rPr>
        <w:t xml:space="preserve">10.12 Import flow (end-to-end)</w:t>
      </w:r>
    </w:p>
    <w:p>
      <w:pPr>
        <w:pStyle w:val="ListParagraph"/>
        <w:numPr>
          <w:ilvl w:val="0"/>
          <w:numId w:val="2"/>
        </w:numPr>
        <w:spacing w:after="60"/>
      </w:pPr>
      <w:r>
        <w:rPr>
          <w:rFonts w:ascii="Arial" w:cs="Arial" w:eastAsia="Arial" w:hAnsi="Arial"/>
          <w:sz w:val="22"/>
          <w:szCs w:val="22"/>
        </w:rPr>
        <w:t xml:space="preserve">Upload v9 .xlsx at /plumbing or POST /api/topsheet/import</w:t>
      </w:r>
    </w:p>
    <w:p>
      <w:pPr>
        <w:pStyle w:val="ListParagraph"/>
        <w:numPr>
          <w:ilvl w:val="0"/>
          <w:numId w:val="2"/>
        </w:numPr>
        <w:spacing w:after="60"/>
      </w:pPr>
      <w:r>
        <w:rPr>
          <w:rFonts w:ascii="Arial" w:cs="Arial" w:eastAsia="Arial" w:hAnsi="Arial"/>
          <w:sz w:val="22"/>
          <w:szCs w:val="22"/>
        </w:rPr>
        <w:t xml:space="preserve">importer resolves deal by slug</w:t>
      </w:r>
    </w:p>
    <w:p>
      <w:pPr>
        <w:pStyle w:val="ListParagraph"/>
        <w:numPr>
          <w:ilvl w:val="0"/>
          <w:numId w:val="2"/>
        </w:numPr>
        <w:spacing w:after="60"/>
      </w:pPr>
      <w:r>
        <w:rPr>
          <w:rFonts w:ascii="Arial" w:cs="Arial" w:eastAsia="Arial" w:hAnsi="Arial"/>
          <w:sz w:val="22"/>
          <w:szCs w:val="22"/>
        </w:rPr>
        <w:t xml:space="preserve">load workbook from bytes</w:t>
      </w:r>
    </w:p>
    <w:p>
      <w:pPr>
        <w:pStyle w:val="ListParagraph"/>
        <w:numPr>
          <w:ilvl w:val="0"/>
          <w:numId w:val="2"/>
        </w:numPr>
        <w:spacing w:after="60"/>
      </w:pPr>
      <w:r>
        <w:rPr>
          <w:rFonts w:ascii="Arial" w:cs="Arial" w:eastAsia="Arial" w:hAnsi="Arial"/>
          <w:sz w:val="22"/>
          <w:szCs w:val="22"/>
        </w:rPr>
        <w:t xml:space="preserve">parse all sheets in sequence (key-value, covenant, forecast, actuals, risk, child tables, KPI series)</w:t>
      </w:r>
    </w:p>
    <w:p>
      <w:pPr>
        <w:pStyle w:val="ListParagraph"/>
        <w:numPr>
          <w:ilvl w:val="0"/>
          <w:numId w:val="2"/>
        </w:numPr>
        <w:spacing w:after="60"/>
      </w:pPr>
      <w:r>
        <w:rPr>
          <w:rFonts w:ascii="Arial" w:cs="Arial" w:eastAsia="Arial" w:hAnsi="Arial"/>
          <w:sz w:val="22"/>
          <w:szCs w:val="22"/>
        </w:rPr>
        <w:t xml:space="preserve">each tab emits proposals into a document_processing_run</w:t>
      </w:r>
    </w:p>
    <w:p>
      <w:pPr>
        <w:pStyle w:val="ListParagraph"/>
        <w:numPr>
          <w:ilvl w:val="0"/>
          <w:numId w:val="2"/>
        </w:numPr>
        <w:spacing w:after="60"/>
      </w:pPr>
      <w:r>
        <w:rPr>
          <w:rFonts w:ascii="Arial" w:cs="Arial" w:eastAsia="Arial" w:hAnsi="Arial"/>
          <w:sz w:val="22"/>
          <w:szCs w:val="22"/>
        </w:rPr>
        <w:t xml:space="preserve">analyst reviews at /documents/{id}/proposals</w:t>
      </w:r>
    </w:p>
    <w:p>
      <w:pPr>
        <w:pStyle w:val="ListParagraph"/>
        <w:numPr>
          <w:ilvl w:val="0"/>
          <w:numId w:val="2"/>
        </w:numPr>
        <w:spacing w:after="60"/>
      </w:pPr>
      <w:r>
        <w:rPr>
          <w:rFonts w:ascii="Arial" w:cs="Arial" w:eastAsia="Arial" w:hAnsi="Arial"/>
          <w:sz w:val="22"/>
          <w:szCs w:val="22"/>
        </w:rPr>
        <w:t xml:space="preserve">commit writes atomically across every target table; prior rows superseded via document_supersessions</w:t>
      </w:r>
    </w:p>
    <w:p>
      <w:pPr>
        <w:pStyle w:val="ListParagraph"/>
        <w:numPr>
          <w:ilvl w:val="0"/>
          <w:numId w:val="2"/>
        </w:numPr>
        <w:spacing w:after="60"/>
      </w:pPr>
      <w:r>
        <w:rPr>
          <w:rFonts w:ascii="Arial" w:cs="Arial" w:eastAsia="Arial" w:hAnsi="Arial"/>
          <w:sz w:val="22"/>
          <w:szCs w:val="22"/>
        </w:rPr>
        <w:t xml:space="preserve">ImportResult = {ok, deal_id, deal_name, counts: {sheet: n_rows}, errors[], warnings[]}</w:t>
      </w:r>
    </w:p>
    <w:p>
      <w:pPr>
        <w:pStyle w:val="Heading2"/>
        <w:spacing w:after="120" w:before="240"/>
      </w:pPr>
      <w:r>
        <w:rPr>
          <w:rFonts w:ascii="Arial" w:cs="Arial" w:eastAsia="Arial" w:hAnsi="Arial"/>
          <w:b/>
          <w:bCs/>
          <w:color w:val="263849"/>
          <w:sz w:val="30"/>
          <w:szCs w:val="30"/>
        </w:rPr>
        <w:t xml:space="preserve">10.13 Writer strategies</w:t>
      </w:r>
    </w:p>
    <w:p>
      <w:pPr>
        <w:pStyle w:val="ListParagraph"/>
        <w:numPr>
          <w:ilvl w:val="0"/>
          <w:numId w:val="2"/>
        </w:numPr>
        <w:spacing w:after="60"/>
      </w:pPr>
      <w:r>
        <w:rPr>
          <w:rFonts w:ascii="Arial" w:cs="Arial" w:eastAsia="Arial" w:hAnsi="Arial"/>
          <w:sz w:val="22"/>
          <w:szCs w:val="22"/>
        </w:rPr>
        <w:t xml:space="preserve">Deals table: _update_deals_columns — partial UPDATE with per-column coercion</w:t>
      </w:r>
    </w:p>
    <w:p>
      <w:pPr>
        <w:pStyle w:val="ListParagraph"/>
        <w:numPr>
          <w:ilvl w:val="0"/>
          <w:numId w:val="2"/>
        </w:numPr>
        <w:spacing w:after="60"/>
      </w:pPr>
      <w:r>
        <w:rPr>
          <w:rFonts w:ascii="Arial" w:cs="Arial" w:eastAsia="Arial" w:hAnsi="Arial"/>
          <w:sz w:val="22"/>
          <w:szCs w:val="22"/>
        </w:rPr>
        <w:t xml:space="preserve">covenant_thresholds: _upsert_covenant_thresholds — ON CONFLICT (deal_id, ratio_name) UPDATE</w:t>
      </w:r>
    </w:p>
    <w:p>
      <w:pPr>
        <w:pStyle w:val="ListParagraph"/>
        <w:numPr>
          <w:ilvl w:val="0"/>
          <w:numId w:val="2"/>
        </w:numPr>
        <w:spacing w:after="60"/>
      </w:pPr>
      <w:r>
        <w:rPr>
          <w:rFonts w:ascii="Arial" w:cs="Arial" w:eastAsia="Arial" w:hAnsi="Arial"/>
          <w:sz w:val="22"/>
          <w:szCs w:val="22"/>
        </w:rPr>
        <w:t xml:space="preserve">Forecasts: _upsert_forecast_periods — find-or-create forecast_case + forecast_case_version + forecast_case_periods (drives_monitoring only for management_case)</w:t>
      </w:r>
    </w:p>
    <w:p>
      <w:pPr>
        <w:pStyle w:val="ListParagraph"/>
        <w:numPr>
          <w:ilvl w:val="0"/>
          <w:numId w:val="2"/>
        </w:numPr>
        <w:spacing w:after="60"/>
      </w:pPr>
      <w:r>
        <w:rPr>
          <w:rFonts w:ascii="Arial" w:cs="Arial" w:eastAsia="Arial" w:hAnsi="Arial"/>
          <w:sz w:val="22"/>
          <w:szCs w:val="22"/>
        </w:rPr>
        <w:t xml:space="preserve">Actuals: _upsert_actual_periods — source_hierarchy='certificate', UPSERT on (deal_id, period_flag)</w:t>
      </w:r>
    </w:p>
    <w:p>
      <w:pPr>
        <w:pStyle w:val="ListParagraph"/>
        <w:numPr>
          <w:ilvl w:val="0"/>
          <w:numId w:val="2"/>
        </w:numPr>
        <w:spacing w:after="60"/>
      </w:pPr>
      <w:r>
        <w:rPr>
          <w:rFonts w:ascii="Arial" w:cs="Arial" w:eastAsia="Arial" w:hAnsi="Arial"/>
          <w:sz w:val="22"/>
          <w:szCs w:val="22"/>
        </w:rPr>
        <w:t xml:space="preserve">Risks: _upsert_risk_register — ON CONFLICT (deal_id, risk_id) UPDATE</w:t>
      </w:r>
    </w:p>
    <w:p>
      <w:pPr>
        <w:pStyle w:val="ListParagraph"/>
        <w:numPr>
          <w:ilvl w:val="0"/>
          <w:numId w:val="2"/>
        </w:numPr>
        <w:spacing w:after="60"/>
      </w:pPr>
      <w:r>
        <w:rPr>
          <w:rFonts w:ascii="Arial" w:cs="Arial" w:eastAsia="Arial" w:hAnsi="Arial"/>
          <w:sz w:val="22"/>
          <w:szCs w:val="22"/>
        </w:rPr>
        <w:t xml:space="preserve">Child tables (counterparties, reserves, hedges, investor allocs, entities, dev phases): _replace_child_table — delete-and-replace for the deal</w:t>
      </w:r>
    </w:p>
    <w:p>
      <w:pPr>
        <w:pStyle w:val="ListParagraph"/>
        <w:numPr>
          <w:ilvl w:val="0"/>
          <w:numId w:val="2"/>
        </w:numPr>
        <w:spacing w:after="60"/>
      </w:pPr>
      <w:r>
        <w:rPr>
          <w:rFonts w:ascii="Arial" w:cs="Arial" w:eastAsia="Arial" w:hAnsi="Arial"/>
          <w:sz w:val="22"/>
          <w:szCs w:val="22"/>
        </w:rPr>
        <w:t xml:space="preserve">Margin ratchets: resolve instrument_ref → capital_structure_instruments.id, then cascade-replace for instruments present in the sheet</w:t>
      </w:r>
    </w:p>
    <w:p>
      <w:pPr>
        <w:pStyle w:val="ListParagraph"/>
        <w:numPr>
          <w:ilvl w:val="0"/>
          <w:numId w:val="2"/>
        </w:numPr>
        <w:spacing w:after="60"/>
      </w:pPr>
      <w:r>
        <w:rPr>
          <w:rFonts w:ascii="Arial" w:cs="Arial" w:eastAsia="Arial" w:hAnsi="Arial"/>
          <w:sz w:val="22"/>
          <w:szCs w:val="22"/>
        </w:rPr>
        <w:t xml:space="preserve">KPI scenarios: group by (scenario_kind, stress_label, driving_risk_ref); find-or-create forecast_case + version; resolve driving_risk_ref to deal_risk_register.id; insert forecast_period_items</w:t>
      </w:r>
    </w:p>
    <w:p>
      <w:pPr>
        <w:pStyle w:val="Heading2"/>
        <w:spacing w:after="120" w:before="240"/>
      </w:pPr>
      <w:r>
        <w:rPr>
          <w:rFonts w:ascii="Arial" w:cs="Arial" w:eastAsia="Arial" w:hAnsi="Arial"/>
          <w:b/>
          <w:bCs/>
          <w:color w:val="263849"/>
          <w:sz w:val="30"/>
          <w:szCs w:val="30"/>
        </w:rPr>
        <w:t xml:space="preserve">10.14 Period helpers</w:t>
      </w:r>
    </w:p>
    <w:p>
      <w:pPr>
        <w:spacing w:after="80"/>
      </w:pPr>
      <w:r>
        <w:rPr>
          <w:rFonts w:ascii="Consolas" w:cs="Consolas" w:eastAsia="Consolas" w:hAnsi="Consolas"/>
          <w:color w:val="444444"/>
          <w:sz w:val="20"/>
          <w:szCs w:val="20"/>
        </w:rPr>
        <w:t xml:space="preserve">_label_to_flag("Q1 2026")   → "2026Q1"
_label_to_flag("H1 2026")   → "2026H1"
_period_flag_to_label("2026Q1") → "Q1 2026"
_period_start(period_end)       # quarterly-assumed approximation</w:t>
      </w:r>
    </w:p>
    <w:p>
      <w:pPr>
        <w:pStyle w:val="Heading2"/>
        <w:spacing w:after="120" w:before="240"/>
      </w:pPr>
      <w:r>
        <w:rPr>
          <w:rFonts w:ascii="Arial" w:cs="Arial" w:eastAsia="Arial" w:hAnsi="Arial"/>
          <w:b/>
          <w:bCs/>
          <w:color w:val="263849"/>
          <w:sz w:val="30"/>
          <w:szCs w:val="30"/>
        </w:rPr>
        <w:t xml:space="preserve">10.15 Validation rules (currently implemented)</w:t>
      </w:r>
    </w:p>
    <w:p>
      <w:pPr>
        <w:pStyle w:val="ListParagraph"/>
        <w:numPr>
          <w:ilvl w:val="0"/>
          <w:numId w:val="2"/>
        </w:numPr>
        <w:spacing w:after="60"/>
      </w:pPr>
      <w:r>
        <w:rPr>
          <w:rFonts w:ascii="Arial" w:cs="Arial" w:eastAsia="Arial" w:hAnsi="Arial"/>
          <w:sz w:val="22"/>
          <w:szCs w:val="22"/>
        </w:rPr>
        <w:t xml:space="preserve">Currency consistency: every *_native field must use declared currency</w:t>
      </w:r>
    </w:p>
    <w:p>
      <w:pPr>
        <w:pStyle w:val="ListParagraph"/>
        <w:numPr>
          <w:ilvl w:val="0"/>
          <w:numId w:val="2"/>
        </w:numPr>
        <w:spacing w:after="60"/>
      </w:pPr>
      <w:r>
        <w:rPr>
          <w:rFonts w:ascii="Arial" w:cs="Arial" w:eastAsia="Arial" w:hAnsi="Arial"/>
          <w:sz w:val="22"/>
          <w:szCs w:val="22"/>
        </w:rPr>
        <w:t xml:space="preserve">Covenant consistency: ratio_level on a covenant must reference an entity at the corresponding ratio_consolidation_level in Tab 2</w:t>
      </w:r>
    </w:p>
    <w:p>
      <w:pPr>
        <w:pStyle w:val="ListParagraph"/>
        <w:numPr>
          <w:ilvl w:val="0"/>
          <w:numId w:val="2"/>
        </w:numPr>
        <w:spacing w:after="60"/>
      </w:pPr>
      <w:r>
        <w:rPr>
          <w:rFonts w:ascii="Arial" w:cs="Arial" w:eastAsia="Arial" w:hAnsi="Arial"/>
          <w:sz w:val="22"/>
          <w:szCs w:val="22"/>
        </w:rPr>
        <w:t xml:space="preserve">KPI scenario sanity: every single_variant_stress must cite a risk in Tab 20</w:t>
      </w:r>
    </w:p>
    <w:p>
      <w:pPr>
        <w:pStyle w:val="ListParagraph"/>
        <w:numPr>
          <w:ilvl w:val="0"/>
          <w:numId w:val="2"/>
        </w:numPr>
        <w:spacing w:after="60"/>
      </w:pPr>
      <w:r>
        <w:rPr>
          <w:rFonts w:ascii="Arial" w:cs="Arial" w:eastAsia="Arial" w:hAnsi="Arial"/>
          <w:sz w:val="22"/>
          <w:szCs w:val="22"/>
        </w:rPr>
        <w:t xml:space="preserve">Date monotonicity: close_date ≤ first_drawdown_date ≤ first reporting period_start</w:t>
      </w:r>
    </w:p>
    <w:p>
      <w:pPr>
        <w:pStyle w:val="ListParagraph"/>
        <w:numPr>
          <w:ilvl w:val="0"/>
          <w:numId w:val="2"/>
        </w:numPr>
        <w:spacing w:after="60"/>
      </w:pPr>
      <w:r>
        <w:rPr>
          <w:rFonts w:ascii="Arial" w:cs="Arial" w:eastAsia="Arial" w:hAnsi="Arial"/>
          <w:sz w:val="22"/>
          <w:szCs w:val="22"/>
        </w:rPr>
        <w:t xml:space="preserve">Actual period rows: period must have period_label to be included</w:t>
      </w:r>
    </w:p>
    <w:p>
      <w:pPr>
        <w:pStyle w:val="ListParagraph"/>
        <w:numPr>
          <w:ilvl w:val="0"/>
          <w:numId w:val="2"/>
        </w:numPr>
        <w:spacing w:after="60"/>
      </w:pPr>
      <w:r>
        <w:rPr>
          <w:rFonts w:ascii="Arial" w:cs="Arial" w:eastAsia="Arial" w:hAnsi="Arial"/>
          <w:sz w:val="22"/>
          <w:szCs w:val="22"/>
        </w:rPr>
        <w:t xml:space="preserve">Instrument reference: margin_ratchets.instrument_ref must match a row in Tab 2</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A full list of every validation rule applied by the importer is not yet collated. The rules above are what we've confirmed from code; more are inside individual parser functions.</w:t>
      </w:r>
    </w:p>
    <w:p>
      <w:pPr>
        <w:pStyle w:val="Heading2"/>
        <w:spacing w:after="120" w:before="240"/>
      </w:pPr>
      <w:r>
        <w:rPr>
          <w:rFonts w:ascii="Arial" w:cs="Arial" w:eastAsia="Arial" w:hAnsi="Arial"/>
          <w:b/>
          <w:bCs/>
          <w:color w:val="263849"/>
          <w:sz w:val="30"/>
          <w:szCs w:val="30"/>
        </w:rPr>
        <w:t xml:space="preserve">10.16 Versioning</w:t>
      </w:r>
    </w:p>
    <w:p>
      <w:pPr>
        <w:pStyle w:val="ListParagraph"/>
        <w:numPr>
          <w:ilvl w:val="0"/>
          <w:numId w:val="2"/>
        </w:numPr>
        <w:spacing w:after="60"/>
      </w:pPr>
      <w:r>
        <w:rPr>
          <w:rFonts w:ascii="Arial" w:cs="Arial" w:eastAsia="Arial" w:hAnsi="Arial"/>
          <w:sz w:val="22"/>
          <w:szCs w:val="22"/>
        </w:rPr>
        <w:t xml:space="preserve">v7 → v8: added taxonomy columns on Tabs 2, 4, 8; added Tabs 20–22 (snapshots, obligations, distribution conditions)</w:t>
      </w:r>
    </w:p>
    <w:p>
      <w:pPr>
        <w:pStyle w:val="ListParagraph"/>
        <w:numPr>
          <w:ilvl w:val="0"/>
          <w:numId w:val="2"/>
        </w:numPr>
        <w:spacing w:after="60"/>
      </w:pPr>
      <w:r>
        <w:rPr>
          <w:rFonts w:ascii="Arial" w:cs="Arial" w:eastAsia="Arial" w:hAnsi="Arial"/>
          <w:sz w:val="22"/>
          <w:szCs w:val="22"/>
        </w:rPr>
        <w:t xml:space="preserve">v8 → v9: Valuation &amp; Equity block on Tab 1; pricing decomposition on Tab 2; pledged_share_* columns for NAV debt; Tab 22 KPI Scenario Series</w:t>
      </w:r>
    </w:p>
    <w:p>
      <w:pPr>
        <w:pStyle w:val="ListParagraph"/>
        <w:numPr>
          <w:ilvl w:val="0"/>
          <w:numId w:val="2"/>
        </w:numPr>
        <w:spacing w:after="60"/>
      </w:pPr>
      <w:r>
        <w:rPr>
          <w:rFonts w:ascii="Arial" w:cs="Arial" w:eastAsia="Arial" w:hAnsi="Arial"/>
          <w:sz w:val="22"/>
          <w:szCs w:val="22"/>
        </w:rPr>
        <w:t xml:space="preserve">Importer accepts v8 and v9; rejects v7 (convert via scripts/upgrade-topsheet-v7-to-v8.py)</w:t>
      </w:r>
    </w:p>
    <w:p>
      <w:pPr>
        <w:pStyle w:val="Heading1"/>
        <w:pageBreakBefore/>
        <w:spacing w:after="180" w:before="240"/>
      </w:pPr>
      <w:r>
        <w:rPr>
          <w:rFonts w:ascii="Arial" w:cs="Arial" w:eastAsia="Arial" w:hAnsi="Arial"/>
          <w:b/>
          <w:bCs/>
          <w:color w:val="1F6FA5"/>
          <w:sz w:val="40"/>
          <w:szCs w:val="40"/>
        </w:rPr>
        <w:t xml:space="preserve">Part XI — API surface</w:t>
      </w:r>
    </w:p>
    <w:p>
      <w:pPr>
        <w:pStyle w:val="Heading2"/>
        <w:spacing w:after="120" w:before="240"/>
      </w:pPr>
      <w:r>
        <w:rPr>
          <w:rFonts w:ascii="Arial" w:cs="Arial" w:eastAsia="Arial" w:hAnsi="Arial"/>
          <w:b/>
          <w:bCs/>
          <w:color w:val="263849"/>
          <w:sz w:val="30"/>
          <w:szCs w:val="30"/>
        </w:rPr>
        <w:t xml:space="preserve">11.1 Overview</w:t>
      </w:r>
    </w:p>
    <w:p>
      <w:pPr>
        <w:spacing w:after="140" w:line="280"/>
        <w:jc w:val="both"/>
      </w:pPr>
      <w:r>
        <w:rPr>
          <w:rFonts w:ascii="Arial" w:cs="Arial" w:eastAsia="Arial" w:hAnsi="Arial"/>
          <w:sz w:val="22"/>
          <w:szCs w:val="22"/>
        </w:rPr>
        <w:t xml:space="preserve">The Sesame Street platform exposes a single HTTP API served by Starlette in server/main.py on port 4000. JSON over HTTPS in production, HTTP locally. The API is the sole integration surface — Next.js client, TopSheet importer, any third-party consumers go through it.</w:t>
      </w:r>
    </w:p>
    <w:p>
      <w:pPr>
        <w:spacing w:after="140" w:line="280"/>
        <w:jc w:val="both"/>
      </w:pPr>
      <w:r>
        <w:rPr>
          <w:rFonts w:ascii="Arial" w:cs="Arial" w:eastAsia="Arial" w:hAnsi="Arial"/>
          <w:sz w:val="22"/>
          <w:szCs w:val="22"/>
        </w:rPr>
        <w:t xml:space="preserve">Total surface: ~112 endpoints across 21 route prefixes.</w:t>
      </w:r>
    </w:p>
    <w:p>
      <w:pPr>
        <w:pStyle w:val="Heading2"/>
        <w:spacing w:after="120" w:before="240"/>
      </w:pPr>
      <w:r>
        <w:rPr>
          <w:rFonts w:ascii="Arial" w:cs="Arial" w:eastAsia="Arial" w:hAnsi="Arial"/>
          <w:b/>
          <w:bCs/>
          <w:color w:val="263849"/>
          <w:sz w:val="30"/>
          <w:szCs w:val="30"/>
        </w:rPr>
        <w:t xml:space="preserve">11.2 Conventions</w:t>
      </w:r>
    </w:p>
    <w:p>
      <w:pPr>
        <w:pStyle w:val="ListParagraph"/>
        <w:numPr>
          <w:ilvl w:val="0"/>
          <w:numId w:val="2"/>
        </w:numPr>
        <w:spacing w:after="60"/>
      </w:pPr>
      <w:r>
        <w:rPr>
          <w:rFonts w:ascii="Arial" w:cs="Arial" w:eastAsia="Arial" w:hAnsi="Arial"/>
          <w:b/>
          <w:bCs/>
          <w:sz w:val="22"/>
          <w:szCs w:val="22"/>
        </w:rPr>
        <w:t xml:space="preserve">Base URL: </w:t>
      </w:r>
      <w:r>
        <w:rPr>
          <w:rFonts w:ascii="Arial" w:cs="Arial" w:eastAsia="Arial" w:hAnsi="Arial"/>
          <w:sz w:val="22"/>
          <w:szCs w:val="22"/>
        </w:rPr>
        <w:t xml:space="preserve">http://server:4000 inside docker; http://localhost:4000 locally.</w:t>
      </w:r>
    </w:p>
    <w:p>
      <w:pPr>
        <w:pStyle w:val="ListParagraph"/>
        <w:numPr>
          <w:ilvl w:val="0"/>
          <w:numId w:val="2"/>
        </w:numPr>
        <w:spacing w:after="60"/>
      </w:pPr>
      <w:r>
        <w:rPr>
          <w:rFonts w:ascii="Arial" w:cs="Arial" w:eastAsia="Arial" w:hAnsi="Arial"/>
          <w:b/>
          <w:bCs/>
          <w:sz w:val="22"/>
          <w:szCs w:val="22"/>
        </w:rPr>
        <w:t xml:space="preserve">Auth: </w:t>
      </w:r>
      <w:r>
        <w:rPr>
          <w:rFonts w:ascii="Arial" w:cs="Arial" w:eastAsia="Arial" w:hAnsi="Arial"/>
          <w:sz w:val="22"/>
          <w:szCs w:val="22"/>
        </w:rPr>
        <w:t xml:space="preserve">session cookie. DEMO_USER env-var bypass for demo mode — MUST be unset in production.</w:t>
      </w:r>
    </w:p>
    <w:p>
      <w:pPr>
        <w:pStyle w:val="ListParagraph"/>
        <w:numPr>
          <w:ilvl w:val="0"/>
          <w:numId w:val="2"/>
        </w:numPr>
        <w:spacing w:after="60"/>
      </w:pPr>
      <w:r>
        <w:rPr>
          <w:rFonts w:ascii="Arial" w:cs="Arial" w:eastAsia="Arial" w:hAnsi="Arial"/>
          <w:b/>
          <w:bCs/>
          <w:sz w:val="22"/>
          <w:szCs w:val="22"/>
        </w:rPr>
        <w:t xml:space="preserve">Content type: </w:t>
      </w:r>
      <w:r>
        <w:rPr>
          <w:rFonts w:ascii="Arial" w:cs="Arial" w:eastAsia="Arial" w:hAnsi="Arial"/>
          <w:sz w:val="22"/>
          <w:szCs w:val="22"/>
        </w:rPr>
        <w:t xml:space="preserve">application/json request + response unless multipart (file uploads).</w:t>
      </w:r>
    </w:p>
    <w:p>
      <w:pPr>
        <w:pStyle w:val="ListParagraph"/>
        <w:numPr>
          <w:ilvl w:val="0"/>
          <w:numId w:val="2"/>
        </w:numPr>
        <w:spacing w:after="60"/>
      </w:pPr>
      <w:r>
        <w:rPr>
          <w:rFonts w:ascii="Arial" w:cs="Arial" w:eastAsia="Arial" w:hAnsi="Arial"/>
          <w:b/>
          <w:bCs/>
          <w:sz w:val="22"/>
          <w:szCs w:val="22"/>
        </w:rPr>
        <w:t xml:space="preserve">Errors: </w:t>
      </w:r>
      <w:r>
        <w:rPr>
          <w:rFonts w:ascii="Arial" w:cs="Arial" w:eastAsia="Arial" w:hAnsi="Arial"/>
          <w:sz w:val="22"/>
          <w:szCs w:val="22"/>
        </w:rPr>
        <w:t xml:space="preserve">HTTP status + {error, detail?} payload.</w:t>
      </w:r>
    </w:p>
    <w:p>
      <w:pPr>
        <w:pStyle w:val="ListParagraph"/>
        <w:numPr>
          <w:ilvl w:val="0"/>
          <w:numId w:val="2"/>
        </w:numPr>
        <w:spacing w:after="60"/>
      </w:pPr>
      <w:r>
        <w:rPr>
          <w:rFonts w:ascii="Arial" w:cs="Arial" w:eastAsia="Arial" w:hAnsi="Arial"/>
          <w:b/>
          <w:bCs/>
          <w:sz w:val="22"/>
          <w:szCs w:val="22"/>
        </w:rPr>
        <w:t xml:space="preserve">Dates: </w:t>
      </w:r>
      <w:r>
        <w:rPr>
          <w:rFonts w:ascii="Arial" w:cs="Arial" w:eastAsia="Arial" w:hAnsi="Arial"/>
          <w:sz w:val="22"/>
          <w:szCs w:val="22"/>
        </w:rPr>
        <w:t xml:space="preserve">ISO-8601 strings; server timezone UTC.</w:t>
      </w:r>
    </w:p>
    <w:p>
      <w:pPr>
        <w:pStyle w:val="ListParagraph"/>
        <w:numPr>
          <w:ilvl w:val="0"/>
          <w:numId w:val="2"/>
        </w:numPr>
        <w:spacing w:after="60"/>
      </w:pPr>
      <w:r>
        <w:rPr>
          <w:rFonts w:ascii="Arial" w:cs="Arial" w:eastAsia="Arial" w:hAnsi="Arial"/>
          <w:b/>
          <w:bCs/>
          <w:sz w:val="22"/>
          <w:szCs w:val="22"/>
        </w:rPr>
        <w:t xml:space="preserve">Money: </w:t>
      </w:r>
      <w:r>
        <w:rPr>
          <w:rFonts w:ascii="Arial" w:cs="Arial" w:eastAsia="Arial" w:hAnsi="Arial"/>
          <w:sz w:val="22"/>
          <w:szCs w:val="22"/>
        </w:rPr>
        <w:t xml:space="preserve">Number in deal's native currency + currency field alongside.</w:t>
      </w:r>
    </w:p>
    <w:p>
      <w:pPr>
        <w:pStyle w:val="ListParagraph"/>
        <w:numPr>
          <w:ilvl w:val="0"/>
          <w:numId w:val="2"/>
        </w:numPr>
        <w:spacing w:after="60"/>
      </w:pPr>
      <w:r>
        <w:rPr>
          <w:rFonts w:ascii="Arial" w:cs="Arial" w:eastAsia="Arial" w:hAnsi="Arial"/>
          <w:b/>
          <w:bCs/>
          <w:sz w:val="22"/>
          <w:szCs w:val="22"/>
        </w:rPr>
        <w:t xml:space="preserve">Currency conversion: </w:t>
      </w:r>
      <w:r>
        <w:rPr>
          <w:rFonts w:ascii="Arial" w:cs="Arial" w:eastAsia="Arial" w:hAnsi="Arial"/>
          <w:sz w:val="22"/>
          <w:szCs w:val="22"/>
        </w:rPr>
        <w:t xml:space="preserve">Portfolio endpoints accept ?reporting_currency=GBP|USD|EUR; deal endpoints stay native.</w:t>
      </w:r>
    </w:p>
    <w:p>
      <w:pPr>
        <w:pStyle w:val="ListParagraph"/>
        <w:numPr>
          <w:ilvl w:val="0"/>
          <w:numId w:val="2"/>
        </w:numPr>
        <w:spacing w:after="60"/>
      </w:pPr>
      <w:r>
        <w:rPr>
          <w:rFonts w:ascii="Arial" w:cs="Arial" w:eastAsia="Arial" w:hAnsi="Arial"/>
          <w:b/>
          <w:bCs/>
          <w:sz w:val="22"/>
          <w:szCs w:val="22"/>
        </w:rPr>
        <w:t xml:space="preserve">FX precision: </w:t>
      </w:r>
      <w:r>
        <w:rPr>
          <w:rFonts w:ascii="Arial" w:cs="Arial" w:eastAsia="Arial" w:hAnsi="Arial"/>
          <w:sz w:val="22"/>
          <w:szCs w:val="22"/>
        </w:rPr>
        <w:t xml:space="preserve">5 decimal places (user-directed).</w:t>
      </w:r>
    </w:p>
    <w:p>
      <w:pPr>
        <w:pStyle w:val="ListParagraph"/>
        <w:numPr>
          <w:ilvl w:val="0"/>
          <w:numId w:val="2"/>
        </w:numPr>
        <w:spacing w:after="60"/>
      </w:pPr>
      <w:r>
        <w:rPr>
          <w:rFonts w:ascii="Arial" w:cs="Arial" w:eastAsia="Arial" w:hAnsi="Arial"/>
          <w:b/>
          <w:bCs/>
          <w:sz w:val="22"/>
          <w:szCs w:val="22"/>
        </w:rPr>
        <w:t xml:space="preserve">Pagination: </w:t>
      </w:r>
      <w:r>
        <w:rPr>
          <w:rFonts w:ascii="Arial" w:cs="Arial" w:eastAsia="Arial" w:hAnsi="Arial"/>
          <w:sz w:val="22"/>
          <w:szCs w:val="22"/>
        </w:rPr>
        <w:t xml:space="preserve">limit (default 100) + offset (default 0); total count in response where relevant.</w:t>
      </w:r>
    </w:p>
    <w:p>
      <w:pPr>
        <w:pStyle w:val="Heading2"/>
        <w:spacing w:after="120" w:before="240"/>
      </w:pPr>
      <w:r>
        <w:rPr>
          <w:rFonts w:ascii="Arial" w:cs="Arial" w:eastAsia="Arial" w:hAnsi="Arial"/>
          <w:b/>
          <w:bCs/>
          <w:color w:val="263849"/>
          <w:sz w:val="30"/>
          <w:szCs w:val="30"/>
        </w:rPr>
        <w:t xml:space="preserve">11.3 Health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760"/>
      </w:tblGrid>
      <w:tr>
        <w:trPr>
          <w:tblHeader/>
        </w:trPr>
        <w:tc>
          <w:tcPr>
            <w:tcW w:type="dxa" w:w="3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4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/health</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Verify API connectivity + DB available; returns {ok: true}</w:t>
            </w:r>
          </w:p>
        </w:tc>
      </w:tr>
    </w:tbl>
    <w:p>
      <w:pPr>
        <w:pStyle w:val="Heading2"/>
        <w:spacing w:after="120" w:before="240"/>
      </w:pPr>
      <w:r>
        <w:rPr>
          <w:rFonts w:ascii="Arial" w:cs="Arial" w:eastAsia="Arial" w:hAnsi="Arial"/>
          <w:b/>
          <w:bCs/>
          <w:color w:val="263849"/>
          <w:sz w:val="30"/>
          <w:szCs w:val="30"/>
        </w:rPr>
        <w:t xml:space="preserve">11.4 TopSheet (/api/topsheet)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960"/>
      </w:tblGrid>
      <w:tr>
        <w:trPr>
          <w:tblHeader/>
        </w:trPr>
        <w:tc>
          <w:tcPr>
            <w:tcW w:type="dxa" w:w="4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/api/topsheet/import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Import v9 TopSheet Excel for a deal. Body: {dealSlug, fileContentBase64, requestedBy}. Returns {ok, counts, errors}.</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/api/topsheet/{slug}/covenant-config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configured covenant thresholds for a deal</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/api/topsheet/{slug}/actuals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actual periods for a deal</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/api/topsheet/{slug}/actuals/{period_flag}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actual period data incl. metrics + ratios</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/api/topsheet/{slug}/actuals/{period_flag}/analyse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Analyse actuals vs covenants; write validation report</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/api/topsheet/{slug}/variance/{period_flag}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 analysis for period (actual vs expected)</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/api/topsheet/{slug}/covenant-tests/{period_flag}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 test results for period</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/api/topsheet/{slug}/reconciliation/{period_flag}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 reconciliation status (borrower vs platform)</w:t>
            </w:r>
          </w:p>
        </w:tc>
      </w:tr>
    </w:tbl>
    <w:p>
      <w:pPr>
        <w:pStyle w:val="Heading2"/>
        <w:spacing w:after="120" w:before="240"/>
      </w:pPr>
      <w:r>
        <w:rPr>
          <w:rFonts w:ascii="Arial" w:cs="Arial" w:eastAsia="Arial" w:hAnsi="Arial"/>
          <w:b/>
          <w:bCs/>
          <w:color w:val="263849"/>
          <w:sz w:val="30"/>
          <w:szCs w:val="30"/>
        </w:rPr>
        <w:t xml:space="preserve">11.5 Intake (/api/intake)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960"/>
      </w:tblGrid>
      <w:tr>
        <w:trPr>
          <w:tblHeader/>
        </w:trPr>
        <w:tc>
          <w:tcPr>
            <w:tcW w:type="dxa" w:w="4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/api/intake/submit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Submit a document for intake. Body: {dealSlug?, dealId?, documentType?, periodLabel?, sourceChannel?, ...}. Writes incoming_documents + proposals.</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/api/intake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incoming documents. Query: status, deal_slug, stage, limit, offset</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/api/intake/proposals/{proposal_id}/update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proposal state (accept / reject / review). Body: {decision, rationale}</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/api/intake/documents/{document_id}/approve-batch</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Batch-approve multiple proposals. Body: {proposalIds[]}</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/api/intake/documents/{document_id}/invoke-exception-assist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exception-assist for stuck document. Body: {query?, context?}</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/api/artifacts/{artifact_id}/content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Fetch raw content of an extracted artifact (PDF, image)</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/api/entitlements/viewers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viewers with their permission scopes</w:t>
            </w:r>
          </w:p>
        </w:tc>
      </w:tr>
    </w:tbl>
    <w:p>
      <w:pPr>
        <w:pStyle w:val="Heading2"/>
        <w:spacing w:after="120" w:before="240"/>
      </w:pPr>
      <w:r>
        <w:rPr>
          <w:rFonts w:ascii="Arial" w:cs="Arial" w:eastAsia="Arial" w:hAnsi="Arial"/>
          <w:b/>
          <w:bCs/>
          <w:color w:val="263849"/>
          <w:sz w:val="30"/>
          <w:szCs w:val="30"/>
        </w:rPr>
        <w:t xml:space="preserve">11.6 FX (/api/fx)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960"/>
      </w:tblGrid>
      <w:tr>
        <w:trPr>
          <w:tblHeader/>
        </w:trPr>
        <w:tc>
          <w:tcPr>
            <w:tcW w:type="dxa" w:w="4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/api/fx/snapshot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Current FX snapshot with EUR-base rates and cross-rates. Query: reportingCurrency?, asOf?. Returns {reportingCurrency, asOf, baseCurrency: EUR, rates, crossRates, source}</w:t>
            </w:r>
          </w:p>
        </w:tc>
      </w:tr>
    </w:tbl>
    <w:p>
      <w:pPr>
        <w:pStyle w:val="Heading2"/>
        <w:spacing w:after="120" w:before="240"/>
      </w:pPr>
      <w:r>
        <w:rPr>
          <w:rFonts w:ascii="Arial" w:cs="Arial" w:eastAsia="Arial" w:hAnsi="Arial"/>
          <w:b/>
          <w:bCs/>
          <w:color w:val="263849"/>
          <w:sz w:val="30"/>
          <w:szCs w:val="30"/>
        </w:rPr>
        <w:t xml:space="preserve">11.7 Portfolio (/api/portfolio)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760"/>
      </w:tblGrid>
      <w:tr>
        <w:trPr>
          <w:tblHeader/>
        </w:trPr>
        <w:tc>
          <w:tcPr>
            <w:tcW w:type="dxa" w:w="4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Comprehensive portfolio snapshot. Query: currency?, asOf?, groupBy?</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/api/portfolio/packs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memo packs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/api/portfolio/packs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memo pack. Body: {title, description, dealIds[]}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/api/portfolio/capital-summary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summary across portfolio</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/api/portfolio/maturity-profile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Debt maturity schedule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/api/portfolio/counterparty-exposure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 concentration / exposure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/api/portfolio/hedge-summary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FX + IR hedge summary</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/api/portfolio/development-status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Portfolio development-stage breakdown</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/api/portfolio/investor-book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Investor-facing portfolio book</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/api/portfolio/sector-concentration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Portfolio sector concentration</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/api/portfolio/grade-distribution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 + exposure by grade 1–4</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/api/portfolio/trend-distribution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 by trend (improving/flat/deteriorating)</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/api/portfolio/watchlist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deals with grade &gt;= 3 or deteriorating</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/api/portfolio/risk-heatmap</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Cross-deal risk summary by category + severity</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/api/portfolio/weak-mitigation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Risks with weak or missing mitigation</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/api/portfolio/deliverables-calendar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Portfolio-wide deliverables calendar</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/api/portfolio/analytics/risk-scores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scores across portfolio</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/api/portfolio/performance/compute-all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Recompute performance for all deals</w:t>
            </w:r>
          </w:p>
        </w:tc>
      </w:tr>
    </w:tbl>
    <w:p>
      <w:pPr>
        <w:pStyle w:val="Heading2"/>
        <w:spacing w:after="120" w:before="240"/>
      </w:pPr>
      <w:r>
        <w:rPr>
          <w:rFonts w:ascii="Arial" w:cs="Arial" w:eastAsia="Arial" w:hAnsi="Arial"/>
          <w:b/>
          <w:bCs/>
          <w:color w:val="263849"/>
          <w:sz w:val="30"/>
          <w:szCs w:val="30"/>
        </w:rPr>
        <w:t xml:space="preserve">11.8 Work queue, notifications, activity (portfolio-level)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760"/>
      </w:tblGrid>
      <w:tr>
        <w:trPr>
          <w:tblHeader/>
        </w:trPr>
        <w:tc>
          <w:tcPr>
            <w:tcW w:type="dxa" w:w="4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/api/work-queue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Pending tasks (review items, obligations). Query: priority?, assignee?, status?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/api/notifications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Notifications for current user. Query: status?, channel?, read?</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/api/notification-deliveries/{id}/state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state (read|acknowledged|dismissed)</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/api/notification-preferences/{subscriber_name}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prefs. Body: {channel, frequency, enabled}</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/api/notification-subscriptions/{id}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subscription</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/api/activity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Platform activity feed. Query: domain?, eventType?, deal_id?, limit?, offset?</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/api/deals/{slug}/activity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 activity feed. Query: eventType?, limit?</w:t>
            </w:r>
          </w:p>
        </w:tc>
      </w:tr>
    </w:tbl>
    <w:p>
      <w:pPr>
        <w:pStyle w:val="Heading2"/>
        <w:spacing w:after="120" w:before="240"/>
      </w:pPr>
      <w:r>
        <w:rPr>
          <w:rFonts w:ascii="Arial" w:cs="Arial" w:eastAsia="Arial" w:hAnsi="Arial"/>
          <w:b/>
          <w:bCs/>
          <w:color w:val="263849"/>
          <w:sz w:val="30"/>
          <w:szCs w:val="30"/>
        </w:rPr>
        <w:t xml:space="preserve">11.9 Reports (/api/reports)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760"/>
      </w:tblGrid>
      <w:tr>
        <w:trPr>
          <w:tblHeader/>
        </w:trPr>
        <w:tc>
          <w:tcPr>
            <w:tcW w:type="dxa" w:w="4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/api/reports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reports (portfolio + deal). Query: type?, status?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/api/reports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 report generation. Body: {reportType, dealIds?, parameters?}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/api/report-schedules/run-due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Run all due scheduled reports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/api/report-exports/{id}/review</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Route export to HAM review</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/api/report-exports/{id}/approve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Approve export for release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/api/report-exports/{id}/release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Release (publish) approved report</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/api/deals/{slug}/reports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reports for deal</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/api/deals/{slug}/reports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 report generation for deal</w:t>
            </w:r>
          </w:p>
        </w:tc>
      </w:tr>
    </w:tbl>
    <w:p>
      <w:pPr>
        <w:pStyle w:val="Heading2"/>
        <w:spacing w:after="120" w:before="240"/>
      </w:pPr>
      <w:r>
        <w:rPr>
          <w:rFonts w:ascii="Arial" w:cs="Arial" w:eastAsia="Arial" w:hAnsi="Arial"/>
          <w:b/>
          <w:bCs/>
          <w:color w:val="263849"/>
          <w:sz w:val="30"/>
          <w:szCs w:val="30"/>
        </w:rPr>
        <w:t xml:space="preserve">11.10 Deals (/api/deals)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560"/>
      </w:tblGrid>
      <w:tr>
        <w:trPr>
          <w:tblHeader/>
        </w:trPr>
        <w:tc>
          <w:tcPr>
            <w:tcW w:type="dxa" w:w="4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deals. Query: status?, portfolio?, sort?, limit?, offset?</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Comprehensive deal card — full profile + latest metrics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/api/deals/{slug}/assessment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Portfolio readiness + compliance status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/api/deals/{slug}/topsheet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TopSheet snapshot export (all key metrics)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/api/deals/{slug}/packs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Memo packs containing this deal</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/api/deals/{slug}/packs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memo pack for deal</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/api/deals/{slug}/risk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profile + register</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/api/deals/{slug}/risk-register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risk register with summary</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/api/deals/{slug}/risk-register/{risk_id}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risk entry</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/api/deals/{slug}/risk-register/initialise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initial register from template</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/api/deals/{slug}/requests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 requests. Query: status?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/api/deals/{slug}/amendments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Amendment history</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/api/deals/{slug}/forecasts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cases list</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/api/deals/{slug}/forecasts/{case_id}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 detail with period projections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/api/deals/{slug}/snapshots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Financial snapshot history</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/api/deals/{slug}/snapshots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Capture new snapshot. Body: {asOf?}</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/api/deals/{slug}/snapshots/{id}/recompute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Recalculate snapshot metrics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/api/deals/{slug}/distribution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Latest distribution assessment</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/api/deals/{slug}/periods/{period_key}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Detailed period data</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/api/deals/{slug}/covenants/{covenant_id}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 detail with history</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/api/deals/{slug}/capital-stack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 pari-passu standing</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/api/deals/{slug}/intercreditor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Intercreditor matrix</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/api/deals/{slug}/intercreditor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intercreditor</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/api/deals/{slug}/deliverables-calendar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Business-day-adjusted deliverables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/api/deals/{slug}/reserve-history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funding history</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/api/deals/{slug}/calendar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Deal-specific calendar</w:t>
            </w:r>
          </w:p>
        </w:tc>
      </w:tr>
    </w:tbl>
    <w:p>
      <w:pPr>
        <w:pStyle w:val="Heading2"/>
        <w:spacing w:after="120" w:before="240"/>
      </w:pPr>
      <w:r>
        <w:rPr>
          <w:rFonts w:ascii="Arial" w:cs="Arial" w:eastAsia="Arial" w:hAnsi="Arial"/>
          <w:b/>
          <w:bCs/>
          <w:color w:val="263849"/>
          <w:sz w:val="30"/>
          <w:szCs w:val="30"/>
        </w:rPr>
        <w:t xml:space="preserve">11.11 Forecast case versions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760"/>
      </w:tblGrid>
      <w:tr>
        <w:trPr>
          <w:tblHeader/>
        </w:trPr>
        <w:tc>
          <w:tcPr>
            <w:tcW w:type="dxa" w:w="4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/api/forecast-case-versions/{id}/activate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 version as active (is_active=true)</w:t>
            </w:r>
          </w:p>
        </w:tc>
      </w:tr>
    </w:tbl>
    <w:p>
      <w:pPr>
        <w:pStyle w:val="Heading2"/>
        <w:spacing w:after="120" w:before="240"/>
      </w:pPr>
      <w:r>
        <w:rPr>
          <w:rFonts w:ascii="Arial" w:cs="Arial" w:eastAsia="Arial" w:hAnsi="Arial"/>
          <w:b/>
          <w:bCs/>
          <w:color w:val="263849"/>
          <w:sz w:val="30"/>
          <w:szCs w:val="30"/>
        </w:rPr>
        <w:t xml:space="preserve">11.12 Borrower requests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760"/>
      </w:tblGrid>
      <w:tr>
        <w:trPr>
          <w:tblHeader/>
        </w:trPr>
        <w:tc>
          <w:tcPr>
            <w:tcW w:type="dxa" w:w="4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/api/borrower-requests/{id}/decide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Lender decision. Body: {decision, rationale, votingBoard[]}</w:t>
            </w:r>
          </w:p>
        </w:tc>
      </w:tr>
    </w:tbl>
    <w:p>
      <w:pPr>
        <w:pStyle w:val="Heading2"/>
        <w:spacing w:after="120" w:before="240"/>
      </w:pPr>
      <w:r>
        <w:rPr>
          <w:rFonts w:ascii="Arial" w:cs="Arial" w:eastAsia="Arial" w:hAnsi="Arial"/>
          <w:b/>
          <w:bCs/>
          <w:color w:val="263849"/>
          <w:sz w:val="30"/>
          <w:szCs w:val="30"/>
        </w:rPr>
        <w:t xml:space="preserve">11.13 Analytics (/api/deals/{slug}/analytics)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560"/>
      </w:tblGrid>
      <w:tr>
        <w:trPr>
          <w:tblHeader/>
        </w:trPr>
        <w:tc>
          <w:tcPr>
            <w:tcW w:type="dxa" w:w="4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Engine invoked</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/analytics/detect-trends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Plan Variance Trend Engine v5 (detect_trends)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/analytics/assess-distribution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 Assessment Engine</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/analytics/three-case-comparison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Three-Case Comparison</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/analytics/compute-grade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Performance Grade Engine (run_assessment)</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/analytics/run-covenant-tests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 Testing Engine</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/analytics/run-variance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 Engine</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/analytics/risk-score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Aggregate risk score (read)</w:t>
            </w:r>
          </w:p>
        </w:tc>
      </w:tr>
    </w:tbl>
    <w:p>
      <w:pPr>
        <w:pStyle w:val="Heading2"/>
        <w:spacing w:after="120" w:before="240"/>
      </w:pPr>
      <w:r>
        <w:rPr>
          <w:rFonts w:ascii="Arial" w:cs="Arial" w:eastAsia="Arial" w:hAnsi="Arial"/>
          <w:b/>
          <w:bCs/>
          <w:color w:val="263849"/>
          <w:sz w:val="30"/>
          <w:szCs w:val="30"/>
        </w:rPr>
        <w:t xml:space="preserve">11.14 Performance (HAM)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560"/>
      </w:tblGrid>
      <w:tr>
        <w:trPr>
          <w:tblHeader/>
        </w:trPr>
        <w:tc>
          <w:tcPr>
            <w:tcW w:type="dxa" w:w="4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/api/deals/{slug}/performance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Latest performance assessment</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/api/deals/{slug}/performance/history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Assessment history</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/api/deals/{slug}/performance/compute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 recomputation</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/api/deals/{slug}/performance/override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HAM override. Body: {overrideGrade, rationale, expiry}. Max +1 improvement, 6-month expiry.</w:t>
            </w:r>
          </w:p>
        </w:tc>
      </w:tr>
    </w:tbl>
    <w:p>
      <w:pPr>
        <w:pStyle w:val="Heading2"/>
        <w:spacing w:after="120" w:before="240"/>
      </w:pPr>
      <w:r>
        <w:rPr>
          <w:rFonts w:ascii="Arial" w:cs="Arial" w:eastAsia="Arial" w:hAnsi="Arial"/>
          <w:b/>
          <w:bCs/>
          <w:color w:val="263849"/>
          <w:sz w:val="30"/>
          <w:szCs w:val="30"/>
        </w:rPr>
        <w:t xml:space="preserve">11.15 Review queue, evidence, compliance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560"/>
      </w:tblGrid>
      <w:tr>
        <w:trPr>
          <w:tblHeader/>
        </w:trPr>
        <w:tc>
          <w:tcPr>
            <w:tcW w:type="dxa" w:w="4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/api/review-queue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Items awaiting human action</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/api/review-queue/{id}/approve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Approve review item. Body: {approvedBy, rationale?}</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/api/evidence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Extracted evidence citations</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/api/compliance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Compliance calendar + obligation tracking</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/api/compliance/incoming-documents/{id}/triage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Manually triage document. Body: {dealId, obligationId}</w:t>
            </w:r>
          </w:p>
        </w:tc>
      </w:tr>
    </w:tbl>
    <w:p>
      <w:pPr>
        <w:pStyle w:val="Heading2"/>
        <w:spacing w:after="120" w:before="240"/>
      </w:pPr>
      <w:r>
        <w:rPr>
          <w:rFonts w:ascii="Arial" w:cs="Arial" w:eastAsia="Arial" w:hAnsi="Arial"/>
          <w:b/>
          <w:bCs/>
          <w:color w:val="263849"/>
          <w:sz w:val="30"/>
          <w:szCs w:val="30"/>
        </w:rPr>
        <w:t xml:space="preserve">11.16 Calendar, onboarding, demo clock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760"/>
      </w:tblGrid>
      <w:tr>
        <w:trPr>
          <w:tblHeader/>
        </w:trPr>
        <w:tc>
          <w:tcPr>
            <w:tcW w:type="dxa" w:w="4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/api/demo-clock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 simulated 'current date'. Body: {demoDate}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/api/calendar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Platform calendar (monitoring cycles, deliverables, holidays)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/api/onboarding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Onboarding workflows + checklists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/api/onboarding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Start new workflow. Body: {dealId, workflowTemplate}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/api/onboarding/{id}/activate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Activate workflow</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/api/public-holidays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Public holidays by jurisdiction. Query: jurisdictions?</w:t>
            </w:r>
          </w:p>
        </w:tc>
      </w:tr>
    </w:tbl>
    <w:p>
      <w:pPr>
        <w:pStyle w:val="Heading2"/>
        <w:spacing w:after="120" w:before="240"/>
      </w:pPr>
      <w:r>
        <w:rPr>
          <w:rFonts w:ascii="Arial" w:cs="Arial" w:eastAsia="Arial" w:hAnsi="Arial"/>
          <w:b/>
          <w:bCs/>
          <w:color w:val="263849"/>
          <w:sz w:val="30"/>
          <w:szCs w:val="30"/>
        </w:rPr>
        <w:t xml:space="preserve">11.17 Reference data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760"/>
      </w:tblGrid>
      <w:tr>
        <w:trPr>
          <w:tblHeader/>
        </w:trPr>
        <w:tc>
          <w:tcPr>
            <w:tcW w:type="dxa" w:w="4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/api/plumbing/risk-template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Reference template for risk register fields</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/api/risk-taxonomy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Master risk taxonomy</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/api/obligation-taxonomy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Master obligation taxonomy</w:t>
            </w:r>
          </w:p>
        </w:tc>
      </w:tr>
    </w:tbl>
    <w:p>
      <w:pPr>
        <w:pStyle w:val="Heading2"/>
        <w:spacing w:after="120" w:before="240"/>
      </w:pPr>
      <w:r>
        <w:rPr>
          <w:rFonts w:ascii="Arial" w:cs="Arial" w:eastAsia="Arial" w:hAnsi="Arial"/>
          <w:b/>
          <w:bCs/>
          <w:color w:val="263849"/>
          <w:sz w:val="30"/>
          <w:szCs w:val="30"/>
        </w:rPr>
        <w:t xml:space="preserve">11.18 Dashboard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760"/>
      </w:tblGrid>
      <w:tr>
        <w:trPr>
          <w:tblHeader/>
        </w:trPr>
        <w:tc>
          <w:tcPr>
            <w:tcW w:type="dxa" w:w="4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Method</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/api/dashboard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Executive dashboard (KPIs, watchlist, distribution, covenants)</w:t>
            </w:r>
          </w:p>
        </w:tc>
      </w:tr>
    </w:tbl>
    <w:p>
      <w:pPr>
        <w:pStyle w:val="Heading2"/>
        <w:spacing w:after="120" w:before="240"/>
      </w:pPr>
      <w:r>
        <w:rPr>
          <w:rFonts w:ascii="Arial" w:cs="Arial" w:eastAsia="Arial" w:hAnsi="Arial"/>
          <w:b/>
          <w:bCs/>
          <w:color w:val="263849"/>
          <w:sz w:val="30"/>
          <w:szCs w:val="30"/>
        </w:rPr>
        <w:t xml:space="preserve">11.19 Errors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960"/>
      </w:tblGrid>
      <w:tr>
        <w:trPr>
          <w:tblHeader/>
        </w:trPr>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Code</w:t>
            </w:r>
          </w:p>
        </w:tc>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Meaning</w:t>
            </w:r>
          </w:p>
        </w:tc>
        <w:tc>
          <w:tcPr>
            <w:tcW w:type="dxa" w:w="5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Typical cause</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OK</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Successful read or side-effect-free POST</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 created a row</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 Content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Successful delete / ack</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Bad Request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Schema mismatch, missing required field</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Unauthorized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Missing or expired session</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Forbidden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Authenticated but missing entitlement</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Found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Unknown deal slug / id</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Conflict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Idempotency reuse with different payload; commit to stale proposal</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422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Unprocessable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Validation failed (e.g. ratchet rows overlap)</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Internal Error</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Logged; opaque to client</w:t>
            </w:r>
          </w:p>
        </w:tc>
      </w:tr>
    </w:tbl>
    <w:p>
      <w:pPr>
        <w:pStyle w:val="Heading2"/>
        <w:spacing w:after="120" w:before="240"/>
      </w:pPr>
      <w:r>
        <w:rPr>
          <w:rFonts w:ascii="Arial" w:cs="Arial" w:eastAsia="Arial" w:hAnsi="Arial"/>
          <w:b/>
          <w:bCs/>
          <w:color w:val="263849"/>
          <w:sz w:val="30"/>
          <w:szCs w:val="30"/>
        </w:rPr>
        <w:t xml:space="preserve">11.20 Versioning</w:t>
      </w:r>
    </w:p>
    <w:p>
      <w:pPr>
        <w:spacing w:after="140" w:line="280"/>
        <w:jc w:val="both"/>
      </w:pPr>
      <w:r>
        <w:rPr>
          <w:rFonts w:ascii="Arial" w:cs="Arial" w:eastAsia="Arial" w:hAnsi="Arial"/>
          <w:sz w:val="22"/>
          <w:szCs w:val="22"/>
        </w:rPr>
        <w:t xml:space="preserve">API currently unversioned. Breaking changes co-released with the client. /v2/ prefix to be introduced when the first external consumer integrates.</w:t>
      </w:r>
    </w:p>
    <w:p>
      <w:pPr>
        <w:pStyle w:val="Heading1"/>
        <w:pageBreakBefore/>
        <w:spacing w:after="180" w:before="240"/>
      </w:pPr>
      <w:r>
        <w:rPr>
          <w:rFonts w:ascii="Arial" w:cs="Arial" w:eastAsia="Arial" w:hAnsi="Arial"/>
          <w:b/>
          <w:bCs/>
          <w:color w:val="1F6FA5"/>
          <w:sz w:val="40"/>
          <w:szCs w:val="40"/>
        </w:rPr>
        <w:t xml:space="preserve">Part XII — UI specification</w:t>
      </w:r>
    </w:p>
    <w:p>
      <w:pPr>
        <w:pStyle w:val="Heading2"/>
        <w:spacing w:after="120" w:before="240"/>
      </w:pPr>
      <w:r>
        <w:rPr>
          <w:rFonts w:ascii="Arial" w:cs="Arial" w:eastAsia="Arial" w:hAnsi="Arial"/>
          <w:b/>
          <w:bCs/>
          <w:color w:val="263849"/>
          <w:sz w:val="30"/>
          <w:szCs w:val="30"/>
        </w:rPr>
        <w:t xml:space="preserve">12.1 Stack</w:t>
      </w:r>
    </w:p>
    <w:p>
      <w:pPr>
        <w:pStyle w:val="ListParagraph"/>
        <w:numPr>
          <w:ilvl w:val="0"/>
          <w:numId w:val="2"/>
        </w:numPr>
        <w:spacing w:after="60"/>
      </w:pPr>
      <w:r>
        <w:rPr>
          <w:rFonts w:ascii="Arial" w:cs="Arial" w:eastAsia="Arial" w:hAnsi="Arial"/>
          <w:sz w:val="22"/>
          <w:szCs w:val="22"/>
        </w:rPr>
        <w:t xml:space="preserve">Next.js 15 App Router + React 19 + TypeScript</w:t>
      </w:r>
    </w:p>
    <w:p>
      <w:pPr>
        <w:pStyle w:val="ListParagraph"/>
        <w:numPr>
          <w:ilvl w:val="0"/>
          <w:numId w:val="2"/>
        </w:numPr>
        <w:spacing w:after="60"/>
      </w:pPr>
      <w:r>
        <w:rPr>
          <w:rFonts w:ascii="Arial" w:cs="Arial" w:eastAsia="Arial" w:hAnsi="Arial"/>
          <w:sz w:val="22"/>
          <w:szCs w:val="22"/>
        </w:rPr>
        <w:t xml:space="preserve">Port 3000 (client) → port 4000 (server API)</w:t>
      </w:r>
    </w:p>
    <w:p>
      <w:pPr>
        <w:pStyle w:val="ListParagraph"/>
        <w:numPr>
          <w:ilvl w:val="0"/>
          <w:numId w:val="2"/>
        </w:numPr>
        <w:spacing w:after="60"/>
      </w:pPr>
      <w:r>
        <w:rPr>
          <w:rFonts w:ascii="Arial" w:cs="Arial" w:eastAsia="Arial" w:hAnsi="Arial"/>
          <w:sz w:val="22"/>
          <w:szCs w:val="22"/>
        </w:rPr>
        <w:t xml:space="preserve">Charts: Recharts (ComposedChart, LineChart, Bar, Area, ReferenceLine)</w:t>
      </w:r>
    </w:p>
    <w:p>
      <w:pPr>
        <w:pStyle w:val="ListParagraph"/>
        <w:numPr>
          <w:ilvl w:val="0"/>
          <w:numId w:val="2"/>
        </w:numPr>
        <w:spacing w:after="60"/>
      </w:pPr>
      <w:r>
        <w:rPr>
          <w:rFonts w:ascii="Arial" w:cs="Arial" w:eastAsia="Arial" w:hAnsi="Arial"/>
          <w:sz w:val="22"/>
          <w:szCs w:val="22"/>
        </w:rPr>
        <w:t xml:space="preserve">Typography: Avenir Next (fallback Segoe UI / Helvetica Neue), font-scale-base 12px</w:t>
      </w:r>
    </w:p>
    <w:p>
      <w:pPr>
        <w:pStyle w:val="ListParagraph"/>
        <w:numPr>
          <w:ilvl w:val="0"/>
          <w:numId w:val="2"/>
        </w:numPr>
        <w:spacing w:after="60"/>
      </w:pPr>
      <w:r>
        <w:rPr>
          <w:rFonts w:ascii="Arial" w:cs="Arial" w:eastAsia="Arial" w:hAnsi="Arial"/>
          <w:sz w:val="22"/>
          <w:szCs w:val="22"/>
        </w:rPr>
        <w:t xml:space="preserve">Dual theme: light (default) + dark via [data-theme="dark"]; theme persisted in localStorage under key 'theme-preference'</w:t>
      </w:r>
    </w:p>
    <w:p>
      <w:pPr>
        <w:pStyle w:val="Heading2"/>
        <w:spacing w:after="120" w:before="240"/>
      </w:pPr>
      <w:r>
        <w:rPr>
          <w:rFonts w:ascii="Arial" w:cs="Arial" w:eastAsia="Arial" w:hAnsi="Arial"/>
          <w:b/>
          <w:bCs/>
          <w:color w:val="263849"/>
          <w:sz w:val="30"/>
          <w:szCs w:val="30"/>
        </w:rPr>
        <w:t xml:space="preserve">12.2 Design tokens — light theme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Token</w:t>
            </w:r>
          </w:p>
        </w:tc>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Value</w:t>
            </w:r>
          </w:p>
        </w:tc>
        <w:tc>
          <w:tcPr>
            <w:tcW w:type="dxa" w:w="4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Usage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--font-ui</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"Avenir Next", "Segoe UI", "Helvetica Neue", sans-serif</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Body UI font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--font-display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"Avenir Next", "Trebuchet MS", "Segoe UI", sans-serif</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Headings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--font-scale-base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12px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Root font-size base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--app-max-width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100%</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Full-bleed layout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--shell-pad-x</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10px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Horizontal shell padding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--shell-pad-top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36px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--shell-pad-bottom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72px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--sidebar-width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180px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Left rail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--radius-panel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28px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Panel corner radius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--radius-card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22px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Card corner radius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--shadow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 24px 60px rgba(18,32,54,0.12)</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Primary shadow</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--shadow-soft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 18px 38px rgba(18,32,54,0.08)</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Card shadow</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#eef4f8</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 background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--bg-accent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#dce9f3</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Accent backdrop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--bg-strong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#ffffff</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White surfaces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--panel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rgba(255,255,255,0.76)</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Panel fill (translucent)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--panel-strong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rgba(255,255,255,0.92)</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Panel fill (stronger)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rgba(24,49,82,0.12)</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Borders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--line-strong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rgba(24,49,82,0.20)</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Strong borders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#132235</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Body text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--ink-soft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#45617a</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Secondary text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#1f6fa5</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Primary blue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--accent-strong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#15557e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Hover / active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--accent-soft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rgba(31,111,165,0.14)</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Accent backdrop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--good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#2f8b72</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Positive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--good-soft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rgba(47,139,114,0.16)</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--warning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#c97f1f</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Cautionary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--warning-soft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rgba(201,127,31,0.18)</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--critical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#d65454</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Breach</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--critical-soft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rgba(214,84,84,0.16)</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12.3 Design tokens — dark theme overrides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Token</w:t>
            </w:r>
          </w:p>
        </w:tc>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Value</w:t>
            </w:r>
          </w:p>
        </w:tc>
        <w:tc>
          <w:tcPr>
            <w:tcW w:type="dxa" w:w="4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--shadow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 28px 64px rgba(0,0,0,0.34)</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Darker, more diffuse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#09131d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Deep navy-black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--bg-accent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#122434</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--bg-strong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#0b1824</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--panel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rgba(16,33,50,0.92)</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Translucent panels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--panel-strong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rgba(19,39,58,0.98)</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rgba(157,189,220,0.22)</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--line-strong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rgba(180,210,238,0.38)</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#ebf3fa</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Near-white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--ink-soft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#bfd1e0</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#2670a9</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--accent-strong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#4690ca</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--accent-soft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rgba(38,112,169,0.24)</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--good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#53c3a0</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--warning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#f0a14e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--critical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#f17474</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12.4 Core CSS classes</w:t>
      </w:r>
    </w:p>
    <w:p>
      <w:pPr>
        <w:pStyle w:val="Heading3"/>
        <w:spacing w:after="80" w:before="180"/>
      </w:pPr>
      <w:r>
        <w:rPr>
          <w:rFonts w:ascii="Arial" w:cs="Arial" w:eastAsia="Arial" w:hAnsi="Arial"/>
          <w:b/>
          <w:bCs/>
          <w:color w:val="263849"/>
          <w:sz w:val="26"/>
          <w:szCs w:val="26"/>
        </w:rPr>
        <w:t xml:space="preserve">Layout</w:t>
      </w:r>
    </w:p>
    <w:p>
      <w:pPr>
        <w:spacing w:after="80"/>
      </w:pPr>
      <w:r>
        <w:rPr>
          <w:rFonts w:ascii="Consolas" w:cs="Consolas" w:eastAsia="Consolas" w:hAnsi="Consolas"/>
          <w:color w:val="444444"/>
          <w:sz w:val="20"/>
          <w:szCs w:val="20"/>
        </w:rPr>
        <w:t xml:space="preserve">.app-layout          Root container with radial gradients + sidebar padding-left
.app-main            Main content flex container
.sidebar             Fixed left sidebar with backdrop-filter blur
.shell               Page content wrapper with --shell-pad-* applied</w:t>
      </w:r>
    </w:p>
    <w:p>
      <w:pPr>
        <w:pStyle w:val="Heading3"/>
        <w:spacing w:after="80" w:before="180"/>
      </w:pPr>
      <w:r>
        <w:rPr>
          <w:rFonts w:ascii="Arial" w:cs="Arial" w:eastAsia="Arial" w:hAnsi="Arial"/>
          <w:b/>
          <w:bCs/>
          <w:color w:val="263849"/>
          <w:sz w:val="26"/>
          <w:szCs w:val="26"/>
        </w:rPr>
        <w:t xml:space="preserve">Navigation</w:t>
      </w:r>
    </w:p>
    <w:p>
      <w:pPr>
        <w:spacing w:after="80"/>
      </w:pPr>
      <w:r>
        <w:rPr>
          <w:rFonts w:ascii="Consolas" w:cs="Consolas" w:eastAsia="Consolas" w:hAnsi="Consolas"/>
          <w:color w:val="444444"/>
          <w:sz w:val="20"/>
          <w:szCs w:val="20"/>
        </w:rPr>
        <w:t xml:space="preserve">.sidebar-brand             Logo area at top of sidebar
.sidebar-brand-mark        Logo icon (gradient)
.sidebar-nav               Nav items container
.sidebar-link              Individual nav button
.sidebar-link.active       Active nav state (gradient bg, white text)
.subnav                    Horizontal tab nav (999px rounded pill)
.subnav-link               Individual tab
.subnav-link.active        Active tab (gradient bg)</w:t>
      </w:r>
    </w:p>
    <w:p>
      <w:pPr>
        <w:pStyle w:val="Heading3"/>
        <w:spacing w:after="80" w:before="180"/>
      </w:pPr>
      <w:r>
        <w:rPr>
          <w:rFonts w:ascii="Arial" w:cs="Arial" w:eastAsia="Arial" w:hAnsi="Arial"/>
          <w:b/>
          <w:bCs/>
          <w:color w:val="263849"/>
          <w:sz w:val="26"/>
          <w:szCs w:val="26"/>
        </w:rPr>
        <w:t xml:space="preserve">Content containers</w:t>
      </w:r>
    </w:p>
    <w:p>
      <w:pPr>
        <w:spacing w:after="80"/>
      </w:pPr>
      <w:r>
        <w:rPr>
          <w:rFonts w:ascii="Consolas" w:cs="Consolas" w:eastAsia="Consolas" w:hAnsi="Consolas"/>
          <w:color w:val="444444"/>
          <w:sz w:val="20"/>
          <w:szCs w:val="20"/>
        </w:rPr>
        <w:t xml:space="preserve">.hero / .deal-hero       Two-column header layout (1.8fr 1fr)
.hero.compact            Single-column hero variant
.panel                   Base card — bg, border, shadow, backdrop-filter
.panel.section-panel     Full-width section panel
.hero-card               Hero-section card with gradient overlay
.metric-card             KPI / metric display card
.review-card             Review item card</w:t>
      </w:r>
    </w:p>
    <w:p>
      <w:pPr>
        <w:pStyle w:val="Heading3"/>
        <w:spacing w:after="80" w:before="180"/>
      </w:pPr>
      <w:r>
        <w:rPr>
          <w:rFonts w:ascii="Arial" w:cs="Arial" w:eastAsia="Arial" w:hAnsi="Arial"/>
          <w:b/>
          <w:bCs/>
          <w:color w:val="263849"/>
          <w:sz w:val="26"/>
          <w:szCs w:val="26"/>
        </w:rPr>
        <w:t xml:space="preserve">Typography</w:t>
      </w:r>
    </w:p>
    <w:p>
      <w:pPr>
        <w:spacing w:after="80"/>
      </w:pPr>
      <w:r>
        <w:rPr>
          <w:rFonts w:ascii="Consolas" w:cs="Consolas" w:eastAsia="Consolas" w:hAnsi="Consolas"/>
          <w:color w:val="444444"/>
          <w:sz w:val="20"/>
          <w:szCs w:val="20"/>
        </w:rPr>
        <w:t xml:space="preserve">.eyebrow        Uppercase section label (0.76rem, accent, 0.18em letter-spacing)
.hero-copy      Body copy (1.04rem, ink-soft)
.detail-copy    Ditto for detail pages
.panel-heading  Panel title area
h1, h2, h3      font-display, weight 700</w:t>
      </w:r>
    </w:p>
    <w:p>
      <w:pPr>
        <w:pStyle w:val="Heading3"/>
        <w:spacing w:after="80" w:before="180"/>
      </w:pPr>
      <w:r>
        <w:rPr>
          <w:rFonts w:ascii="Arial" w:cs="Arial" w:eastAsia="Arial" w:hAnsi="Arial"/>
          <w:b/>
          <w:bCs/>
          <w:color w:val="263849"/>
          <w:sz w:val="26"/>
          <w:szCs w:val="26"/>
        </w:rPr>
        <w:t xml:space="preserve">Buttons</w:t>
      </w:r>
    </w:p>
    <w:p>
      <w:pPr>
        <w:spacing w:after="80"/>
      </w:pPr>
      <w:r>
        <w:rPr>
          <w:rFonts w:ascii="Consolas" w:cs="Consolas" w:eastAsia="Consolas" w:hAnsi="Consolas"/>
          <w:color w:val="444444"/>
          <w:sz w:val="20"/>
          <w:szCs w:val="20"/>
        </w:rPr>
        <w:t xml:space="preserve">.button               Base — transparent bg, ink text
.button.primary       Accent gradient
.button.secondary     Panel bg + border</w:t>
      </w:r>
    </w:p>
    <w:p>
      <w:pPr>
        <w:pStyle w:val="Heading3"/>
        <w:spacing w:after="80" w:before="180"/>
      </w:pPr>
      <w:r>
        <w:rPr>
          <w:rFonts w:ascii="Arial" w:cs="Arial" w:eastAsia="Arial" w:hAnsi="Arial"/>
          <w:b/>
          <w:bCs/>
          <w:color w:val="263849"/>
          <w:sz w:val="26"/>
          <w:szCs w:val="26"/>
        </w:rPr>
        <w:t xml:space="preserve">Badges</w:t>
      </w:r>
    </w:p>
    <w:p>
      <w:pPr>
        <w:spacing w:after="80"/>
      </w:pPr>
      <w:r>
        <w:rPr>
          <w:rFonts w:ascii="Consolas" w:cs="Consolas" w:eastAsia="Consolas" w:hAnsi="Consolas"/>
          <w:color w:val="444444"/>
          <w:sz w:val="20"/>
          <w:szCs w:val="20"/>
        </w:rPr>
        <w:t xml:space="preserve">.badge            0.72rem, 999px rounded, default neutral
.badge.good       --good
.badge.warning    --warning
.badge.critical   --critical
.badge.neutral    Grey
.badge-sm         Smaller variant</w:t>
      </w:r>
    </w:p>
    <w:p>
      <w:pPr>
        <w:pStyle w:val="Heading3"/>
        <w:spacing w:after="80" w:before="180"/>
      </w:pPr>
      <w:r>
        <w:rPr>
          <w:rFonts w:ascii="Arial" w:cs="Arial" w:eastAsia="Arial" w:hAnsi="Arial"/>
          <w:b/>
          <w:bCs/>
          <w:color w:val="263849"/>
          <w:sz w:val="26"/>
          <w:szCs w:val="26"/>
        </w:rPr>
        <w:t xml:space="preserve">Grids + lists</w:t>
      </w:r>
    </w:p>
    <w:p>
      <w:pPr>
        <w:spacing w:after="80"/>
      </w:pPr>
      <w:r>
        <w:rPr>
          <w:rFonts w:ascii="Consolas" w:cs="Consolas" w:eastAsia="Consolas" w:hAnsi="Consolas"/>
          <w:color w:val="444444"/>
          <w:sz w:val="20"/>
          <w:szCs w:val="20"/>
        </w:rPr>
        <w:t xml:space="preserve">.metric-grid           Auto-fit grid, minmax(300px, ...)
.home-grid / .content-grid
.list-grid
.deal-list-card        Card in deal list
.capability-grid       Capability showcase
.rail-grid / .rail-card
.stage-grid / .stage-card
.roadmap-grid / .roadmap-card
.stack / .compact-stack Vertical stack with gap
.status-row            Horizontal label/value
.tag-row               Inline badge row
.attr-row              Attribute label/value pair with dashed border
.timeline-feed / .timeline-entry
.topsheet-*            Deal-topsheet variants</w:t>
      </w:r>
    </w:p>
    <w:p>
      <w:pPr>
        <w:pStyle w:val="Heading2"/>
        <w:spacing w:after="120" w:before="240"/>
      </w:pPr>
      <w:r>
        <w:rPr>
          <w:rFonts w:ascii="Arial" w:cs="Arial" w:eastAsia="Arial" w:hAnsi="Arial"/>
          <w:b/>
          <w:bCs/>
          <w:color w:val="263849"/>
          <w:sz w:val="30"/>
          <w:szCs w:val="30"/>
        </w:rPr>
        <w:t xml:space="preserve">12.5 Breakpoints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Query</w:t>
            </w:r>
          </w:p>
        </w:tc>
        <w:tc>
          <w:tcPr>
            <w:tcW w:type="dxa" w:w="2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Width</w:t>
            </w:r>
          </w:p>
        </w:tc>
        <w:tc>
          <w:tcPr>
            <w:tcW w:type="dxa" w:w="5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max 700px</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Mobile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Sidebar collapses, single-column, compact spacing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max 768px</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Mobile landscape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Stack adjustments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max 800px</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Small tablet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Reduced sidebar width</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max 960px</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Tablet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Grid adjustments, hero stacking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 960px</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Desktop</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Multi-column grids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max 1100px</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Medium desktop</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Grid tweaks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max 1200px</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Large content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Max-width constraints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Print media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Hide nav, adjust colours</w:t>
            </w:r>
          </w:p>
        </w:tc>
      </w:tr>
    </w:tbl>
    <w:p>
      <w:pPr>
        <w:pStyle w:val="Heading2"/>
        <w:spacing w:after="120" w:before="240"/>
      </w:pPr>
      <w:r>
        <w:rPr>
          <w:rFonts w:ascii="Arial" w:cs="Arial" w:eastAsia="Arial" w:hAnsi="Arial"/>
          <w:b/>
          <w:bCs/>
          <w:color w:val="263849"/>
          <w:sz w:val="30"/>
          <w:szCs w:val="30"/>
        </w:rPr>
        <w:t xml:space="preserve">12.6 Full route inventory</w:t>
      </w:r>
    </w:p>
    <w:p>
      <w:pPr>
        <w:pStyle w:val="Heading3"/>
        <w:spacing w:after="80" w:before="180"/>
      </w:pPr>
      <w:r>
        <w:rPr>
          <w:rFonts w:ascii="Arial" w:cs="Arial" w:eastAsia="Arial" w:hAnsi="Arial"/>
          <w:b/>
          <w:bCs/>
          <w:color w:val="263849"/>
          <w:sz w:val="26"/>
          <w:szCs w:val="26"/>
        </w:rPr>
        <w:t xml:space="preserve">Root</w:t>
      </w:r>
    </w:p>
    <w:p>
      <w:pPr>
        <w:pStyle w:val="ListParagraph"/>
        <w:numPr>
          <w:ilvl w:val="0"/>
          <w:numId w:val="2"/>
        </w:numPr>
        <w:spacing w:after="60"/>
      </w:pPr>
      <w:r>
        <w:rPr>
          <w:rFonts w:ascii="Arial" w:cs="Arial" w:eastAsia="Arial" w:hAnsi="Arial"/>
          <w:sz w:val="22"/>
          <w:szCs w:val="22"/>
        </w:rPr>
        <w:t xml:space="preserve">/ — landing page with capability groups</w:t>
      </w:r>
    </w:p>
    <w:p>
      <w:pPr>
        <w:pStyle w:val="ListParagraph"/>
        <w:numPr>
          <w:ilvl w:val="0"/>
          <w:numId w:val="2"/>
        </w:numPr>
        <w:spacing w:after="60"/>
      </w:pPr>
      <w:r>
        <w:rPr>
          <w:rFonts w:ascii="Arial" w:cs="Arial" w:eastAsia="Arial" w:hAnsi="Arial"/>
          <w:sz w:val="22"/>
          <w:szCs w:val="22"/>
        </w:rPr>
        <w:t xml:space="preserve">/home — alternate home entry</w:t>
      </w:r>
    </w:p>
    <w:p>
      <w:pPr>
        <w:pStyle w:val="ListParagraph"/>
        <w:numPr>
          <w:ilvl w:val="0"/>
          <w:numId w:val="2"/>
        </w:numPr>
        <w:spacing w:after="60"/>
      </w:pPr>
      <w:r>
        <w:rPr>
          <w:rFonts w:ascii="Arial" w:cs="Arial" w:eastAsia="Arial" w:hAnsi="Arial"/>
          <w:sz w:val="22"/>
          <w:szCs w:val="22"/>
        </w:rPr>
        <w:t xml:space="preserve">/dashboard — alternate dashboard view</w:t>
      </w:r>
    </w:p>
    <w:p>
      <w:pPr>
        <w:pStyle w:val="Heading3"/>
        <w:spacing w:after="80" w:before="180"/>
      </w:pPr>
      <w:r>
        <w:rPr>
          <w:rFonts w:ascii="Arial" w:cs="Arial" w:eastAsia="Arial" w:hAnsi="Arial"/>
          <w:b/>
          <w:bCs/>
          <w:color w:val="263849"/>
          <w:sz w:val="26"/>
          <w:szCs w:val="26"/>
        </w:rPr>
        <w:t xml:space="preserve">JPS (portfolio dashboard)</w:t>
      </w:r>
    </w:p>
    <w:p>
      <w:pPr>
        <w:pStyle w:val="ListParagraph"/>
        <w:numPr>
          <w:ilvl w:val="0"/>
          <w:numId w:val="2"/>
        </w:numPr>
        <w:spacing w:after="60"/>
      </w:pPr>
      <w:r>
        <w:rPr>
          <w:rFonts w:ascii="Arial" w:cs="Arial" w:eastAsia="Arial" w:hAnsi="Arial"/>
          <w:sz w:val="22"/>
          <w:szCs w:val="22"/>
        </w:rPr>
        <w:t xml:space="preserve">/jps — portfolio summary with filter grid, currency toggle, print</w:t>
      </w:r>
    </w:p>
    <w:p>
      <w:pPr>
        <w:pStyle w:val="ListParagraph"/>
        <w:numPr>
          <w:ilvl w:val="0"/>
          <w:numId w:val="2"/>
        </w:numPr>
        <w:spacing w:after="60"/>
      </w:pPr>
      <w:r>
        <w:rPr>
          <w:rFonts w:ascii="Arial" w:cs="Arial" w:eastAsia="Arial" w:hAnsi="Arial"/>
          <w:sz w:val="22"/>
          <w:szCs w:val="22"/>
        </w:rPr>
        <w:t xml:space="preserve">/jps/[slug] — individual investment detail workspace</w:t>
      </w:r>
    </w:p>
    <w:p>
      <w:pPr>
        <w:pStyle w:val="ListParagraph"/>
        <w:numPr>
          <w:ilvl w:val="0"/>
          <w:numId w:val="2"/>
        </w:numPr>
        <w:spacing w:after="60"/>
      </w:pPr>
      <w:r>
        <w:rPr>
          <w:rFonts w:ascii="Arial" w:cs="Arial" w:eastAsia="Arial" w:hAnsi="Arial"/>
          <w:sz w:val="22"/>
          <w:szCs w:val="22"/>
        </w:rPr>
        <w:t xml:space="preserve">/jps/[slug]/[periodFlag] — period snapshot for deal</w:t>
      </w:r>
    </w:p>
    <w:p>
      <w:pPr>
        <w:pStyle w:val="ListParagraph"/>
        <w:numPr>
          <w:ilvl w:val="0"/>
          <w:numId w:val="2"/>
        </w:numPr>
        <w:spacing w:after="60"/>
      </w:pPr>
      <w:r>
        <w:rPr>
          <w:rFonts w:ascii="Arial" w:cs="Arial" w:eastAsia="Arial" w:hAnsi="Arial"/>
          <w:sz w:val="22"/>
          <w:szCs w:val="22"/>
        </w:rPr>
        <w:t xml:space="preserve">/jps/[slug]/risk-register — deal-specific risk register</w:t>
      </w:r>
    </w:p>
    <w:p>
      <w:pPr>
        <w:pStyle w:val="Heading3"/>
        <w:spacing w:after="80" w:before="180"/>
      </w:pPr>
      <w:r>
        <w:rPr>
          <w:rFonts w:ascii="Arial" w:cs="Arial" w:eastAsia="Arial" w:hAnsi="Arial"/>
          <w:b/>
          <w:bCs/>
          <w:color w:val="263849"/>
          <w:sz w:val="26"/>
          <w:szCs w:val="26"/>
        </w:rPr>
        <w:t xml:space="preserve">Deals</w:t>
      </w:r>
    </w:p>
    <w:p>
      <w:pPr>
        <w:pStyle w:val="ListParagraph"/>
        <w:numPr>
          <w:ilvl w:val="0"/>
          <w:numId w:val="2"/>
        </w:numPr>
        <w:spacing w:after="60"/>
      </w:pPr>
      <w:r>
        <w:rPr>
          <w:rFonts w:ascii="Arial" w:cs="Arial" w:eastAsia="Arial" w:hAnsi="Arial"/>
          <w:sz w:val="22"/>
          <w:szCs w:val="22"/>
        </w:rPr>
        <w:t xml:space="preserve">/deals — index of all monitored deals</w:t>
      </w:r>
    </w:p>
    <w:p>
      <w:pPr>
        <w:pStyle w:val="ListParagraph"/>
        <w:numPr>
          <w:ilvl w:val="0"/>
          <w:numId w:val="2"/>
        </w:numPr>
        <w:spacing w:after="60"/>
      </w:pPr>
      <w:r>
        <w:rPr>
          <w:rFonts w:ascii="Arial" w:cs="Arial" w:eastAsia="Arial" w:hAnsi="Arial"/>
          <w:sz w:val="22"/>
          <w:szCs w:val="22"/>
        </w:rPr>
        <w:t xml:space="preserve">/deals/[slug] — **deal overview (primary view)** — see 12.7</w:t>
      </w:r>
    </w:p>
    <w:p>
      <w:pPr>
        <w:pStyle w:val="ListParagraph"/>
        <w:numPr>
          <w:ilvl w:val="0"/>
          <w:numId w:val="2"/>
        </w:numPr>
        <w:spacing w:after="60"/>
      </w:pPr>
      <w:r>
        <w:rPr>
          <w:rFonts w:ascii="Arial" w:cs="Arial" w:eastAsia="Arial" w:hAnsi="Arial"/>
          <w:sz w:val="22"/>
          <w:szCs w:val="22"/>
        </w:rPr>
        <w:t xml:space="preserve">/deals/[slug]/topsheet — full TopSheet layout</w:t>
      </w:r>
    </w:p>
    <w:p>
      <w:pPr>
        <w:pStyle w:val="ListParagraph"/>
        <w:numPr>
          <w:ilvl w:val="0"/>
          <w:numId w:val="2"/>
        </w:numPr>
        <w:spacing w:after="60"/>
      </w:pPr>
      <w:r>
        <w:rPr>
          <w:rFonts w:ascii="Arial" w:cs="Arial" w:eastAsia="Arial" w:hAnsi="Arial"/>
          <w:sz w:val="22"/>
          <w:szCs w:val="22"/>
        </w:rPr>
        <w:t xml:space="preserve">/deals/[slug]/periods/[periodKey] — single reporting period</w:t>
      </w:r>
    </w:p>
    <w:p>
      <w:pPr>
        <w:pStyle w:val="ListParagraph"/>
        <w:numPr>
          <w:ilvl w:val="0"/>
          <w:numId w:val="2"/>
        </w:numPr>
        <w:spacing w:after="60"/>
      </w:pPr>
      <w:r>
        <w:rPr>
          <w:rFonts w:ascii="Arial" w:cs="Arial" w:eastAsia="Arial" w:hAnsi="Arial"/>
          <w:sz w:val="22"/>
          <w:szCs w:val="22"/>
        </w:rPr>
        <w:t xml:space="preserve">/deals/[slug]/forecasts — scenario grid + delta</w:t>
      </w:r>
    </w:p>
    <w:p>
      <w:pPr>
        <w:pStyle w:val="ListParagraph"/>
        <w:numPr>
          <w:ilvl w:val="0"/>
          <w:numId w:val="2"/>
        </w:numPr>
        <w:spacing w:after="60"/>
      </w:pPr>
      <w:r>
        <w:rPr>
          <w:rFonts w:ascii="Arial" w:cs="Arial" w:eastAsia="Arial" w:hAnsi="Arial"/>
          <w:sz w:val="22"/>
          <w:szCs w:val="22"/>
        </w:rPr>
        <w:t xml:space="preserve">/deals/[slug]/forecasts/[caseId] — individual forecast case</w:t>
      </w:r>
    </w:p>
    <w:p>
      <w:pPr>
        <w:pStyle w:val="ListParagraph"/>
        <w:numPr>
          <w:ilvl w:val="0"/>
          <w:numId w:val="2"/>
        </w:numPr>
        <w:spacing w:after="60"/>
      </w:pPr>
      <w:r>
        <w:rPr>
          <w:rFonts w:ascii="Arial" w:cs="Arial" w:eastAsia="Arial" w:hAnsi="Arial"/>
          <w:sz w:val="22"/>
          <w:szCs w:val="22"/>
        </w:rPr>
        <w:t xml:space="preserve">/deals/[slug]/covenants/[covenantId] — covenant history + evidence</w:t>
      </w:r>
    </w:p>
    <w:p>
      <w:pPr>
        <w:pStyle w:val="ListParagraph"/>
        <w:numPr>
          <w:ilvl w:val="0"/>
          <w:numId w:val="2"/>
        </w:numPr>
        <w:spacing w:after="60"/>
      </w:pPr>
      <w:r>
        <w:rPr>
          <w:rFonts w:ascii="Arial" w:cs="Arial" w:eastAsia="Arial" w:hAnsi="Arial"/>
          <w:sz w:val="22"/>
          <w:szCs w:val="22"/>
        </w:rPr>
        <w:t xml:space="preserve">/deals/[slug]/activity — deal activity timeline</w:t>
      </w:r>
    </w:p>
    <w:p>
      <w:pPr>
        <w:pStyle w:val="ListParagraph"/>
        <w:numPr>
          <w:ilvl w:val="0"/>
          <w:numId w:val="2"/>
        </w:numPr>
        <w:spacing w:after="60"/>
      </w:pPr>
      <w:r>
        <w:rPr>
          <w:rFonts w:ascii="Arial" w:cs="Arial" w:eastAsia="Arial" w:hAnsi="Arial"/>
          <w:sz w:val="22"/>
          <w:szCs w:val="22"/>
        </w:rPr>
        <w:t xml:space="preserve">/deals/[slug]/amendments — amendment history</w:t>
      </w:r>
    </w:p>
    <w:p>
      <w:pPr>
        <w:pStyle w:val="ListParagraph"/>
        <w:numPr>
          <w:ilvl w:val="0"/>
          <w:numId w:val="2"/>
        </w:numPr>
        <w:spacing w:after="60"/>
      </w:pPr>
      <w:r>
        <w:rPr>
          <w:rFonts w:ascii="Arial" w:cs="Arial" w:eastAsia="Arial" w:hAnsi="Arial"/>
          <w:sz w:val="22"/>
          <w:szCs w:val="22"/>
        </w:rPr>
        <w:t xml:space="preserve">/deals/[slug]/assessment — credit assessment + grade</w:t>
      </w:r>
    </w:p>
    <w:p>
      <w:pPr>
        <w:pStyle w:val="ListParagraph"/>
        <w:numPr>
          <w:ilvl w:val="0"/>
          <w:numId w:val="2"/>
        </w:numPr>
        <w:spacing w:after="60"/>
      </w:pPr>
      <w:r>
        <w:rPr>
          <w:rFonts w:ascii="Arial" w:cs="Arial" w:eastAsia="Arial" w:hAnsi="Arial"/>
          <w:sz w:val="22"/>
          <w:szCs w:val="22"/>
        </w:rPr>
        <w:t xml:space="preserve">/deals/[slug]/calendar — deal-specific calendar</w:t>
      </w:r>
    </w:p>
    <w:p>
      <w:pPr>
        <w:pStyle w:val="ListParagraph"/>
        <w:numPr>
          <w:ilvl w:val="0"/>
          <w:numId w:val="2"/>
        </w:numPr>
        <w:spacing w:after="60"/>
      </w:pPr>
      <w:r>
        <w:rPr>
          <w:rFonts w:ascii="Arial" w:cs="Arial" w:eastAsia="Arial" w:hAnsi="Arial"/>
          <w:sz w:val="22"/>
          <w:szCs w:val="22"/>
        </w:rPr>
        <w:t xml:space="preserve">/deals/[slug]/distribution — distribution permission testing</w:t>
      </w:r>
    </w:p>
    <w:p>
      <w:pPr>
        <w:pStyle w:val="ListParagraph"/>
        <w:numPr>
          <w:ilvl w:val="0"/>
          <w:numId w:val="2"/>
        </w:numPr>
        <w:spacing w:after="60"/>
      </w:pPr>
      <w:r>
        <w:rPr>
          <w:rFonts w:ascii="Arial" w:cs="Arial" w:eastAsia="Arial" w:hAnsi="Arial"/>
          <w:sz w:val="22"/>
          <w:szCs w:val="22"/>
        </w:rPr>
        <w:t xml:space="preserve">/deals/[slug]/packs — memo packs for deal</w:t>
      </w:r>
    </w:p>
    <w:p>
      <w:pPr>
        <w:pStyle w:val="ListParagraph"/>
        <w:numPr>
          <w:ilvl w:val="0"/>
          <w:numId w:val="2"/>
        </w:numPr>
        <w:spacing w:after="60"/>
      </w:pPr>
      <w:r>
        <w:rPr>
          <w:rFonts w:ascii="Arial" w:cs="Arial" w:eastAsia="Arial" w:hAnsi="Arial"/>
          <w:sz w:val="22"/>
          <w:szCs w:val="22"/>
        </w:rPr>
        <w:t xml:space="preserve">/deals/[slug]/reports — generated reports</w:t>
      </w:r>
    </w:p>
    <w:p>
      <w:pPr>
        <w:pStyle w:val="ListParagraph"/>
        <w:numPr>
          <w:ilvl w:val="0"/>
          <w:numId w:val="2"/>
        </w:numPr>
        <w:spacing w:after="60"/>
      </w:pPr>
      <w:r>
        <w:rPr>
          <w:rFonts w:ascii="Arial" w:cs="Arial" w:eastAsia="Arial" w:hAnsi="Arial"/>
          <w:sz w:val="22"/>
          <w:szCs w:val="22"/>
        </w:rPr>
        <w:t xml:space="preserve">/deals/[slug]/requests — borrower consent requests</w:t>
      </w:r>
    </w:p>
    <w:p>
      <w:pPr>
        <w:pStyle w:val="ListParagraph"/>
        <w:numPr>
          <w:ilvl w:val="0"/>
          <w:numId w:val="2"/>
        </w:numPr>
        <w:spacing w:after="60"/>
      </w:pPr>
      <w:r>
        <w:rPr>
          <w:rFonts w:ascii="Arial" w:cs="Arial" w:eastAsia="Arial" w:hAnsi="Arial"/>
          <w:sz w:val="22"/>
          <w:szCs w:val="22"/>
        </w:rPr>
        <w:t xml:space="preserve">/deals/[slug]/risk — risk register</w:t>
      </w:r>
    </w:p>
    <w:p>
      <w:pPr>
        <w:pStyle w:val="ListParagraph"/>
        <w:numPr>
          <w:ilvl w:val="0"/>
          <w:numId w:val="2"/>
        </w:numPr>
        <w:spacing w:after="60"/>
      </w:pPr>
      <w:r>
        <w:rPr>
          <w:rFonts w:ascii="Arial" w:cs="Arial" w:eastAsia="Arial" w:hAnsi="Arial"/>
          <w:sz w:val="22"/>
          <w:szCs w:val="22"/>
        </w:rPr>
        <w:t xml:space="preserve">/deals/[slug]/snapshots — snapshot version history</w:t>
      </w:r>
    </w:p>
    <w:p>
      <w:pPr>
        <w:pStyle w:val="Heading3"/>
        <w:spacing w:after="80" w:before="180"/>
      </w:pPr>
      <w:r>
        <w:rPr>
          <w:rFonts w:ascii="Arial" w:cs="Arial" w:eastAsia="Arial" w:hAnsi="Arial"/>
          <w:b/>
          <w:bCs/>
          <w:color w:val="263849"/>
          <w:sz w:val="26"/>
          <w:szCs w:val="26"/>
        </w:rPr>
        <w:t xml:space="preserve">Portfolio</w:t>
      </w:r>
    </w:p>
    <w:p>
      <w:pPr>
        <w:pStyle w:val="ListParagraph"/>
        <w:numPr>
          <w:ilvl w:val="0"/>
          <w:numId w:val="2"/>
        </w:numPr>
        <w:spacing w:after="60"/>
      </w:pPr>
      <w:r>
        <w:rPr>
          <w:rFonts w:ascii="Arial" w:cs="Arial" w:eastAsia="Arial" w:hAnsi="Arial"/>
          <w:sz w:val="22"/>
          <w:szCs w:val="22"/>
        </w:rPr>
        <w:t xml:space="preserve">/portfolio — hierarchy view with DashboardMonitor</w:t>
      </w:r>
    </w:p>
    <w:p>
      <w:pPr>
        <w:pStyle w:val="ListParagraph"/>
        <w:numPr>
          <w:ilvl w:val="0"/>
          <w:numId w:val="2"/>
        </w:numPr>
        <w:spacing w:after="60"/>
      </w:pPr>
      <w:r>
        <w:rPr>
          <w:rFonts w:ascii="Arial" w:cs="Arial" w:eastAsia="Arial" w:hAnsi="Arial"/>
          <w:sz w:val="22"/>
          <w:szCs w:val="22"/>
        </w:rPr>
        <w:t xml:space="preserve">/portfolio/calendar — portfolio-wide calendar</w:t>
      </w:r>
    </w:p>
    <w:p>
      <w:pPr>
        <w:pStyle w:val="ListParagraph"/>
        <w:numPr>
          <w:ilvl w:val="0"/>
          <w:numId w:val="2"/>
        </w:numPr>
        <w:spacing w:after="60"/>
      </w:pPr>
      <w:r>
        <w:rPr>
          <w:rFonts w:ascii="Arial" w:cs="Arial" w:eastAsia="Arial" w:hAnsi="Arial"/>
          <w:sz w:val="22"/>
          <w:szCs w:val="22"/>
        </w:rPr>
        <w:t xml:space="preserve">/portfolio/packs — portfolio memo packs</w:t>
      </w:r>
    </w:p>
    <w:p>
      <w:pPr>
        <w:pStyle w:val="Heading3"/>
        <w:spacing w:after="80" w:before="180"/>
      </w:pPr>
      <w:r>
        <w:rPr>
          <w:rFonts w:ascii="Arial" w:cs="Arial" w:eastAsia="Arial" w:hAnsi="Arial"/>
          <w:b/>
          <w:bCs/>
          <w:color w:val="263849"/>
          <w:sz w:val="26"/>
          <w:szCs w:val="26"/>
        </w:rPr>
        <w:t xml:space="preserve">Compliance</w:t>
      </w:r>
    </w:p>
    <w:p>
      <w:pPr>
        <w:pStyle w:val="ListParagraph"/>
        <w:numPr>
          <w:ilvl w:val="0"/>
          <w:numId w:val="2"/>
        </w:numPr>
        <w:spacing w:after="60"/>
      </w:pPr>
      <w:r>
        <w:rPr>
          <w:rFonts w:ascii="Arial" w:cs="Arial" w:eastAsia="Arial" w:hAnsi="Arial"/>
          <w:sz w:val="22"/>
          <w:szCs w:val="22"/>
        </w:rPr>
        <w:t xml:space="preserve">/compliance — monitoring hub with KPI summary</w:t>
      </w:r>
    </w:p>
    <w:p>
      <w:pPr>
        <w:pStyle w:val="ListParagraph"/>
        <w:numPr>
          <w:ilvl w:val="0"/>
          <w:numId w:val="2"/>
        </w:numPr>
        <w:spacing w:after="60"/>
      </w:pPr>
      <w:r>
        <w:rPr>
          <w:rFonts w:ascii="Arial" w:cs="Arial" w:eastAsia="Arial" w:hAnsi="Arial"/>
          <w:sz w:val="22"/>
          <w:szCs w:val="22"/>
        </w:rPr>
        <w:t xml:space="preserve">/compliance/obligations — all obligations across portfolio</w:t>
      </w:r>
    </w:p>
    <w:p>
      <w:pPr>
        <w:pStyle w:val="ListParagraph"/>
        <w:numPr>
          <w:ilvl w:val="0"/>
          <w:numId w:val="2"/>
        </w:numPr>
        <w:spacing w:after="60"/>
      </w:pPr>
      <w:r>
        <w:rPr>
          <w:rFonts w:ascii="Arial" w:cs="Arial" w:eastAsia="Arial" w:hAnsi="Arial"/>
          <w:sz w:val="22"/>
          <w:szCs w:val="22"/>
        </w:rPr>
        <w:t xml:space="preserve">/compliance/calendar — compliance event calendar</w:t>
      </w:r>
    </w:p>
    <w:p>
      <w:pPr>
        <w:pStyle w:val="ListParagraph"/>
        <w:numPr>
          <w:ilvl w:val="0"/>
          <w:numId w:val="2"/>
        </w:numPr>
        <w:spacing w:after="60"/>
      </w:pPr>
      <w:r>
        <w:rPr>
          <w:rFonts w:ascii="Arial" w:cs="Arial" w:eastAsia="Arial" w:hAnsi="Arial"/>
          <w:sz w:val="22"/>
          <w:szCs w:val="22"/>
        </w:rPr>
        <w:t xml:space="preserve">/compliance/inbox — received document processing queue</w:t>
      </w:r>
    </w:p>
    <w:p>
      <w:pPr>
        <w:pStyle w:val="ListParagraph"/>
        <w:numPr>
          <w:ilvl w:val="0"/>
          <w:numId w:val="2"/>
        </w:numPr>
        <w:spacing w:after="60"/>
      </w:pPr>
      <w:r>
        <w:rPr>
          <w:rFonts w:ascii="Arial" w:cs="Arial" w:eastAsia="Arial" w:hAnsi="Arial"/>
          <w:sz w:val="22"/>
          <w:szCs w:val="22"/>
        </w:rPr>
        <w:t xml:space="preserve">/compliance/processing — document lifecycle + status</w:t>
      </w:r>
    </w:p>
    <w:p>
      <w:pPr>
        <w:pStyle w:val="ListParagraph"/>
        <w:numPr>
          <w:ilvl w:val="0"/>
          <w:numId w:val="2"/>
        </w:numPr>
        <w:spacing w:after="60"/>
      </w:pPr>
      <w:r>
        <w:rPr>
          <w:rFonts w:ascii="Arial" w:cs="Arial" w:eastAsia="Arial" w:hAnsi="Arial"/>
          <w:sz w:val="22"/>
          <w:szCs w:val="22"/>
        </w:rPr>
        <w:t xml:space="preserve">/compliance/fulfilments — fulfilled obligations history</w:t>
      </w:r>
    </w:p>
    <w:p>
      <w:pPr>
        <w:pStyle w:val="ListParagraph"/>
        <w:numPr>
          <w:ilvl w:val="0"/>
          <w:numId w:val="2"/>
        </w:numPr>
        <w:spacing w:after="60"/>
      </w:pPr>
      <w:r>
        <w:rPr>
          <w:rFonts w:ascii="Arial" w:cs="Arial" w:eastAsia="Arial" w:hAnsi="Arial"/>
          <w:sz w:val="22"/>
          <w:szCs w:val="22"/>
        </w:rPr>
        <w:t xml:space="preserve">/compliance/exceptions — compliance exceptions + violations</w:t>
      </w:r>
    </w:p>
    <w:p>
      <w:pPr>
        <w:pStyle w:val="ListParagraph"/>
        <w:numPr>
          <w:ilvl w:val="0"/>
          <w:numId w:val="2"/>
        </w:numPr>
        <w:spacing w:after="60"/>
      </w:pPr>
      <w:r>
        <w:rPr>
          <w:rFonts w:ascii="Arial" w:cs="Arial" w:eastAsia="Arial" w:hAnsi="Arial"/>
          <w:sz w:val="22"/>
          <w:szCs w:val="22"/>
        </w:rPr>
        <w:t xml:space="preserve">/compliance/alerts — alerts + escalations + SLA</w:t>
      </w:r>
    </w:p>
    <w:p>
      <w:pPr>
        <w:pStyle w:val="ListParagraph"/>
        <w:numPr>
          <w:ilvl w:val="0"/>
          <w:numId w:val="2"/>
        </w:numPr>
        <w:spacing w:after="60"/>
      </w:pPr>
      <w:r>
        <w:rPr>
          <w:rFonts w:ascii="Arial" w:cs="Arial" w:eastAsia="Arial" w:hAnsi="Arial"/>
          <w:sz w:val="22"/>
          <w:szCs w:val="22"/>
        </w:rPr>
        <w:t xml:space="preserve">/compliance/review — human review queue</w:t>
      </w:r>
    </w:p>
    <w:p>
      <w:pPr>
        <w:pStyle w:val="ListParagraph"/>
        <w:numPr>
          <w:ilvl w:val="0"/>
          <w:numId w:val="2"/>
        </w:numPr>
        <w:spacing w:after="60"/>
      </w:pPr>
      <w:r>
        <w:rPr>
          <w:rFonts w:ascii="Arial" w:cs="Arial" w:eastAsia="Arial" w:hAnsi="Arial"/>
          <w:sz w:val="22"/>
          <w:szCs w:val="22"/>
        </w:rPr>
        <w:t xml:space="preserve">/compliance/evidence — evidence with document links</w:t>
      </w:r>
    </w:p>
    <w:p>
      <w:pPr>
        <w:pStyle w:val="Heading3"/>
        <w:spacing w:after="80" w:before="180"/>
      </w:pPr>
      <w:r>
        <w:rPr>
          <w:rFonts w:ascii="Arial" w:cs="Arial" w:eastAsia="Arial" w:hAnsi="Arial"/>
          <w:b/>
          <w:bCs/>
          <w:color w:val="263849"/>
          <w:sz w:val="26"/>
          <w:szCs w:val="26"/>
        </w:rPr>
        <w:t xml:space="preserve">Intake</w:t>
      </w:r>
    </w:p>
    <w:p>
      <w:pPr>
        <w:pStyle w:val="ListParagraph"/>
        <w:numPr>
          <w:ilvl w:val="0"/>
          <w:numId w:val="2"/>
        </w:numPr>
        <w:spacing w:after="60"/>
      </w:pPr>
      <w:r>
        <w:rPr>
          <w:rFonts w:ascii="Arial" w:cs="Arial" w:eastAsia="Arial" w:hAnsi="Arial"/>
          <w:sz w:val="22"/>
          <w:szCs w:val="22"/>
        </w:rPr>
        <w:t xml:space="preserve">/intake — primary inbox for new documents</w:t>
      </w:r>
    </w:p>
    <w:p>
      <w:pPr>
        <w:pStyle w:val="ListParagraph"/>
        <w:numPr>
          <w:ilvl w:val="0"/>
          <w:numId w:val="2"/>
        </w:numPr>
        <w:spacing w:after="60"/>
      </w:pPr>
      <w:r>
        <w:rPr>
          <w:rFonts w:ascii="Arial" w:cs="Arial" w:eastAsia="Arial" w:hAnsi="Arial"/>
          <w:sz w:val="22"/>
          <w:szCs w:val="22"/>
        </w:rPr>
        <w:t xml:space="preserve">/intake/documents/[documentId] — document detail with fact extraction + approval</w:t>
      </w:r>
    </w:p>
    <w:p>
      <w:pPr>
        <w:pStyle w:val="Heading3"/>
        <w:spacing w:after="80" w:before="180"/>
      </w:pPr>
      <w:r>
        <w:rPr>
          <w:rFonts w:ascii="Arial" w:cs="Arial" w:eastAsia="Arial" w:hAnsi="Arial"/>
          <w:b/>
          <w:bCs/>
          <w:color w:val="263849"/>
          <w:sz w:val="26"/>
          <w:szCs w:val="26"/>
        </w:rPr>
        <w:t xml:space="preserve">Workspace</w:t>
      </w:r>
    </w:p>
    <w:p>
      <w:pPr>
        <w:pStyle w:val="ListParagraph"/>
        <w:numPr>
          <w:ilvl w:val="0"/>
          <w:numId w:val="2"/>
        </w:numPr>
        <w:spacing w:after="60"/>
      </w:pPr>
      <w:r>
        <w:rPr>
          <w:rFonts w:ascii="Arial" w:cs="Arial" w:eastAsia="Arial" w:hAnsi="Arial"/>
          <w:sz w:val="22"/>
          <w:szCs w:val="22"/>
        </w:rPr>
        <w:t xml:space="preserve">/calendar — global portfolio calendar</w:t>
      </w:r>
    </w:p>
    <w:p>
      <w:pPr>
        <w:pStyle w:val="ListParagraph"/>
        <w:numPr>
          <w:ilvl w:val="0"/>
          <w:numId w:val="2"/>
        </w:numPr>
        <w:spacing w:after="60"/>
      </w:pPr>
      <w:r>
        <w:rPr>
          <w:rFonts w:ascii="Arial" w:cs="Arial" w:eastAsia="Arial" w:hAnsi="Arial"/>
          <w:sz w:val="22"/>
          <w:szCs w:val="22"/>
        </w:rPr>
        <w:t xml:space="preserve">/feeds — global activity stream (ActivityFeed)</w:t>
      </w:r>
    </w:p>
    <w:p>
      <w:pPr>
        <w:pStyle w:val="ListParagraph"/>
        <w:numPr>
          <w:ilvl w:val="0"/>
          <w:numId w:val="2"/>
        </w:numPr>
        <w:spacing w:after="60"/>
      </w:pPr>
      <w:r>
        <w:rPr>
          <w:rFonts w:ascii="Arial" w:cs="Arial" w:eastAsia="Arial" w:hAnsi="Arial"/>
          <w:sz w:val="22"/>
          <w:szCs w:val="22"/>
        </w:rPr>
        <w:t xml:space="preserve">/activity — activity log with filters</w:t>
      </w:r>
    </w:p>
    <w:p>
      <w:pPr>
        <w:pStyle w:val="ListParagraph"/>
        <w:numPr>
          <w:ilvl w:val="0"/>
          <w:numId w:val="2"/>
        </w:numPr>
        <w:spacing w:after="60"/>
      </w:pPr>
      <w:r>
        <w:rPr>
          <w:rFonts w:ascii="Arial" w:cs="Arial" w:eastAsia="Arial" w:hAnsi="Arial"/>
          <w:sz w:val="22"/>
          <w:szCs w:val="22"/>
        </w:rPr>
        <w:t xml:space="preserve">/reports — report generator + export list</w:t>
      </w:r>
    </w:p>
    <w:p>
      <w:pPr>
        <w:pStyle w:val="ListParagraph"/>
        <w:numPr>
          <w:ilvl w:val="0"/>
          <w:numId w:val="2"/>
        </w:numPr>
        <w:spacing w:after="60"/>
      </w:pPr>
      <w:r>
        <w:rPr>
          <w:rFonts w:ascii="Arial" w:cs="Arial" w:eastAsia="Arial" w:hAnsi="Arial"/>
          <w:sz w:val="22"/>
          <w:szCs w:val="22"/>
        </w:rPr>
        <w:t xml:space="preserve">/analytics — portfolio-level charts</w:t>
      </w:r>
    </w:p>
    <w:p>
      <w:pPr>
        <w:pStyle w:val="ListParagraph"/>
        <w:numPr>
          <w:ilvl w:val="0"/>
          <w:numId w:val="2"/>
        </w:numPr>
        <w:spacing w:after="60"/>
      </w:pPr>
      <w:r>
        <w:rPr>
          <w:rFonts w:ascii="Arial" w:cs="Arial" w:eastAsia="Arial" w:hAnsi="Arial"/>
          <w:sz w:val="22"/>
          <w:szCs w:val="22"/>
        </w:rPr>
        <w:t xml:space="preserve">/evidence — global evidence repository</w:t>
      </w:r>
    </w:p>
    <w:p>
      <w:pPr>
        <w:pStyle w:val="ListParagraph"/>
        <w:numPr>
          <w:ilvl w:val="0"/>
          <w:numId w:val="2"/>
        </w:numPr>
        <w:spacing w:after="60"/>
      </w:pPr>
      <w:r>
        <w:rPr>
          <w:rFonts w:ascii="Arial" w:cs="Arial" w:eastAsia="Arial" w:hAnsi="Arial"/>
          <w:sz w:val="22"/>
          <w:szCs w:val="22"/>
        </w:rPr>
        <w:t xml:space="preserve">/review — global review queue</w:t>
      </w:r>
    </w:p>
    <w:p>
      <w:pPr>
        <w:pStyle w:val="ListParagraph"/>
        <w:numPr>
          <w:ilvl w:val="0"/>
          <w:numId w:val="2"/>
        </w:numPr>
        <w:spacing w:after="60"/>
      </w:pPr>
      <w:r>
        <w:rPr>
          <w:rFonts w:ascii="Arial" w:cs="Arial" w:eastAsia="Arial" w:hAnsi="Arial"/>
          <w:sz w:val="22"/>
          <w:szCs w:val="22"/>
        </w:rPr>
        <w:t xml:space="preserve">/work — task / work management</w:t>
      </w:r>
    </w:p>
    <w:p>
      <w:pPr>
        <w:pStyle w:val="ListParagraph"/>
        <w:numPr>
          <w:ilvl w:val="0"/>
          <w:numId w:val="2"/>
        </w:numPr>
        <w:spacing w:after="60"/>
      </w:pPr>
      <w:r>
        <w:rPr>
          <w:rFonts w:ascii="Arial" w:cs="Arial" w:eastAsia="Arial" w:hAnsi="Arial"/>
          <w:sz w:val="22"/>
          <w:szCs w:val="22"/>
        </w:rPr>
        <w:t xml:space="preserve">/todos — user todo management</w:t>
      </w:r>
    </w:p>
    <w:p>
      <w:pPr>
        <w:pStyle w:val="ListParagraph"/>
        <w:numPr>
          <w:ilvl w:val="0"/>
          <w:numId w:val="2"/>
        </w:numPr>
        <w:spacing w:after="60"/>
      </w:pPr>
      <w:r>
        <w:rPr>
          <w:rFonts w:ascii="Arial" w:cs="Arial" w:eastAsia="Arial" w:hAnsi="Arial"/>
          <w:sz w:val="22"/>
          <w:szCs w:val="22"/>
        </w:rPr>
        <w:t xml:space="preserve">/notifications — notification centre</w:t>
      </w:r>
    </w:p>
    <w:p>
      <w:pPr>
        <w:pStyle w:val="Heading3"/>
        <w:spacing w:after="80" w:before="180"/>
      </w:pPr>
      <w:r>
        <w:rPr>
          <w:rFonts w:ascii="Arial" w:cs="Arial" w:eastAsia="Arial" w:hAnsi="Arial"/>
          <w:b/>
          <w:bCs/>
          <w:color w:val="263849"/>
          <w:sz w:val="26"/>
          <w:szCs w:val="26"/>
        </w:rPr>
        <w:t xml:space="preserve">Configuration</w:t>
      </w:r>
    </w:p>
    <w:p>
      <w:pPr>
        <w:pStyle w:val="ListParagraph"/>
        <w:numPr>
          <w:ilvl w:val="0"/>
          <w:numId w:val="2"/>
        </w:numPr>
        <w:spacing w:after="60"/>
      </w:pPr>
      <w:r>
        <w:rPr>
          <w:rFonts w:ascii="Arial" w:cs="Arial" w:eastAsia="Arial" w:hAnsi="Arial"/>
          <w:sz w:val="22"/>
          <w:szCs w:val="22"/>
        </w:rPr>
        <w:t xml:space="preserve">/configuration — deal + obligation taxonomy setup</w:t>
      </w:r>
    </w:p>
    <w:p>
      <w:pPr>
        <w:pStyle w:val="ListParagraph"/>
        <w:numPr>
          <w:ilvl w:val="0"/>
          <w:numId w:val="2"/>
        </w:numPr>
        <w:spacing w:after="60"/>
      </w:pPr>
      <w:r>
        <w:rPr>
          <w:rFonts w:ascii="Arial" w:cs="Arial" w:eastAsia="Arial" w:hAnsi="Arial"/>
          <w:sz w:val="22"/>
          <w:szCs w:val="22"/>
        </w:rPr>
        <w:t xml:space="preserve">/setup — onboarding workflow sequencer</w:t>
      </w:r>
    </w:p>
    <w:p>
      <w:pPr>
        <w:pStyle w:val="ListParagraph"/>
        <w:numPr>
          <w:ilvl w:val="0"/>
          <w:numId w:val="2"/>
        </w:numPr>
        <w:spacing w:after="60"/>
      </w:pPr>
      <w:r>
        <w:rPr>
          <w:rFonts w:ascii="Arial" w:cs="Arial" w:eastAsia="Arial" w:hAnsi="Arial"/>
          <w:sz w:val="22"/>
          <w:szCs w:val="22"/>
        </w:rPr>
        <w:t xml:space="preserve">/miscellaneous — internal testing page</w:t>
      </w:r>
    </w:p>
    <w:p>
      <w:pPr>
        <w:pStyle w:val="Heading3"/>
        <w:spacing w:after="80" w:before="180"/>
      </w:pPr>
      <w:r>
        <w:rPr>
          <w:rFonts w:ascii="Arial" w:cs="Arial" w:eastAsia="Arial" w:hAnsi="Arial"/>
          <w:b/>
          <w:bCs/>
          <w:color w:val="263849"/>
          <w:sz w:val="26"/>
          <w:szCs w:val="26"/>
        </w:rPr>
        <w:t xml:space="preserve">Next.js API routes (client-side)</w:t>
      </w:r>
    </w:p>
    <w:p>
      <w:pPr>
        <w:pStyle w:val="ListParagraph"/>
        <w:numPr>
          <w:ilvl w:val="0"/>
          <w:numId w:val="2"/>
        </w:numPr>
        <w:spacing w:after="60"/>
      </w:pPr>
      <w:r>
        <w:rPr>
          <w:rFonts w:ascii="Arial" w:cs="Arial" w:eastAsia="Arial" w:hAnsi="Arial"/>
          <w:sz w:val="22"/>
          <w:szCs w:val="22"/>
        </w:rPr>
        <w:t xml:space="preserve">/api/todos (GET/POST), /api/todos/[id] (PATCH/DELETE)</w:t>
      </w:r>
    </w:p>
    <w:p>
      <w:pPr>
        <w:pStyle w:val="ListParagraph"/>
        <w:numPr>
          <w:ilvl w:val="0"/>
          <w:numId w:val="2"/>
        </w:numPr>
        <w:spacing w:after="60"/>
      </w:pPr>
      <w:r>
        <w:rPr>
          <w:rFonts w:ascii="Arial" w:cs="Arial" w:eastAsia="Arial" w:hAnsi="Arial"/>
          <w:sz w:val="22"/>
          <w:szCs w:val="22"/>
        </w:rPr>
        <w:t xml:space="preserve">/api/portfolio-deals/[slug] — portfolio deal detail</w:t>
      </w:r>
    </w:p>
    <w:p>
      <w:pPr>
        <w:pStyle w:val="ListParagraph"/>
        <w:numPr>
          <w:ilvl w:val="0"/>
          <w:numId w:val="2"/>
        </w:numPr>
        <w:spacing w:after="60"/>
      </w:pPr>
      <w:r>
        <w:rPr>
          <w:rFonts w:ascii="Arial" w:cs="Arial" w:eastAsia="Arial" w:hAnsi="Arial"/>
          <w:sz w:val="22"/>
          <w:szCs w:val="22"/>
        </w:rPr>
        <w:t xml:space="preserve">/api/proxy/deals/[slug]/topsheet — proxy topsheet from backend</w:t>
      </w:r>
    </w:p>
    <w:p>
      <w:pPr>
        <w:pStyle w:val="ListParagraph"/>
        <w:numPr>
          <w:ilvl w:val="0"/>
          <w:numId w:val="2"/>
        </w:numPr>
        <w:spacing w:after="60"/>
      </w:pPr>
      <w:r>
        <w:rPr>
          <w:rFonts w:ascii="Arial" w:cs="Arial" w:eastAsia="Arial" w:hAnsi="Arial"/>
          <w:sz w:val="22"/>
          <w:szCs w:val="22"/>
        </w:rPr>
        <w:t xml:space="preserve">/api/artifacts/[id]/content — artifact delivery</w:t>
      </w:r>
    </w:p>
    <w:p>
      <w:pPr>
        <w:pStyle w:val="Heading2"/>
        <w:spacing w:after="120" w:before="240"/>
      </w:pPr>
      <w:r>
        <w:rPr>
          <w:rFonts w:ascii="Arial" w:cs="Arial" w:eastAsia="Arial" w:hAnsi="Arial"/>
          <w:b/>
          <w:bCs/>
          <w:color w:val="263849"/>
          <w:sz w:val="30"/>
          <w:szCs w:val="30"/>
        </w:rPr>
        <w:t xml:space="preserve">12.7 Deal overview page — detailed spec</w:t>
      </w:r>
    </w:p>
    <w:p>
      <w:pPr>
        <w:spacing w:after="140" w:line="280"/>
        <w:jc w:val="both"/>
      </w:pPr>
      <w:r>
        <w:rPr>
          <w:rFonts w:ascii="Arial" w:cs="Arial" w:eastAsia="Arial" w:hAnsi="Arial"/>
          <w:sz w:val="22"/>
          <w:szCs w:val="22"/>
        </w:rPr>
        <w:t xml:space="preserve">File: client/app/deals/[slug]/page.tsx (~899 lines). Server-rendered async function. Primary view of a deal.</w:t>
      </w:r>
    </w:p>
    <w:p>
      <w:pPr>
        <w:pStyle w:val="Heading3"/>
        <w:spacing w:after="80" w:before="180"/>
      </w:pPr>
      <w:r>
        <w:rPr>
          <w:rFonts w:ascii="Arial" w:cs="Arial" w:eastAsia="Arial" w:hAnsi="Arial"/>
          <w:b/>
          <w:bCs/>
          <w:color w:val="263849"/>
          <w:sz w:val="26"/>
          <w:szCs w:val="26"/>
        </w:rPr>
        <w:t xml:space="preserve">12.7.1 Fetched endpoints</w:t>
      </w:r>
    </w:p>
    <w:p>
      <w:pPr>
        <w:pStyle w:val="ListParagraph"/>
        <w:numPr>
          <w:ilvl w:val="0"/>
          <w:numId w:val="2"/>
        </w:numPr>
        <w:spacing w:after="60"/>
      </w:pPr>
      <w:r>
        <w:rPr>
          <w:rFonts w:ascii="Arial" w:cs="Arial" w:eastAsia="Arial" w:hAnsi="Arial"/>
          <w:sz w:val="22"/>
          <w:szCs w:val="22"/>
        </w:rPr>
        <w:t xml:space="preserve">getDeal(slug) — core deal object</w:t>
      </w:r>
    </w:p>
    <w:p>
      <w:pPr>
        <w:pStyle w:val="ListParagraph"/>
        <w:numPr>
          <w:ilvl w:val="0"/>
          <w:numId w:val="2"/>
        </w:numPr>
        <w:spacing w:after="60"/>
      </w:pPr>
      <w:r>
        <w:rPr>
          <w:rFonts w:ascii="Arial" w:cs="Arial" w:eastAsia="Arial" w:hAnsi="Arial"/>
          <w:sz w:val="22"/>
          <w:szCs w:val="22"/>
        </w:rPr>
        <w:t xml:space="preserve">getDealAssessment(slug) — credit assessment + escalation</w:t>
      </w:r>
    </w:p>
    <w:p>
      <w:pPr>
        <w:pStyle w:val="ListParagraph"/>
        <w:numPr>
          <w:ilvl w:val="0"/>
          <w:numId w:val="2"/>
        </w:numPr>
        <w:spacing w:after="60"/>
      </w:pPr>
      <w:r>
        <w:rPr>
          <w:rFonts w:ascii="Arial" w:cs="Arial" w:eastAsia="Arial" w:hAnsi="Arial"/>
          <w:sz w:val="22"/>
          <w:szCs w:val="22"/>
        </w:rPr>
        <w:t xml:space="preserve">getPortfolio({ reportingCurrency: "GBP" }) — portfolio context + FX</w:t>
      </w:r>
    </w:p>
    <w:p>
      <w:pPr>
        <w:pStyle w:val="ListParagraph"/>
        <w:numPr>
          <w:ilvl w:val="0"/>
          <w:numId w:val="2"/>
        </w:numPr>
        <w:spacing w:after="60"/>
      </w:pPr>
      <w:r>
        <w:rPr>
          <w:rFonts w:ascii="Arial" w:cs="Arial" w:eastAsia="Arial" w:hAnsi="Arial"/>
          <w:sz w:val="22"/>
          <w:szCs w:val="22"/>
        </w:rPr>
        <w:t xml:space="preserve">getDealFinancialPeriod(slug, "latest") — latest period metrics</w:t>
      </w:r>
    </w:p>
    <w:p>
      <w:pPr>
        <w:pStyle w:val="Heading3"/>
        <w:spacing w:after="80" w:before="180"/>
      </w:pPr>
      <w:r>
        <w:rPr>
          <w:rFonts w:ascii="Arial" w:cs="Arial" w:eastAsia="Arial" w:hAnsi="Arial"/>
          <w:b/>
          <w:bCs/>
          <w:color w:val="263849"/>
          <w:sz w:val="26"/>
          <w:szCs w:val="26"/>
        </w:rPr>
        <w:t xml:space="preserve">12.7.2 Derived state</w:t>
      </w:r>
    </w:p>
    <w:p>
      <w:pPr>
        <w:spacing w:after="80"/>
      </w:pPr>
      <w:r>
        <w:rPr>
          <w:rFonts w:ascii="Consolas" w:cs="Consolas" w:eastAsia="Consolas" w:hAnsi="Consolas"/>
          <w:color w:val="444444"/>
          <w:sz w:val="20"/>
          <w:szCs w:val="20"/>
        </w:rPr>
        <w:t xml:space="preserve">pRow                    Enriched portfolio row for this deal
rating, headroom, dscr, ndEbitda
spreadBps, walYears, sector, country
securityRanking, instrumentFormat
trend, covenantStatus
collLabel, collValue, collHeadroomPct, collTone
dscrTone, dscrHeadroomTone, collHeadroomTone, covenantTone
topRisks                Top 3 by severity
overdueCount, pendingReviewCount
mockInvestmentUpdate    4 paragraphs, AI-output mocked
latestAmendment
canCapture              User snapshot-capture permission</w:t>
      </w:r>
    </w:p>
    <w:p>
      <w:pPr>
        <w:pStyle w:val="Heading3"/>
        <w:spacing w:after="80" w:before="180"/>
      </w:pPr>
      <w:r>
        <w:rPr>
          <w:rFonts w:ascii="Arial" w:cs="Arial" w:eastAsia="Arial" w:hAnsi="Arial"/>
          <w:b/>
          <w:bCs/>
          <w:color w:val="263849"/>
          <w:sz w:val="26"/>
          <w:szCs w:val="26"/>
        </w:rPr>
        <w:t xml:space="preserve">12.7.3 Section order</w:t>
      </w:r>
    </w:p>
    <w:p>
      <w:pPr>
        <w:pStyle w:val="ListParagraph"/>
        <w:numPr>
          <w:ilvl w:val="0"/>
          <w:numId w:val="2"/>
        </w:numPr>
        <w:spacing w:after="60"/>
      </w:pPr>
      <w:r>
        <w:rPr>
          <w:rFonts w:ascii="Arial" w:cs="Arial" w:eastAsia="Arial" w:hAnsi="Arial"/>
          <w:sz w:val="22"/>
          <w:szCs w:val="22"/>
        </w:rPr>
        <w:t xml:space="preserve">1. Page header — deal name, subtitle, button row (Full TopSheet / Period View / Forecasts / Amendments / Calendar / Activity / Reports / Memo Packs)</w:t>
      </w:r>
    </w:p>
    <w:p>
      <w:pPr>
        <w:pStyle w:val="ListParagraph"/>
        <w:numPr>
          <w:ilvl w:val="0"/>
          <w:numId w:val="2"/>
        </w:numPr>
        <w:spacing w:after="60"/>
      </w:pPr>
      <w:r>
        <w:rPr>
          <w:rFonts w:ascii="Arial" w:cs="Arial" w:eastAsia="Arial" w:hAnsi="Arial"/>
          <w:sz w:val="22"/>
          <w:szCs w:val="22"/>
        </w:rPr>
        <w:t xml:space="preserve">2. Investment description (full width, .panel.section-panel)</w:t>
      </w:r>
    </w:p>
    <w:p>
      <w:pPr>
        <w:pStyle w:val="ListParagraph"/>
        <w:numPr>
          <w:ilvl w:val="0"/>
          <w:numId w:val="2"/>
        </w:numPr>
        <w:spacing w:after="60"/>
      </w:pPr>
      <w:r>
        <w:rPr>
          <w:rFonts w:ascii="Arial" w:cs="Arial" w:eastAsia="Arial" w:hAnsi="Arial"/>
          <w:sz w:val="22"/>
          <w:szCs w:val="22"/>
        </w:rPr>
        <w:t xml:space="preserve">3. Deal Snapshot (3-col grid, 16px gap): Characteristics | Credit Metrics | Performance</w:t>
      </w:r>
    </w:p>
    <w:p>
      <w:pPr>
        <w:pStyle w:val="ListParagraph"/>
        <w:numPr>
          <w:ilvl w:val="0"/>
          <w:numId w:val="2"/>
        </w:numPr>
        <w:spacing w:after="60"/>
      </w:pPr>
      <w:r>
        <w:rPr>
          <w:rFonts w:ascii="Arial" w:cs="Arial" w:eastAsia="Arial" w:hAnsi="Arial"/>
          <w:sz w:val="22"/>
          <w:szCs w:val="22"/>
        </w:rPr>
        <w:t xml:space="preserve">4. 3-col row (18px 20px padding): Compliance | Risk | Borrower Requests</w:t>
      </w:r>
    </w:p>
    <w:p>
      <w:pPr>
        <w:pStyle w:val="ListParagraph"/>
        <w:numPr>
          <w:ilvl w:val="0"/>
          <w:numId w:val="2"/>
        </w:numPr>
        <w:spacing w:after="60"/>
      </w:pPr>
      <w:r>
        <w:rPr>
          <w:rFonts w:ascii="Arial" w:cs="Arial" w:eastAsia="Arial" w:hAnsi="Arial"/>
          <w:sz w:val="22"/>
          <w:szCs w:val="22"/>
        </w:rPr>
        <w:t xml:space="preserve">5. Investment Update (full width, borderLeft: 3px solid --accent; 'Mocked · real engine pending' badge)</w:t>
      </w:r>
    </w:p>
    <w:p>
      <w:pPr>
        <w:pStyle w:val="ListParagraph"/>
        <w:numPr>
          <w:ilvl w:val="0"/>
          <w:numId w:val="2"/>
        </w:numPr>
        <w:spacing w:after="60"/>
      </w:pPr>
      <w:r>
        <w:rPr>
          <w:rFonts w:ascii="Arial" w:cs="Arial" w:eastAsia="Arial" w:hAnsi="Arial"/>
          <w:sz w:val="22"/>
          <w:szCs w:val="22"/>
        </w:rPr>
        <w:t xml:space="preserve">6. Financial Performance Charts (DealCharts + KpiChart)</w:t>
      </w:r>
    </w:p>
    <w:p>
      <w:pPr>
        <w:pStyle w:val="ListParagraph"/>
        <w:numPr>
          <w:ilvl w:val="0"/>
          <w:numId w:val="2"/>
        </w:numPr>
        <w:spacing w:after="60"/>
      </w:pPr>
      <w:r>
        <w:rPr>
          <w:rFonts w:ascii="Arial" w:cs="Arial" w:eastAsia="Arial" w:hAnsi="Arial"/>
          <w:sz w:val="22"/>
          <w:szCs w:val="22"/>
        </w:rPr>
        <w:t xml:space="preserve">7. 2-col row: Forecast / Scenario view | Risk Register</w:t>
      </w:r>
    </w:p>
    <w:p>
      <w:pPr>
        <w:pStyle w:val="ListParagraph"/>
        <w:numPr>
          <w:ilvl w:val="0"/>
          <w:numId w:val="2"/>
        </w:numPr>
        <w:spacing w:after="60"/>
      </w:pPr>
      <w:r>
        <w:rPr>
          <w:rFonts w:ascii="Arial" w:cs="Arial" w:eastAsia="Arial" w:hAnsi="Arial"/>
          <w:sz w:val="22"/>
          <w:szCs w:val="22"/>
        </w:rPr>
        <w:t xml:space="preserve">8. 2-col row: TopSheet snapshot history | Term change management (amendments)</w:t>
      </w:r>
    </w:p>
    <w:p>
      <w:pPr>
        <w:pStyle w:val="ListParagraph"/>
        <w:numPr>
          <w:ilvl w:val="0"/>
          <w:numId w:val="2"/>
        </w:numPr>
        <w:spacing w:after="60"/>
      </w:pPr>
      <w:r>
        <w:rPr>
          <w:rFonts w:ascii="Arial" w:cs="Arial" w:eastAsia="Arial" w:hAnsi="Arial"/>
          <w:sz w:val="22"/>
          <w:szCs w:val="22"/>
        </w:rPr>
        <w:t xml:space="preserve">9. Liquidity &amp; Reserve Accounts (conditional on deal.reserveAccounts.length &gt; 0) — 7-column table with totals row</w:t>
      </w:r>
    </w:p>
    <w:p>
      <w:pPr>
        <w:pStyle w:val="Heading3"/>
        <w:spacing w:after="80" w:before="180"/>
      </w:pPr>
      <w:r>
        <w:rPr>
          <w:rFonts w:ascii="Arial" w:cs="Arial" w:eastAsia="Arial" w:hAnsi="Arial"/>
          <w:b/>
          <w:bCs/>
          <w:color w:val="263849"/>
          <w:sz w:val="26"/>
          <w:szCs w:val="26"/>
        </w:rPr>
        <w:t xml:space="preserve">12.7.4 Snapshot 3-column content</w:t>
      </w:r>
    </w:p>
    <w:p>
      <w:pPr>
        <w:spacing w:after="80"/>
      </w:pPr>
      <w:r>
        <w:rPr>
          <w:rFonts w:ascii="Arial" w:cs="Arial" w:eastAsia="Arial" w:hAnsi="Arial"/>
          <w:b/>
          <w:bCs/>
          <w:sz w:val="22"/>
          <w:szCs w:val="22"/>
        </w:rPr>
        <w:t xml:space="preserve">Characteristics</w:t>
      </w:r>
    </w:p>
    <w:p>
      <w:pPr>
        <w:pStyle w:val="ListParagraph"/>
        <w:numPr>
          <w:ilvl w:val="0"/>
          <w:numId w:val="2"/>
        </w:numPr>
        <w:spacing w:after="60"/>
      </w:pPr>
      <w:r>
        <w:rPr>
          <w:rFonts w:ascii="Arial" w:cs="Arial" w:eastAsia="Arial" w:hAnsi="Arial"/>
          <w:sz w:val="22"/>
          <w:szCs w:val="22"/>
        </w:rPr>
        <w:t xml:space="preserve">Exposure, Sector, Country, Security &amp; format, Currency, Facility amount</w:t>
      </w:r>
    </w:p>
    <w:p>
      <w:pPr>
        <w:spacing w:after="80"/>
      </w:pPr>
      <w:r>
        <w:rPr>
          <w:rFonts w:ascii="Arial" w:cs="Arial" w:eastAsia="Arial" w:hAnsi="Arial"/>
          <w:b/>
          <w:bCs/>
          <w:sz w:val="22"/>
          <w:szCs w:val="22"/>
        </w:rPr>
        <w:t xml:space="preserve">Credit Metrics</w:t>
      </w:r>
    </w:p>
    <w:p>
      <w:pPr>
        <w:pStyle w:val="ListParagraph"/>
        <w:numPr>
          <w:ilvl w:val="0"/>
          <w:numId w:val="2"/>
        </w:numPr>
        <w:spacing w:after="60"/>
      </w:pPr>
      <w:r>
        <w:rPr>
          <w:rFonts w:ascii="Arial" w:cs="Arial" w:eastAsia="Arial" w:hAnsi="Arial"/>
          <w:sz w:val="22"/>
          <w:szCs w:val="22"/>
        </w:rPr>
        <w:t xml:space="preserve">Spread (bp), WA Life (years), DSCR (with tone), DSCR headroom to lockup, Collateral metric (dynamic), Collateral headroom</w:t>
      </w:r>
    </w:p>
    <w:p>
      <w:pPr>
        <w:spacing w:after="80"/>
      </w:pPr>
      <w:r>
        <w:rPr>
          <w:rFonts w:ascii="Arial" w:cs="Arial" w:eastAsia="Arial" w:hAnsi="Arial"/>
          <w:b/>
          <w:bCs/>
          <w:sz w:val="22"/>
          <w:szCs w:val="22"/>
        </w:rPr>
        <w:t xml:space="preserve">Performance</w:t>
      </w:r>
    </w:p>
    <w:p>
      <w:pPr>
        <w:pStyle w:val="ListParagraph"/>
        <w:numPr>
          <w:ilvl w:val="0"/>
          <w:numId w:val="2"/>
        </w:numPr>
        <w:spacing w:after="60"/>
      </w:pPr>
      <w:r>
        <w:rPr>
          <w:rFonts w:ascii="Arial" w:cs="Arial" w:eastAsia="Arial" w:hAnsi="Arial"/>
          <w:sz w:val="22"/>
          <w:szCs w:val="22"/>
        </w:rPr>
        <w:t xml:space="preserve">External ratings (Moody's/S&amp;P/Fitch with assigned badge), Performance grade, Trend, Covenant status, Watchlist yes/no, Escalation level</w:t>
      </w:r>
    </w:p>
    <w:p>
      <w:pPr>
        <w:pStyle w:val="Heading3"/>
        <w:spacing w:after="80" w:before="180"/>
      </w:pPr>
      <w:r>
        <w:rPr>
          <w:rFonts w:ascii="Arial" w:cs="Arial" w:eastAsia="Arial" w:hAnsi="Arial"/>
          <w:b/>
          <w:bCs/>
          <w:color w:val="263849"/>
          <w:sz w:val="26"/>
          <w:szCs w:val="26"/>
        </w:rPr>
        <w:t xml:space="preserve">12.7.5 Helpers defined inline</w:t>
      </w:r>
    </w:p>
    <w:p>
      <w:pPr>
        <w:spacing w:after="80"/>
      </w:pPr>
      <w:r>
        <w:rPr>
          <w:rFonts w:ascii="Consolas" w:cs="Consolas" w:eastAsia="Consolas" w:hAnsi="Consolas"/>
          <w:color w:val="444444"/>
          <w:sz w:val="20"/>
          <w:szCs w:val="20"/>
        </w:rPr>
        <w:t xml:space="preserve">fmtCompact(n, ccy)           Intl.NumberFormat compact notation
fmtNum(n, digits, suffix)    Fixed decimals + optional suffix
fmtPct(n)                    Percentage formatting
formatMoney(value, ccy)      Full currency
metricValue(value, suffix)   Fixed 2-decimal + suffix
toneForStatus(status)        Maps status → tone
assignedRating(m, s, f)      Pick middle of 3 external ratings
gradeTone(grade)             Maps grade prefix → tone
covenantTone(status)         Maps covenant status → tone
AttrRow(label, value, tone)  JSX: label/value with dashed border</w:t>
      </w:r>
    </w:p>
    <w:p>
      <w:pPr>
        <w:pStyle w:val="Heading2"/>
        <w:spacing w:after="120" w:before="240"/>
      </w:pPr>
      <w:r>
        <w:rPr>
          <w:rFonts w:ascii="Arial" w:cs="Arial" w:eastAsia="Arial" w:hAnsi="Arial"/>
          <w:b/>
          <w:bCs/>
          <w:color w:val="263849"/>
          <w:sz w:val="30"/>
          <w:szCs w:val="30"/>
        </w:rPr>
        <w:t xml:space="preserve">12.8 Shared component inventory</w:t>
      </w:r>
    </w:p>
    <w:p>
      <w:pPr>
        <w:pStyle w:val="Heading3"/>
        <w:spacing w:after="80" w:before="180"/>
      </w:pPr>
      <w:r>
        <w:rPr>
          <w:rFonts w:ascii="Arial" w:cs="Arial" w:eastAsia="Arial" w:hAnsi="Arial"/>
          <w:b/>
          <w:bCs/>
          <w:color w:val="263849"/>
          <w:sz w:val="26"/>
          <w:szCs w:val="26"/>
        </w:rPr>
        <w:t xml:space="preserve">Navigation &amp; layout</w:t>
      </w:r>
    </w:p>
    <w:p>
      <w:pPr>
        <w:pStyle w:val="ListParagraph"/>
        <w:numPr>
          <w:ilvl w:val="0"/>
          <w:numId w:val="2"/>
        </w:numPr>
        <w:spacing w:after="60"/>
      </w:pPr>
      <w:r>
        <w:rPr>
          <w:rFonts w:ascii="Arial" w:cs="Arial" w:eastAsia="Arial" w:hAnsi="Arial"/>
          <w:sz w:val="22"/>
          <w:szCs w:val="22"/>
        </w:rPr>
        <w:t xml:space="preserve">sidebar-nav.tsx — global left sidebar. Props: { viewerDirectory }. Features: permission-based filtering, active-link detection, organisation switching.</w:t>
      </w:r>
    </w:p>
    <w:p>
      <w:pPr>
        <w:pStyle w:val="ListParagraph"/>
        <w:numPr>
          <w:ilvl w:val="0"/>
          <w:numId w:val="2"/>
        </w:numPr>
        <w:spacing w:after="60"/>
      </w:pPr>
      <w:r>
        <w:rPr>
          <w:rFonts w:ascii="Arial" w:cs="Arial" w:eastAsia="Arial" w:hAnsi="Arial"/>
          <w:sz w:val="22"/>
          <w:szCs w:val="22"/>
        </w:rPr>
        <w:t xml:space="preserve">compliance-shell.tsx — wrapper layout for all compliance pages. Props: { eyebrow, title, description, aside?, children }.</w:t>
      </w:r>
    </w:p>
    <w:p>
      <w:pPr>
        <w:pStyle w:val="ListParagraph"/>
        <w:numPr>
          <w:ilvl w:val="0"/>
          <w:numId w:val="2"/>
        </w:numPr>
        <w:spacing w:after="60"/>
      </w:pPr>
      <w:r>
        <w:rPr>
          <w:rFonts w:ascii="Arial" w:cs="Arial" w:eastAsia="Arial" w:hAnsi="Arial"/>
          <w:sz w:val="22"/>
          <w:szCs w:val="22"/>
        </w:rPr>
        <w:t xml:space="preserve">compliance-subnav.tsx — horizontal 10-tab subnav (Overview, Calendar, Obligations, Inbox, Processing, Fulfilments, Exceptions, Alerts, Review, Evidence).</w:t>
      </w:r>
    </w:p>
    <w:p>
      <w:pPr>
        <w:pStyle w:val="Heading3"/>
        <w:spacing w:after="80" w:before="180"/>
      </w:pPr>
      <w:r>
        <w:rPr>
          <w:rFonts w:ascii="Arial" w:cs="Arial" w:eastAsia="Arial" w:hAnsi="Arial"/>
          <w:b/>
          <w:bCs/>
          <w:color w:val="263849"/>
          <w:sz w:val="26"/>
          <w:szCs w:val="26"/>
        </w:rPr>
        <w:t xml:space="preserve">Data display &amp; dashboard</w:t>
      </w:r>
    </w:p>
    <w:p>
      <w:pPr>
        <w:pStyle w:val="ListParagraph"/>
        <w:numPr>
          <w:ilvl w:val="0"/>
          <w:numId w:val="2"/>
        </w:numPr>
        <w:spacing w:after="60"/>
      </w:pPr>
      <w:r>
        <w:rPr>
          <w:rFonts w:ascii="Arial" w:cs="Arial" w:eastAsia="Arial" w:hAnsi="Arial"/>
          <w:sz w:val="22"/>
          <w:szCs w:val="22"/>
        </w:rPr>
        <w:t xml:space="preserve">portfolio-dashboard.tsx — main portfolio dashboard with hierarchy tree + metrics + calendar. Fetches: getPortfolio, getPortfolioCalendar.</w:t>
      </w:r>
    </w:p>
    <w:p>
      <w:pPr>
        <w:pStyle w:val="ListParagraph"/>
        <w:numPr>
          <w:ilvl w:val="0"/>
          <w:numId w:val="2"/>
        </w:numPr>
        <w:spacing w:after="60"/>
      </w:pPr>
      <w:r>
        <w:rPr>
          <w:rFonts w:ascii="Arial" w:cs="Arial" w:eastAsia="Arial" w:hAnsi="Arial"/>
          <w:sz w:val="22"/>
          <w:szCs w:val="22"/>
        </w:rPr>
        <w:t xml:space="preserve">dashboard-monitor.tsx — advanced monitoring. Props: { portfolio, calendar }. Hierarchy: Org → Owner → Account → Deal. Colour-coded status, drawer for deal detail.</w:t>
      </w:r>
    </w:p>
    <w:p>
      <w:pPr>
        <w:pStyle w:val="ListParagraph"/>
        <w:numPr>
          <w:ilvl w:val="0"/>
          <w:numId w:val="2"/>
        </w:numPr>
        <w:spacing w:after="60"/>
      </w:pPr>
      <w:r>
        <w:rPr>
          <w:rFonts w:ascii="Arial" w:cs="Arial" w:eastAsia="Arial" w:hAnsi="Arial"/>
          <w:sz w:val="22"/>
          <w:szCs w:val="22"/>
        </w:rPr>
        <w:t xml:space="preserve">portfolio-tree.tsx — client-side hierarchy tree. Props: { platformClientName, hierarchy, holdings }.</w:t>
      </w:r>
    </w:p>
    <w:p>
      <w:pPr>
        <w:pStyle w:val="Heading3"/>
        <w:spacing w:after="80" w:before="180"/>
      </w:pPr>
      <w:r>
        <w:rPr>
          <w:rFonts w:ascii="Arial" w:cs="Arial" w:eastAsia="Arial" w:hAnsi="Arial"/>
          <w:b/>
          <w:bCs/>
          <w:color w:val="263849"/>
          <w:sz w:val="26"/>
          <w:szCs w:val="26"/>
        </w:rPr>
        <w:t xml:space="preserve">Document &amp; content</w:t>
      </w:r>
    </w:p>
    <w:p>
      <w:pPr>
        <w:pStyle w:val="ListParagraph"/>
        <w:numPr>
          <w:ilvl w:val="0"/>
          <w:numId w:val="2"/>
        </w:numPr>
        <w:spacing w:after="60"/>
      </w:pPr>
      <w:r>
        <w:rPr>
          <w:rFonts w:ascii="Arial" w:cs="Arial" w:eastAsia="Arial" w:hAnsi="Arial"/>
          <w:sz w:val="22"/>
          <w:szCs w:val="22"/>
        </w:rPr>
        <w:t xml:space="preserve">document-viewer.tsx — consistent document detail layout. Props: { title, subtitle, badges, headerActions, metadata, sourcePath, summary, children, actions }.</w:t>
      </w:r>
    </w:p>
    <w:p>
      <w:pPr>
        <w:pStyle w:val="ListParagraph"/>
        <w:numPr>
          <w:ilvl w:val="0"/>
          <w:numId w:val="2"/>
        </w:numPr>
        <w:spacing w:after="60"/>
      </w:pPr>
      <w:r>
        <w:rPr>
          <w:rFonts w:ascii="Arial" w:cs="Arial" w:eastAsia="Arial" w:hAnsi="Arial"/>
          <w:sz w:val="22"/>
          <w:szCs w:val="22"/>
        </w:rPr>
        <w:t xml:space="preserve">document-artifact-preview.tsx — rich previews for DOCX/XLSX/PDF/text. Uses docx-parse-js for DOCX, XLSX parsing for spreadsheets.</w:t>
      </w:r>
    </w:p>
    <w:p>
      <w:pPr>
        <w:pStyle w:val="ListParagraph"/>
        <w:numPr>
          <w:ilvl w:val="0"/>
          <w:numId w:val="2"/>
        </w:numPr>
        <w:spacing w:after="60"/>
      </w:pPr>
      <w:r>
        <w:rPr>
          <w:rFonts w:ascii="Arial" w:cs="Arial" w:eastAsia="Arial" w:hAnsi="Arial"/>
          <w:sz w:val="22"/>
          <w:szCs w:val="22"/>
        </w:rPr>
        <w:t xml:space="preserve">activity-feed.tsx — timeline-based activity log. Props: { events, emptyMessage }.</w:t>
      </w:r>
    </w:p>
    <w:p>
      <w:pPr>
        <w:pStyle w:val="Heading3"/>
        <w:spacing w:after="80" w:before="180"/>
      </w:pPr>
      <w:r>
        <w:rPr>
          <w:rFonts w:ascii="Arial" w:cs="Arial" w:eastAsia="Arial" w:hAnsi="Arial"/>
          <w:b/>
          <w:bCs/>
          <w:color w:val="263849"/>
          <w:sz w:val="26"/>
          <w:szCs w:val="26"/>
        </w:rPr>
        <w:t xml:space="preserve">List &amp; collection</w:t>
      </w:r>
    </w:p>
    <w:p>
      <w:pPr>
        <w:pStyle w:val="ListParagraph"/>
        <w:numPr>
          <w:ilvl w:val="0"/>
          <w:numId w:val="2"/>
        </w:numPr>
        <w:spacing w:after="60"/>
      </w:pPr>
      <w:r>
        <w:rPr>
          <w:rFonts w:ascii="Arial" w:cs="Arial" w:eastAsia="Arial" w:hAnsi="Arial"/>
          <w:sz w:val="22"/>
          <w:szCs w:val="22"/>
        </w:rPr>
        <w:t xml:space="preserve">memo-pack-list.tsx — memo pack grid with tone coding (watchlist=critical, decision=warning).</w:t>
      </w:r>
    </w:p>
    <w:p>
      <w:pPr>
        <w:pStyle w:val="ListParagraph"/>
        <w:numPr>
          <w:ilvl w:val="0"/>
          <w:numId w:val="2"/>
        </w:numPr>
        <w:spacing w:after="60"/>
      </w:pPr>
      <w:r>
        <w:rPr>
          <w:rFonts w:ascii="Arial" w:cs="Arial" w:eastAsia="Arial" w:hAnsi="Arial"/>
          <w:sz w:val="22"/>
          <w:szCs w:val="22"/>
        </w:rPr>
        <w:t xml:space="preserve">report-export-list.tsx — report card grid with tone coding.</w:t>
      </w:r>
    </w:p>
    <w:p>
      <w:pPr>
        <w:pStyle w:val="Heading3"/>
        <w:spacing w:after="80" w:before="180"/>
      </w:pPr>
      <w:r>
        <w:rPr>
          <w:rFonts w:ascii="Arial" w:cs="Arial" w:eastAsia="Arial" w:hAnsi="Arial"/>
          <w:b/>
          <w:bCs/>
          <w:color w:val="263849"/>
          <w:sz w:val="26"/>
          <w:szCs w:val="26"/>
        </w:rPr>
        <w:t xml:space="preserve">Utility &amp; interactive</w:t>
      </w:r>
    </w:p>
    <w:p>
      <w:pPr>
        <w:pStyle w:val="ListParagraph"/>
        <w:numPr>
          <w:ilvl w:val="0"/>
          <w:numId w:val="2"/>
        </w:numPr>
        <w:spacing w:after="60"/>
      </w:pPr>
      <w:r>
        <w:rPr>
          <w:rFonts w:ascii="Arial" w:cs="Arial" w:eastAsia="Arial" w:hAnsi="Arial"/>
          <w:sz w:val="22"/>
          <w:szCs w:val="22"/>
        </w:rPr>
        <w:t xml:space="preserve">find-in-page.tsx — browser-style in-page search with CSS Custom Highlight API. Binds Ctrl+F / Cmd+F. Range-based match highlighting.</w:t>
      </w:r>
    </w:p>
    <w:p>
      <w:pPr>
        <w:pStyle w:val="ListParagraph"/>
        <w:numPr>
          <w:ilvl w:val="0"/>
          <w:numId w:val="2"/>
        </w:numPr>
        <w:spacing w:after="60"/>
      </w:pPr>
      <w:r>
        <w:rPr>
          <w:rFonts w:ascii="Arial" w:cs="Arial" w:eastAsia="Arial" w:hAnsi="Arial"/>
          <w:sz w:val="22"/>
          <w:szCs w:val="22"/>
        </w:rPr>
        <w:t xml:space="preserve">ux-configurator.tsx — real-time UI customisation (fonts, colours, density, corners, width, theme). LocalStorage sync.</w:t>
      </w:r>
    </w:p>
    <w:p>
      <w:pPr>
        <w:pStyle w:val="ListParagraph"/>
        <w:numPr>
          <w:ilvl w:val="0"/>
          <w:numId w:val="2"/>
        </w:numPr>
        <w:spacing w:after="60"/>
      </w:pPr>
      <w:r>
        <w:rPr>
          <w:rFonts w:ascii="Arial" w:cs="Arial" w:eastAsia="Arial" w:hAnsi="Arial"/>
          <w:sz w:val="22"/>
          <w:szCs w:val="22"/>
        </w:rPr>
        <w:t xml:space="preserve">revenue-risk-tooltip.tsx — interactive tooltip for P-V-D revenue risk codes. Parses P/V/D components.</w:t>
      </w:r>
    </w:p>
    <w:p>
      <w:pPr>
        <w:pStyle w:val="Heading3"/>
        <w:spacing w:after="80" w:before="180"/>
      </w:pPr>
      <w:r>
        <w:rPr>
          <w:rFonts w:ascii="Arial" w:cs="Arial" w:eastAsia="Arial" w:hAnsi="Arial"/>
          <w:b/>
          <w:bCs/>
          <w:color w:val="263849"/>
          <w:sz w:val="26"/>
          <w:szCs w:val="26"/>
        </w:rPr>
        <w:t xml:space="preserve">Configuration &amp; workflow</w:t>
      </w:r>
    </w:p>
    <w:p>
      <w:pPr>
        <w:pStyle w:val="ListParagraph"/>
        <w:numPr>
          <w:ilvl w:val="0"/>
          <w:numId w:val="2"/>
        </w:numPr>
        <w:spacing w:after="60"/>
      </w:pPr>
      <w:r>
        <w:rPr>
          <w:rFonts w:ascii="Arial" w:cs="Arial" w:eastAsia="Arial" w:hAnsi="Arial"/>
          <w:sz w:val="22"/>
          <w:szCs w:val="22"/>
        </w:rPr>
        <w:t xml:space="preserve">configuration-sequencer.tsx — step-by-step onboarding workflow. Props: { organisations, accounts, holdings }. Calls createOnboardingWorkflow + activateOnboardingWorkflow.</w:t>
      </w:r>
    </w:p>
    <w:p>
      <w:pPr>
        <w:pStyle w:val="Heading2"/>
        <w:spacing w:after="120" w:before="240"/>
      </w:pPr>
      <w:r>
        <w:rPr>
          <w:rFonts w:ascii="Arial" w:cs="Arial" w:eastAsia="Arial" w:hAnsi="Arial"/>
          <w:b/>
          <w:bCs/>
          <w:color w:val="263849"/>
          <w:sz w:val="30"/>
          <w:szCs w:val="30"/>
        </w:rPr>
        <w:t xml:space="preserve">12.9 Accessibility &amp; responsiveness</w:t>
      </w:r>
    </w:p>
    <w:p>
      <w:pPr>
        <w:pStyle w:val="ListParagraph"/>
        <w:numPr>
          <w:ilvl w:val="0"/>
          <w:numId w:val="2"/>
        </w:numPr>
        <w:spacing w:after="60"/>
      </w:pPr>
      <w:r>
        <w:rPr>
          <w:rFonts w:ascii="Arial" w:cs="Arial" w:eastAsia="Arial" w:hAnsi="Arial"/>
          <w:sz w:val="22"/>
          <w:szCs w:val="22"/>
        </w:rPr>
        <w:t xml:space="preserve">Panels collapse to single-column under 900px.</w:t>
      </w:r>
    </w:p>
    <w:p>
      <w:pPr>
        <w:pStyle w:val="ListParagraph"/>
        <w:numPr>
          <w:ilvl w:val="0"/>
          <w:numId w:val="2"/>
        </w:numPr>
        <w:spacing w:after="60"/>
      </w:pPr>
      <w:r>
        <w:rPr>
          <w:rFonts w:ascii="Arial" w:cs="Arial" w:eastAsia="Arial" w:hAnsi="Arial"/>
          <w:sz w:val="22"/>
          <w:szCs w:val="22"/>
        </w:rPr>
        <w:t xml:space="preserve">Recharts labels via text props (screen-reader readable).</w:t>
      </w:r>
    </w:p>
    <w:p>
      <w:pPr>
        <w:pStyle w:val="ListParagraph"/>
        <w:numPr>
          <w:ilvl w:val="0"/>
          <w:numId w:val="2"/>
        </w:numPr>
        <w:spacing w:after="60"/>
      </w:pPr>
      <w:r>
        <w:rPr>
          <w:rFonts w:ascii="Arial" w:cs="Arial" w:eastAsia="Arial" w:hAnsi="Arial"/>
          <w:sz w:val="22"/>
          <w:szCs w:val="22"/>
        </w:rPr>
        <w:t xml:space="preserve">Sortable table headers carry aria-sort.</w:t>
      </w:r>
    </w:p>
    <w:p>
      <w:pPr>
        <w:pStyle w:val="ListParagraph"/>
        <w:numPr>
          <w:ilvl w:val="0"/>
          <w:numId w:val="2"/>
        </w:numPr>
        <w:spacing w:after="60"/>
      </w:pPr>
      <w:r>
        <w:rPr>
          <w:rFonts w:ascii="Arial" w:cs="Arial" w:eastAsia="Arial" w:hAnsi="Arial"/>
          <w:sz w:val="22"/>
          <w:szCs w:val="22"/>
        </w:rPr>
        <w:t xml:space="preserve">No colour-only signalling — every tone has a text label or badge.</w:t>
      </w:r>
    </w:p>
    <w:p>
      <w:pPr>
        <w:pStyle w:val="ListParagraph"/>
        <w:numPr>
          <w:ilvl w:val="0"/>
          <w:numId w:val="2"/>
        </w:numPr>
        <w:spacing w:after="60"/>
      </w:pPr>
      <w:r>
        <w:rPr>
          <w:rFonts w:ascii="Arial" w:cs="Arial" w:eastAsia="Arial" w:hAnsi="Arial"/>
          <w:sz w:val="22"/>
          <w:szCs w:val="22"/>
        </w:rPr>
        <w:t xml:space="preserve">CSS Custom Highlight API for in-page search highlighting (.find-match, .find-current).</w:t>
      </w:r>
    </w:p>
    <w:p>
      <w:pPr>
        <w:pStyle w:val="Heading2"/>
        <w:spacing w:after="120" w:before="240"/>
      </w:pPr>
      <w:r>
        <w:rPr>
          <w:rFonts w:ascii="Arial" w:cs="Arial" w:eastAsia="Arial" w:hAnsi="Arial"/>
          <w:b/>
          <w:bCs/>
          <w:color w:val="263849"/>
          <w:sz w:val="30"/>
          <w:szCs w:val="30"/>
        </w:rPr>
        <w:t xml:space="preserve">12.10 Access control</w:t>
      </w:r>
    </w:p>
    <w:p>
      <w:pPr>
        <w:spacing w:after="140" w:line="280"/>
        <w:jc w:val="both"/>
      </w:pPr>
      <w:r>
        <w:rPr>
          <w:rFonts w:ascii="Arial" w:cs="Arial" w:eastAsia="Arial" w:hAnsi="Arial"/>
          <w:sz w:val="22"/>
          <w:szCs w:val="22"/>
        </w:rPr>
        <w:t xml:space="preserve">User's viewer directory checked via deal.viewer.permissions.canCaptureSnapshots. Conditional rendering of features (snapshot capture form, admin actions) based on permission booleans.</w:t>
      </w:r>
    </w:p>
    <w:p>
      <w:pPr>
        <w:pStyle w:val="Heading2"/>
        <w:spacing w:after="120" w:before="240"/>
      </w:pPr>
      <w:r>
        <w:rPr>
          <w:rFonts w:ascii="Arial" w:cs="Arial" w:eastAsia="Arial" w:hAnsi="Arial"/>
          <w:b/>
          <w:bCs/>
          <w:color w:val="263849"/>
          <w:sz w:val="30"/>
          <w:szCs w:val="30"/>
        </w:rPr>
        <w:t xml:space="preserve">12.11 Error handling</w:t>
      </w:r>
    </w:p>
    <w:p>
      <w:pPr>
        <w:pStyle w:val="ListParagraph"/>
        <w:numPr>
          <w:ilvl w:val="0"/>
          <w:numId w:val="2"/>
        </w:numPr>
        <w:spacing w:after="60"/>
      </w:pPr>
      <w:r>
        <w:rPr>
          <w:rFonts w:ascii="Arial" w:cs="Arial" w:eastAsia="Arial" w:hAnsi="Arial"/>
          <w:sz w:val="22"/>
          <w:szCs w:val="22"/>
        </w:rPr>
        <w:t xml:space="preserve">If getDeal(slug) throws → notFound() (Next.js 404).</w:t>
      </w:r>
    </w:p>
    <w:p>
      <w:pPr>
        <w:pStyle w:val="ListParagraph"/>
        <w:numPr>
          <w:ilvl w:val="0"/>
          <w:numId w:val="2"/>
        </w:numPr>
        <w:spacing w:after="60"/>
      </w:pPr>
      <w:r>
        <w:rPr>
          <w:rFonts w:ascii="Arial" w:cs="Arial" w:eastAsia="Arial" w:hAnsi="Arial"/>
          <w:sz w:val="22"/>
          <w:szCs w:val="22"/>
        </w:rPr>
        <w:t xml:space="preserve">Other API calls wrapped in .catch(() =&gt; null) for graceful degradation.</w:t>
      </w:r>
    </w:p>
    <w:p>
      <w:pPr>
        <w:pStyle w:val="ListParagraph"/>
        <w:numPr>
          <w:ilvl w:val="0"/>
          <w:numId w:val="2"/>
        </w:numPr>
        <w:spacing w:after="60"/>
      </w:pPr>
      <w:r>
        <w:rPr>
          <w:rFonts w:ascii="Arial" w:cs="Arial" w:eastAsia="Arial" w:hAnsi="Arial"/>
          <w:sz w:val="22"/>
          <w:szCs w:val="22"/>
        </w:rPr>
        <w:t xml:space="preserve">Safe defaults for latestPeriod: { periodLabel: "No period data", reportedMetrics: {}, expectedMetrics: {} }.</w:t>
      </w:r>
    </w:p>
    <w:p>
      <w:pPr>
        <w:pStyle w:val="Heading1"/>
        <w:pageBreakBefore/>
        <w:spacing w:after="180" w:before="240"/>
      </w:pPr>
      <w:r>
        <w:rPr>
          <w:rFonts w:ascii="Arial" w:cs="Arial" w:eastAsia="Arial" w:hAnsi="Arial"/>
          <w:b/>
          <w:bCs/>
          <w:color w:val="1F6FA5"/>
          <w:sz w:val="40"/>
          <w:szCs w:val="40"/>
        </w:rPr>
        <w:t xml:space="preserve">Part XIII — Infrastructure and deployment</w:t>
      </w:r>
    </w:p>
    <w:p>
      <w:pPr>
        <w:pStyle w:val="Heading2"/>
        <w:spacing w:after="120" w:before="240"/>
      </w:pPr>
      <w:r>
        <w:rPr>
          <w:rFonts w:ascii="Arial" w:cs="Arial" w:eastAsia="Arial" w:hAnsi="Arial"/>
          <w:b/>
          <w:bCs/>
          <w:color w:val="263849"/>
          <w:sz w:val="30"/>
          <w:szCs w:val="30"/>
        </w:rPr>
        <w:t xml:space="preserve">13.1 Services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960"/>
      </w:tblGrid>
      <w:tr>
        <w:trPr>
          <w:tblHeader/>
        </w:trPr>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Service</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Port</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Image</w:t>
            </w:r>
          </w:p>
        </w:tc>
        <w:tc>
          <w:tcPr>
            <w:tcW w:type="dxa" w:w="4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Role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5432</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sesamestreet-postgres:latest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Persistent data. Volume-mounted to docker/volumes/pgdata.</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4000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sesamestreet-server:latest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Python Starlette API. Stateless.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client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3000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Node 20 alpine + Next.js 15 standalone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React UI. Stateless.</w:t>
            </w:r>
          </w:p>
        </w:tc>
      </w:tr>
    </w:tbl>
    <w:p>
      <w:pPr>
        <w:spacing w:after="140" w:line="280"/>
        <w:jc w:val="both"/>
      </w:pPr>
      <w:r>
        <w:rPr>
          <w:rFonts w:ascii="Arial" w:cs="Arial" w:eastAsia="Arial" w:hAnsi="Arial"/>
          <w:sz w:val="22"/>
          <w:szCs w:val="22"/>
        </w:rPr>
        <w:t xml:space="preserve">docker-compose.yml lives in docker/. Build commands run from worktree root; compose commands run from docker/.</w:t>
      </w:r>
    </w:p>
    <w:p>
      <w:pPr>
        <w:pStyle w:val="Heading2"/>
        <w:spacing w:after="120" w:before="240"/>
      </w:pPr>
      <w:r>
        <w:rPr>
          <w:rFonts w:ascii="Arial" w:cs="Arial" w:eastAsia="Arial" w:hAnsi="Arial"/>
          <w:b/>
          <w:bCs/>
          <w:color w:val="263849"/>
          <w:sz w:val="30"/>
          <w:szCs w:val="30"/>
        </w:rPr>
        <w:t xml:space="preserve">13.2 Repository layout</w:t>
      </w:r>
    </w:p>
    <w:p>
      <w:pPr>
        <w:pStyle w:val="ListParagraph"/>
        <w:numPr>
          <w:ilvl w:val="0"/>
          <w:numId w:val="2"/>
        </w:numPr>
        <w:spacing w:after="60"/>
      </w:pPr>
      <w:r>
        <w:rPr>
          <w:rFonts w:ascii="Arial" w:cs="Arial" w:eastAsia="Arial" w:hAnsi="Arial"/>
          <w:sz w:val="22"/>
          <w:szCs w:val="22"/>
        </w:rPr>
        <w:t xml:space="preserve">client/ — Next.js 15 app router (49 routes, 16+ shared components)</w:t>
      </w:r>
    </w:p>
    <w:p>
      <w:pPr>
        <w:pStyle w:val="ListParagraph"/>
        <w:numPr>
          <w:ilvl w:val="0"/>
          <w:numId w:val="2"/>
        </w:numPr>
        <w:spacing w:after="60"/>
      </w:pPr>
      <w:r>
        <w:rPr>
          <w:rFonts w:ascii="Arial" w:cs="Arial" w:eastAsia="Arial" w:hAnsi="Arial"/>
          <w:sz w:val="22"/>
          <w:szCs w:val="22"/>
        </w:rPr>
        <w:t xml:space="preserve">server/ — main.py (~19k lines) + grade_engine.py + capital_structure_engine.py + topsheet_importer.py</w:t>
      </w:r>
    </w:p>
    <w:p>
      <w:pPr>
        <w:pStyle w:val="ListParagraph"/>
        <w:numPr>
          <w:ilvl w:val="0"/>
          <w:numId w:val="2"/>
        </w:numPr>
        <w:spacing w:after="60"/>
      </w:pPr>
      <w:r>
        <w:rPr>
          <w:rFonts w:ascii="Arial" w:cs="Arial" w:eastAsia="Arial" w:hAnsi="Arial"/>
          <w:sz w:val="22"/>
          <w:szCs w:val="22"/>
        </w:rPr>
        <w:t xml:space="preserve">postgres/init.sql — first-boot schema + seed</w:t>
      </w:r>
    </w:p>
    <w:p>
      <w:pPr>
        <w:pStyle w:val="ListParagraph"/>
        <w:numPr>
          <w:ilvl w:val="0"/>
          <w:numId w:val="2"/>
        </w:numPr>
        <w:spacing w:after="60"/>
      </w:pPr>
      <w:r>
        <w:rPr>
          <w:rFonts w:ascii="Arial" w:cs="Arial" w:eastAsia="Arial" w:hAnsi="Arial"/>
          <w:sz w:val="22"/>
          <w:szCs w:val="22"/>
        </w:rPr>
        <w:t xml:space="preserve">postgres/migrations.sql — idempotent additive migrations</w:t>
      </w:r>
    </w:p>
    <w:p>
      <w:pPr>
        <w:pStyle w:val="ListParagraph"/>
        <w:numPr>
          <w:ilvl w:val="0"/>
          <w:numId w:val="2"/>
        </w:numPr>
        <w:spacing w:after="60"/>
      </w:pPr>
      <w:r>
        <w:rPr>
          <w:rFonts w:ascii="Arial" w:cs="Arial" w:eastAsia="Arial" w:hAnsi="Arial"/>
          <w:sz w:val="22"/>
          <w:szCs w:val="22"/>
        </w:rPr>
        <w:t xml:space="preserve">scripts/ — Python utilities (create-topsheet-template.py, seed-holidays.py, ingest-*.py)</w:t>
      </w:r>
    </w:p>
    <w:p>
      <w:pPr>
        <w:pStyle w:val="ListParagraph"/>
        <w:numPr>
          <w:ilvl w:val="0"/>
          <w:numId w:val="2"/>
        </w:numPr>
        <w:spacing w:after="60"/>
      </w:pPr>
      <w:r>
        <w:rPr>
          <w:rFonts w:ascii="Arial" w:cs="Arial" w:eastAsia="Arial" w:hAnsi="Arial"/>
          <w:sz w:val="22"/>
          <w:szCs w:val="22"/>
        </w:rPr>
        <w:t xml:space="preserve">docs/ — specifications (this document plus all prior reference docs)</w:t>
      </w:r>
    </w:p>
    <w:p>
      <w:pPr>
        <w:pStyle w:val="ListParagraph"/>
        <w:numPr>
          <w:ilvl w:val="0"/>
          <w:numId w:val="2"/>
        </w:numPr>
        <w:spacing w:after="60"/>
      </w:pPr>
      <w:r>
        <w:rPr>
          <w:rFonts w:ascii="Arial" w:cs="Arial" w:eastAsia="Arial" w:hAnsi="Arial"/>
          <w:sz w:val="22"/>
          <w:szCs w:val="22"/>
        </w:rPr>
        <w:t xml:space="preserve">tests/ — pytest; fixtures rebuilt via bin/db-rebuild.sh --reset</w:t>
      </w:r>
    </w:p>
    <w:p>
      <w:pPr>
        <w:pStyle w:val="ListParagraph"/>
        <w:numPr>
          <w:ilvl w:val="0"/>
          <w:numId w:val="2"/>
        </w:numPr>
        <w:spacing w:after="60"/>
      </w:pPr>
      <w:r>
        <w:rPr>
          <w:rFonts w:ascii="Arial" w:cs="Arial" w:eastAsia="Arial" w:hAnsi="Arial"/>
          <w:sz w:val="22"/>
          <w:szCs w:val="22"/>
        </w:rPr>
        <w:t xml:space="preserve">bin/ — operational shell scripts</w:t>
      </w:r>
    </w:p>
    <w:p>
      <w:pPr>
        <w:pStyle w:val="ListParagraph"/>
        <w:numPr>
          <w:ilvl w:val="0"/>
          <w:numId w:val="2"/>
        </w:numPr>
        <w:spacing w:after="60"/>
      </w:pPr>
      <w:r>
        <w:rPr>
          <w:rFonts w:ascii="Arial" w:cs="Arial" w:eastAsia="Arial" w:hAnsi="Arial"/>
          <w:sz w:val="22"/>
          <w:szCs w:val="22"/>
        </w:rPr>
        <w:t xml:space="preserve">docker/ — Dockerfiles + compose</w:t>
      </w:r>
    </w:p>
    <w:p>
      <w:pPr>
        <w:pStyle w:val="Heading2"/>
        <w:spacing w:after="120" w:before="240"/>
      </w:pPr>
      <w:r>
        <w:rPr>
          <w:rFonts w:ascii="Arial" w:cs="Arial" w:eastAsia="Arial" w:hAnsi="Arial"/>
          <w:b/>
          <w:bCs/>
          <w:color w:val="263849"/>
          <w:sz w:val="30"/>
          <w:szCs w:val="30"/>
        </w:rPr>
        <w:t xml:space="preserve">13.3 Local development</w:t>
      </w:r>
    </w:p>
    <w:p>
      <w:pPr>
        <w:pStyle w:val="Heading3"/>
        <w:spacing w:after="80" w:before="180"/>
      </w:pPr>
      <w:r>
        <w:rPr>
          <w:rFonts w:ascii="Arial" w:cs="Arial" w:eastAsia="Arial" w:hAnsi="Arial"/>
          <w:b/>
          <w:bCs/>
          <w:color w:val="263849"/>
          <w:sz w:val="26"/>
          <w:szCs w:val="26"/>
        </w:rPr>
        <w:t xml:space="preserve">First-time setup</w:t>
      </w:r>
    </w:p>
    <w:p>
      <w:pPr>
        <w:spacing w:after="80"/>
      </w:pPr>
      <w:r>
        <w:rPr>
          <w:rFonts w:ascii="Consolas" w:cs="Consolas" w:eastAsia="Consolas" w:hAnsi="Consolas"/>
          <w:color w:val="444444"/>
          <w:sz w:val="20"/>
          <w:szCs w:val="20"/>
        </w:rPr>
        <w:t xml:space="preserve">docker build -f docker/server.Dockerfile -t sesamestreet-server:latest .</w:t>
      </w:r>
    </w:p>
    <w:p>
      <w:pPr>
        <w:spacing w:after="80"/>
      </w:pPr>
      <w:r>
        <w:rPr>
          <w:rFonts w:ascii="Consolas" w:cs="Consolas" w:eastAsia="Consolas" w:hAnsi="Consolas"/>
          <w:color w:val="444444"/>
          <w:sz w:val="20"/>
          <w:szCs w:val="20"/>
        </w:rPr>
        <w:t xml:space="preserve">docker build -f docker/postgres.Dockerfile -t sesamestreet-postgres:latest .</w:t>
      </w:r>
    </w:p>
    <w:p>
      <w:pPr>
        <w:spacing w:after="80"/>
      </w:pPr>
      <w:r>
        <w:rPr>
          <w:rFonts w:ascii="Consolas" w:cs="Consolas" w:eastAsia="Consolas" w:hAnsi="Consolas"/>
          <w:color w:val="444444"/>
          <w:sz w:val="20"/>
          <w:szCs w:val="20"/>
        </w:rPr>
        <w:t xml:space="preserve">cd docker &amp;&amp; docker compose up -d</w:t>
      </w:r>
    </w:p>
    <w:p>
      <w:pPr>
        <w:pStyle w:val="Heading3"/>
        <w:spacing w:after="80" w:before="180"/>
      </w:pPr>
      <w:r>
        <w:rPr>
          <w:rFonts w:ascii="Arial" w:cs="Arial" w:eastAsia="Arial" w:hAnsi="Arial"/>
          <w:b/>
          <w:bCs/>
          <w:color w:val="263849"/>
          <w:sz w:val="26"/>
          <w:szCs w:val="26"/>
        </w:rPr>
        <w:t xml:space="preserve">Applying schema changes</w:t>
      </w:r>
    </w:p>
    <w:p>
      <w:pPr>
        <w:spacing w:after="140" w:line="280"/>
        <w:jc w:val="both"/>
      </w:pPr>
      <w:r>
        <w:rPr>
          <w:rFonts w:ascii="Arial" w:cs="Arial" w:eastAsia="Arial" w:hAnsi="Arial"/>
          <w:sz w:val="22"/>
          <w:szCs w:val="22"/>
        </w:rPr>
        <w:t xml:space="preserve">Never edit init.sql for changes on an already-deployed DB — init runs only on first creation. Put additive ALTERs into migrations.sql:</w:t>
      </w:r>
    </w:p>
    <w:p>
      <w:pPr>
        <w:spacing w:after="80"/>
      </w:pPr>
      <w:r>
        <w:rPr>
          <w:rFonts w:ascii="Consolas" w:cs="Consolas" w:eastAsia="Consolas" w:hAnsi="Consolas"/>
          <w:color w:val="444444"/>
          <w:sz w:val="20"/>
          <w:szCs w:val="20"/>
        </w:rPr>
        <w:t xml:space="preserve">docker exec docker-postgres-1 psql -U sesame -d sesamestreet -f //migrations//migrations.sql</w:t>
      </w:r>
    </w:p>
    <w:p>
      <w:pPr>
        <w:pStyle w:val="Heading3"/>
        <w:spacing w:after="80" w:before="180"/>
      </w:pPr>
      <w:r>
        <w:rPr>
          <w:rFonts w:ascii="Arial" w:cs="Arial" w:eastAsia="Arial" w:hAnsi="Arial"/>
          <w:b/>
          <w:bCs/>
          <w:color w:val="263849"/>
          <w:sz w:val="26"/>
          <w:szCs w:val="26"/>
        </w:rPr>
        <w:t xml:space="preserve">Full reset (wipes data)</w:t>
      </w:r>
    </w:p>
    <w:p>
      <w:pPr>
        <w:spacing w:after="80"/>
      </w:pPr>
      <w:r>
        <w:rPr>
          <w:rFonts w:ascii="Consolas" w:cs="Consolas" w:eastAsia="Consolas" w:hAnsi="Consolas"/>
          <w:color w:val="444444"/>
          <w:sz w:val="20"/>
          <w:szCs w:val="20"/>
        </w:rPr>
        <w:t xml:space="preserve">bin/db-rebuild.sh --reset</w:t>
      </w:r>
    </w:p>
    <w:p>
      <w:pPr>
        <w:spacing w:after="140" w:line="280"/>
        <w:jc w:val="both"/>
      </w:pPr>
      <w:r>
        <w:rPr>
          <w:rFonts w:ascii="Arial" w:cs="Arial" w:eastAsia="Arial" w:hAnsi="Arial"/>
          <w:sz w:val="22"/>
          <w:szCs w:val="22"/>
        </w:rPr>
        <w:t xml:space="preserve">Re-runs init + migrations. Automatic backup is not taken — run bin/db-backup.sh first.</w:t>
      </w:r>
    </w:p>
    <w:p>
      <w:pPr>
        <w:pStyle w:val="Heading3"/>
        <w:spacing w:after="80" w:before="180"/>
      </w:pPr>
      <w:r>
        <w:rPr>
          <w:rFonts w:ascii="Arial" w:cs="Arial" w:eastAsia="Arial" w:hAnsi="Arial"/>
          <w:b/>
          <w:bCs/>
          <w:color w:val="263849"/>
          <w:sz w:val="26"/>
          <w:szCs w:val="26"/>
        </w:rPr>
        <w:t xml:space="preserve">Safe rebuild (preserves data)</w:t>
      </w:r>
    </w:p>
    <w:p>
      <w:pPr>
        <w:spacing w:after="80"/>
      </w:pPr>
      <w:r>
        <w:rPr>
          <w:rFonts w:ascii="Consolas" w:cs="Consolas" w:eastAsia="Consolas" w:hAnsi="Consolas"/>
          <w:color w:val="444444"/>
          <w:sz w:val="20"/>
          <w:szCs w:val="20"/>
        </w:rPr>
        <w:t xml:space="preserve">bin/db-rebuild.sh</w:t>
      </w:r>
    </w:p>
    <w:p>
      <w:pPr>
        <w:pStyle w:val="Heading2"/>
        <w:spacing w:after="120" w:before="240"/>
      </w:pPr>
      <w:r>
        <w:rPr>
          <w:rFonts w:ascii="Arial" w:cs="Arial" w:eastAsia="Arial" w:hAnsi="Arial"/>
          <w:b/>
          <w:bCs/>
          <w:color w:val="263849"/>
          <w:sz w:val="30"/>
          <w:szCs w:val="30"/>
        </w:rPr>
        <w:t xml:space="preserve">13.4 Docker configuration</w:t>
      </w:r>
    </w:p>
    <w:p>
      <w:pPr>
        <w:pStyle w:val="Heading3"/>
        <w:spacing w:after="80" w:before="180"/>
      </w:pPr>
      <w:r>
        <w:rPr>
          <w:rFonts w:ascii="Arial" w:cs="Arial" w:eastAsia="Arial" w:hAnsi="Arial"/>
          <w:b/>
          <w:bCs/>
          <w:color w:val="263849"/>
          <w:sz w:val="26"/>
          <w:szCs w:val="26"/>
        </w:rPr>
        <w:t xml:space="preserve">server.Dockerfile</w:t>
      </w:r>
    </w:p>
    <w:p>
      <w:pPr>
        <w:pStyle w:val="ListParagraph"/>
        <w:numPr>
          <w:ilvl w:val="0"/>
          <w:numId w:val="2"/>
        </w:numPr>
        <w:spacing w:after="60"/>
      </w:pPr>
      <w:r>
        <w:rPr>
          <w:rFonts w:ascii="Arial" w:cs="Arial" w:eastAsia="Arial" w:hAnsi="Arial"/>
          <w:sz w:val="22"/>
          <w:szCs w:val="22"/>
        </w:rPr>
        <w:t xml:space="preserve">Base: python:3.12-slim</w:t>
      </w:r>
    </w:p>
    <w:p>
      <w:pPr>
        <w:pStyle w:val="ListParagraph"/>
        <w:numPr>
          <w:ilvl w:val="0"/>
          <w:numId w:val="2"/>
        </w:numPr>
        <w:spacing w:after="60"/>
      </w:pPr>
      <w:r>
        <w:rPr>
          <w:rFonts w:ascii="Arial" w:cs="Arial" w:eastAsia="Arial" w:hAnsi="Arial"/>
          <w:sz w:val="22"/>
          <w:szCs w:val="22"/>
        </w:rPr>
        <w:t xml:space="preserve">Installs: psycopg[binary], starlette, uvicorn, openpyxl, pandas, python-dateutil, jinja2</w:t>
      </w:r>
    </w:p>
    <w:p>
      <w:pPr>
        <w:pStyle w:val="ListParagraph"/>
        <w:numPr>
          <w:ilvl w:val="0"/>
          <w:numId w:val="2"/>
        </w:numPr>
        <w:spacing w:after="60"/>
      </w:pPr>
      <w:r>
        <w:rPr>
          <w:rFonts w:ascii="Arial" w:cs="Arial" w:eastAsia="Arial" w:hAnsi="Arial"/>
          <w:sz w:val="22"/>
          <w:szCs w:val="22"/>
        </w:rPr>
        <w:t xml:space="preserve">Runs: uvicorn server.main:app on port 4000</w:t>
      </w:r>
    </w:p>
    <w:p>
      <w:pPr>
        <w:pStyle w:val="Heading3"/>
        <w:spacing w:after="80" w:before="180"/>
      </w:pPr>
      <w:r>
        <w:rPr>
          <w:rFonts w:ascii="Arial" w:cs="Arial" w:eastAsia="Arial" w:hAnsi="Arial"/>
          <w:b/>
          <w:bCs/>
          <w:color w:val="263849"/>
          <w:sz w:val="26"/>
          <w:szCs w:val="26"/>
        </w:rPr>
        <w:t xml:space="preserve">postgres.Dockerfile</w:t>
      </w:r>
    </w:p>
    <w:p>
      <w:pPr>
        <w:pStyle w:val="ListParagraph"/>
        <w:numPr>
          <w:ilvl w:val="0"/>
          <w:numId w:val="2"/>
        </w:numPr>
        <w:spacing w:after="60"/>
      </w:pPr>
      <w:r>
        <w:rPr>
          <w:rFonts w:ascii="Arial" w:cs="Arial" w:eastAsia="Arial" w:hAnsi="Arial"/>
          <w:sz w:val="22"/>
          <w:szCs w:val="22"/>
        </w:rPr>
        <w:t xml:space="preserve">Base: postgres:16-alpine</w:t>
      </w:r>
    </w:p>
    <w:p>
      <w:pPr>
        <w:pStyle w:val="ListParagraph"/>
        <w:numPr>
          <w:ilvl w:val="0"/>
          <w:numId w:val="2"/>
        </w:numPr>
        <w:spacing w:after="60"/>
      </w:pPr>
      <w:r>
        <w:rPr>
          <w:rFonts w:ascii="Arial" w:cs="Arial" w:eastAsia="Arial" w:hAnsi="Arial"/>
          <w:sz w:val="22"/>
          <w:szCs w:val="22"/>
        </w:rPr>
        <w:t xml:space="preserve">Copies init.sql into /docker-entrypoint-initdb.d/</w:t>
      </w:r>
    </w:p>
    <w:p>
      <w:pPr>
        <w:pStyle w:val="ListParagraph"/>
        <w:numPr>
          <w:ilvl w:val="0"/>
          <w:numId w:val="2"/>
        </w:numPr>
        <w:spacing w:after="60"/>
      </w:pPr>
      <w:r>
        <w:rPr>
          <w:rFonts w:ascii="Arial" w:cs="Arial" w:eastAsia="Arial" w:hAnsi="Arial"/>
          <w:sz w:val="22"/>
          <w:szCs w:val="22"/>
        </w:rPr>
        <w:t xml:space="preserve">Healthcheck: pg_isready</w:t>
      </w:r>
    </w:p>
    <w:p>
      <w:pPr>
        <w:pStyle w:val="Heading3"/>
        <w:spacing w:after="80" w:before="180"/>
      </w:pPr>
      <w:r>
        <w:rPr>
          <w:rFonts w:ascii="Arial" w:cs="Arial" w:eastAsia="Arial" w:hAnsi="Arial"/>
          <w:b/>
          <w:bCs/>
          <w:color w:val="263849"/>
          <w:sz w:val="26"/>
          <w:szCs w:val="26"/>
        </w:rPr>
        <w:t xml:space="preserve">docker-compose.yml</w:t>
      </w:r>
    </w:p>
    <w:p>
      <w:pPr>
        <w:pStyle w:val="ListParagraph"/>
        <w:numPr>
          <w:ilvl w:val="0"/>
          <w:numId w:val="2"/>
        </w:numPr>
        <w:spacing w:after="60"/>
      </w:pPr>
      <w:r>
        <w:rPr>
          <w:rFonts w:ascii="Arial" w:cs="Arial" w:eastAsia="Arial" w:hAnsi="Arial"/>
          <w:sz w:val="22"/>
          <w:szCs w:val="22"/>
        </w:rPr>
        <w:t xml:space="preserve">Named network: sesame-net</w:t>
      </w:r>
    </w:p>
    <w:p>
      <w:pPr>
        <w:pStyle w:val="ListParagraph"/>
        <w:numPr>
          <w:ilvl w:val="0"/>
          <w:numId w:val="2"/>
        </w:numPr>
        <w:spacing w:after="60"/>
      </w:pPr>
      <w:r>
        <w:rPr>
          <w:rFonts w:ascii="Arial" w:cs="Arial" w:eastAsia="Arial" w:hAnsi="Arial"/>
          <w:sz w:val="22"/>
          <w:szCs w:val="22"/>
        </w:rPr>
        <w:t xml:space="preserve">Volume: docker/volumes/pgdata → /var/lib/postgresql/data</w:t>
      </w:r>
    </w:p>
    <w:p>
      <w:pPr>
        <w:pStyle w:val="ListParagraph"/>
        <w:numPr>
          <w:ilvl w:val="0"/>
          <w:numId w:val="2"/>
        </w:numPr>
        <w:spacing w:after="60"/>
      </w:pPr>
      <w:r>
        <w:rPr>
          <w:rFonts w:ascii="Arial" w:cs="Arial" w:eastAsia="Arial" w:hAnsi="Arial"/>
          <w:sz w:val="22"/>
          <w:szCs w:val="22"/>
        </w:rPr>
        <w:t xml:space="preserve">Env: POSTGRES_USER=sesame, POSTGRES_DB=sesamestreet, POSTGRES_PASSWORD from .env.local</w:t>
      </w:r>
    </w:p>
    <w:p>
      <w:pPr>
        <w:pStyle w:val="ListParagraph"/>
        <w:numPr>
          <w:ilvl w:val="0"/>
          <w:numId w:val="2"/>
        </w:numPr>
        <w:spacing w:after="60"/>
      </w:pPr>
      <w:r>
        <w:rPr>
          <w:rFonts w:ascii="Arial" w:cs="Arial" w:eastAsia="Arial" w:hAnsi="Arial"/>
          <w:sz w:val="22"/>
          <w:szCs w:val="22"/>
        </w:rPr>
        <w:t xml:space="preserve">depends_on: server → postgres (service_healthy)</w:t>
      </w:r>
    </w:p>
    <w:p>
      <w:pPr>
        <w:pStyle w:val="ListParagraph"/>
        <w:numPr>
          <w:ilvl w:val="0"/>
          <w:numId w:val="2"/>
        </w:numPr>
        <w:spacing w:after="60"/>
      </w:pPr>
      <w:r>
        <w:rPr>
          <w:rFonts w:ascii="Arial" w:cs="Arial" w:eastAsia="Arial" w:hAnsi="Arial"/>
          <w:sz w:val="22"/>
          <w:szCs w:val="22"/>
        </w:rPr>
        <w:t xml:space="preserve">Restart policy: unless-stopped</w:t>
      </w:r>
    </w:p>
    <w:p>
      <w:pPr>
        <w:pStyle w:val="Heading2"/>
        <w:spacing w:after="120" w:before="240"/>
      </w:pPr>
      <w:r>
        <w:rPr>
          <w:rFonts w:ascii="Arial" w:cs="Arial" w:eastAsia="Arial" w:hAnsi="Arial"/>
          <w:b/>
          <w:bCs/>
          <w:color w:val="263849"/>
          <w:sz w:val="30"/>
          <w:szCs w:val="30"/>
        </w:rPr>
        <w:t xml:space="preserve">13.5 Environment variables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Name</w:t>
            </w:r>
          </w:p>
        </w:tc>
        <w:tc>
          <w:tcPr>
            <w:tcW w:type="dxa" w:w="2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Default</w:t>
            </w:r>
          </w:p>
        </w:tc>
        <w:tc>
          <w:tcPr>
            <w:tcW w:type="dxa" w:w="4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DATABASE_URL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postgresql://sesame:sesame@postgres:5432/sesamestreet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 DB connection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DEMO_USER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analyst@sesame.local</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Bypass session auth. Production unsets.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NEXT_PUBLIC_API_URL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http://localhost:4000</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Client API base URL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SERVER_LOG_LEVEL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info</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debug/info/warning/error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FX_FEED_URL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(unset)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Frankfurter/ECB feed when wired up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FILE_STORE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local</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local | s3 | azure-blob</w:t>
            </w:r>
          </w:p>
        </w:tc>
      </w:tr>
    </w:tbl>
    <w:p>
      <w:pPr>
        <w:pStyle w:val="Heading2"/>
        <w:spacing w:after="120" w:before="240"/>
      </w:pPr>
      <w:r>
        <w:rPr>
          <w:rFonts w:ascii="Arial" w:cs="Arial" w:eastAsia="Arial" w:hAnsi="Arial"/>
          <w:b/>
          <w:bCs/>
          <w:color w:val="263849"/>
          <w:sz w:val="30"/>
          <w:szCs w:val="30"/>
        </w:rPr>
        <w:t xml:space="preserve">13.6 Operations</w:t>
      </w:r>
    </w:p>
    <w:p>
      <w:pPr>
        <w:pStyle w:val="Heading3"/>
        <w:spacing w:after="80" w:before="180"/>
      </w:pPr>
      <w:r>
        <w:rPr>
          <w:rFonts w:ascii="Arial" w:cs="Arial" w:eastAsia="Arial" w:hAnsi="Arial"/>
          <w:b/>
          <w:bCs/>
          <w:color w:val="263849"/>
          <w:sz w:val="26"/>
          <w:szCs w:val="26"/>
        </w:rPr>
        <w:t xml:space="preserve">Backups</w:t>
      </w:r>
    </w:p>
    <w:p>
      <w:pPr>
        <w:pStyle w:val="ListParagraph"/>
        <w:numPr>
          <w:ilvl w:val="0"/>
          <w:numId w:val="2"/>
        </w:numPr>
        <w:spacing w:after="60"/>
      </w:pPr>
      <w:r>
        <w:rPr>
          <w:rFonts w:ascii="Arial" w:cs="Arial" w:eastAsia="Arial" w:hAnsi="Arial"/>
          <w:sz w:val="22"/>
          <w:szCs w:val="22"/>
        </w:rPr>
        <w:t xml:space="preserve">bin/db-backup.sh — pg_dump → docker/backups/{timestamp}.sql.gz</w:t>
      </w:r>
    </w:p>
    <w:p>
      <w:pPr>
        <w:pStyle w:val="ListParagraph"/>
        <w:numPr>
          <w:ilvl w:val="0"/>
          <w:numId w:val="2"/>
        </w:numPr>
        <w:spacing w:after="60"/>
      </w:pPr>
      <w:r>
        <w:rPr>
          <w:rFonts w:ascii="Arial" w:cs="Arial" w:eastAsia="Arial" w:hAnsi="Arial"/>
          <w:sz w:val="22"/>
          <w:szCs w:val="22"/>
        </w:rPr>
        <w:t xml:space="preserve">Daily cron recommended (rotate 7 daily + 4 weekly)</w:t>
      </w:r>
    </w:p>
    <w:p>
      <w:pPr>
        <w:pStyle w:val="ListParagraph"/>
        <w:numPr>
          <w:ilvl w:val="0"/>
          <w:numId w:val="2"/>
        </w:numPr>
        <w:spacing w:after="60"/>
      </w:pPr>
      <w:r>
        <w:rPr>
          <w:rFonts w:ascii="Arial" w:cs="Arial" w:eastAsia="Arial" w:hAnsi="Arial"/>
          <w:sz w:val="22"/>
          <w:szCs w:val="22"/>
        </w:rPr>
        <w:t xml:space="preserve">Restore: pg_restore after gunzip</w:t>
      </w:r>
    </w:p>
    <w:p>
      <w:pPr>
        <w:pStyle w:val="Heading3"/>
        <w:spacing w:after="80" w:before="180"/>
      </w:pPr>
      <w:r>
        <w:rPr>
          <w:rFonts w:ascii="Arial" w:cs="Arial" w:eastAsia="Arial" w:hAnsi="Arial"/>
          <w:b/>
          <w:bCs/>
          <w:color w:val="263849"/>
          <w:sz w:val="26"/>
          <w:szCs w:val="26"/>
        </w:rPr>
        <w:t xml:space="preserve">Running engines on demand</w:t>
      </w:r>
    </w:p>
    <w:p>
      <w:pPr>
        <w:spacing w:after="80"/>
      </w:pPr>
      <w:r>
        <w:rPr>
          <w:rFonts w:ascii="Consolas" w:cs="Consolas" w:eastAsia="Consolas" w:hAnsi="Consolas"/>
          <w:color w:val="444444"/>
          <w:sz w:val="20"/>
          <w:szCs w:val="20"/>
        </w:rPr>
        <w:t xml:space="preserve">bin/run-engines.sh --deal gatwick-airport --engine grade,variance,covenant</w:t>
      </w:r>
    </w:p>
    <w:p>
      <w:pPr>
        <w:pStyle w:val="Heading3"/>
        <w:spacing w:after="80" w:before="180"/>
      </w:pPr>
      <w:r>
        <w:rPr>
          <w:rFonts w:ascii="Arial" w:cs="Arial" w:eastAsia="Arial" w:hAnsi="Arial"/>
          <w:b/>
          <w:bCs/>
          <w:color w:val="263849"/>
          <w:sz w:val="26"/>
          <w:szCs w:val="26"/>
        </w:rPr>
        <w:t xml:space="preserve">Logs</w:t>
      </w:r>
    </w:p>
    <w:p>
      <w:pPr>
        <w:pStyle w:val="ListParagraph"/>
        <w:numPr>
          <w:ilvl w:val="0"/>
          <w:numId w:val="2"/>
        </w:numPr>
        <w:spacing w:after="60"/>
      </w:pPr>
      <w:r>
        <w:rPr>
          <w:rFonts w:ascii="Arial" w:cs="Arial" w:eastAsia="Arial" w:hAnsi="Arial"/>
          <w:sz w:val="22"/>
          <w:szCs w:val="22"/>
        </w:rPr>
        <w:t xml:space="preserve">docker compose logs -f server</w:t>
      </w:r>
    </w:p>
    <w:p>
      <w:pPr>
        <w:pStyle w:val="ListParagraph"/>
        <w:numPr>
          <w:ilvl w:val="0"/>
          <w:numId w:val="2"/>
        </w:numPr>
        <w:spacing w:after="60"/>
      </w:pPr>
      <w:r>
        <w:rPr>
          <w:rFonts w:ascii="Arial" w:cs="Arial" w:eastAsia="Arial" w:hAnsi="Arial"/>
          <w:sz w:val="22"/>
          <w:szCs w:val="22"/>
        </w:rPr>
        <w:t xml:space="preserve">docker compose logs -f postgres</w:t>
      </w:r>
    </w:p>
    <w:p>
      <w:pPr>
        <w:pStyle w:val="ListParagraph"/>
        <w:numPr>
          <w:ilvl w:val="0"/>
          <w:numId w:val="2"/>
        </w:numPr>
        <w:spacing w:after="60"/>
      </w:pPr>
      <w:r>
        <w:rPr>
          <w:rFonts w:ascii="Arial" w:cs="Arial" w:eastAsia="Arial" w:hAnsi="Arial"/>
          <w:sz w:val="22"/>
          <w:szCs w:val="22"/>
        </w:rPr>
        <w:t xml:space="preserve">docker compose logs -f client</w:t>
      </w:r>
    </w:p>
    <w:p>
      <w:pPr>
        <w:pStyle w:val="Heading3"/>
        <w:spacing w:after="80" w:before="180"/>
      </w:pPr>
      <w:r>
        <w:rPr>
          <w:rFonts w:ascii="Arial" w:cs="Arial" w:eastAsia="Arial" w:hAnsi="Arial"/>
          <w:b/>
          <w:bCs/>
          <w:color w:val="263849"/>
          <w:sz w:val="26"/>
          <w:szCs w:val="26"/>
        </w:rPr>
        <w:t xml:space="preserve">Health checks</w:t>
      </w:r>
    </w:p>
    <w:p>
      <w:pPr>
        <w:pStyle w:val="ListParagraph"/>
        <w:numPr>
          <w:ilvl w:val="0"/>
          <w:numId w:val="2"/>
        </w:numPr>
        <w:spacing w:after="60"/>
      </w:pPr>
      <w:r>
        <w:rPr>
          <w:rFonts w:ascii="Arial" w:cs="Arial" w:eastAsia="Arial" w:hAnsi="Arial"/>
          <w:sz w:val="22"/>
          <w:szCs w:val="22"/>
        </w:rPr>
        <w:t xml:space="preserve">GET /api/health → {status, db, version}</w:t>
      </w:r>
    </w:p>
    <w:p>
      <w:pPr>
        <w:pStyle w:val="ListParagraph"/>
        <w:numPr>
          <w:ilvl w:val="0"/>
          <w:numId w:val="2"/>
        </w:numPr>
        <w:spacing w:after="60"/>
      </w:pPr>
      <w:r>
        <w:rPr>
          <w:rFonts w:ascii="Arial" w:cs="Arial" w:eastAsia="Arial" w:hAnsi="Arial"/>
          <w:sz w:val="22"/>
          <w:szCs w:val="22"/>
        </w:rPr>
        <w:t xml:space="preserve">Used by docker healthcheck + LB upstream probes</w:t>
      </w:r>
    </w:p>
    <w:p>
      <w:pPr>
        <w:pStyle w:val="Heading2"/>
        <w:spacing w:after="120" w:before="240"/>
      </w:pPr>
      <w:r>
        <w:rPr>
          <w:rFonts w:ascii="Arial" w:cs="Arial" w:eastAsia="Arial" w:hAnsi="Arial"/>
          <w:b/>
          <w:bCs/>
          <w:color w:val="263849"/>
          <w:sz w:val="30"/>
          <w:szCs w:val="30"/>
        </w:rPr>
        <w:t xml:space="preserve">13.7 Testing</w:t>
      </w:r>
    </w:p>
    <w:p>
      <w:pPr>
        <w:pStyle w:val="ListParagraph"/>
        <w:numPr>
          <w:ilvl w:val="0"/>
          <w:numId w:val="2"/>
        </w:numPr>
        <w:spacing w:after="60"/>
      </w:pPr>
      <w:r>
        <w:rPr>
          <w:rFonts w:ascii="Arial" w:cs="Arial" w:eastAsia="Arial" w:hAnsi="Arial"/>
          <w:sz w:val="22"/>
          <w:szCs w:val="22"/>
        </w:rPr>
        <w:t xml:space="preserve">Python: pytest tests/</w:t>
      </w:r>
    </w:p>
    <w:p>
      <w:pPr>
        <w:pStyle w:val="ListParagraph"/>
        <w:numPr>
          <w:ilvl w:val="0"/>
          <w:numId w:val="2"/>
        </w:numPr>
        <w:spacing w:after="60"/>
      </w:pPr>
      <w:r>
        <w:rPr>
          <w:rFonts w:ascii="Arial" w:cs="Arial" w:eastAsia="Arial" w:hAnsi="Arial"/>
          <w:sz w:val="22"/>
          <w:szCs w:val="22"/>
        </w:rPr>
        <w:t xml:space="preserve">Client: npm run lint + npm run test (vitest)</w:t>
      </w:r>
    </w:p>
    <w:p>
      <w:pPr>
        <w:pStyle w:val="ListParagraph"/>
        <w:numPr>
          <w:ilvl w:val="0"/>
          <w:numId w:val="2"/>
        </w:numPr>
        <w:spacing w:after="60"/>
      </w:pPr>
      <w:r>
        <w:rPr>
          <w:rFonts w:ascii="Arial" w:cs="Arial" w:eastAsia="Arial" w:hAnsi="Arial"/>
          <w:sz w:val="22"/>
          <w:szCs w:val="22"/>
        </w:rPr>
        <w:t xml:space="preserve">End-to-end: Playwright against docker compose stack (not yet in CI)</w:t>
      </w:r>
    </w:p>
    <w:p>
      <w:pPr>
        <w:pStyle w:val="ListParagraph"/>
        <w:numPr>
          <w:ilvl w:val="0"/>
          <w:numId w:val="2"/>
        </w:numPr>
        <w:spacing w:after="60"/>
      </w:pPr>
      <w:r>
        <w:rPr>
          <w:rFonts w:ascii="Arial" w:cs="Arial" w:eastAsia="Arial" w:hAnsi="Arial"/>
          <w:sz w:val="22"/>
          <w:szCs w:val="22"/>
        </w:rPr>
        <w:t xml:space="preserve">tests/test_capital_stack.py — 50 assertions covering Gatwick scenarios</w:t>
      </w:r>
    </w:p>
    <w:p>
      <w:pPr>
        <w:pStyle w:val="Heading2"/>
        <w:spacing w:after="120" w:before="240"/>
      </w:pPr>
      <w:r>
        <w:rPr>
          <w:rFonts w:ascii="Arial" w:cs="Arial" w:eastAsia="Arial" w:hAnsi="Arial"/>
          <w:b/>
          <w:bCs/>
          <w:color w:val="263849"/>
          <w:sz w:val="30"/>
          <w:szCs w:val="30"/>
        </w:rPr>
        <w:t xml:space="preserve">13.8 Production deployment shape</w:t>
      </w:r>
    </w:p>
    <w:p>
      <w:pPr>
        <w:spacing w:after="140" w:line="280"/>
        <w:jc w:val="both"/>
      </w:pPr>
      <w:r>
        <w:rPr>
          <w:rFonts w:ascii="Arial" w:cs="Arial" w:eastAsia="Arial" w:hAnsi="Arial"/>
          <w:sz w:val="22"/>
          <w:szCs w:val="22"/>
        </w:rPr>
        <w:t xml:space="preserve">Demo runs on a single VM with docker compose. Recommended production shape on a customer cloud:</w:t>
      </w:r>
    </w:p>
    <w:p>
      <w:pPr>
        <w:pStyle w:val="ListParagraph"/>
        <w:numPr>
          <w:ilvl w:val="0"/>
          <w:numId w:val="2"/>
        </w:numPr>
        <w:spacing w:after="60"/>
      </w:pPr>
      <w:r>
        <w:rPr>
          <w:rFonts w:ascii="Arial" w:cs="Arial" w:eastAsia="Arial" w:hAnsi="Arial"/>
          <w:sz w:val="22"/>
          <w:szCs w:val="22"/>
        </w:rPr>
        <w:t xml:space="preserve">Managed Postgres (RDS / Cloud SQL / Azure Postgres)</w:t>
      </w:r>
    </w:p>
    <w:p>
      <w:pPr>
        <w:pStyle w:val="ListParagraph"/>
        <w:numPr>
          <w:ilvl w:val="0"/>
          <w:numId w:val="2"/>
        </w:numPr>
        <w:spacing w:after="60"/>
      </w:pPr>
      <w:r>
        <w:rPr>
          <w:rFonts w:ascii="Arial" w:cs="Arial" w:eastAsia="Arial" w:hAnsi="Arial"/>
          <w:sz w:val="22"/>
          <w:szCs w:val="22"/>
        </w:rPr>
        <w:t xml:space="preserve">Server as ECS / Cloud Run / Azure Container App with &gt;= 2 replicas</w:t>
      </w:r>
    </w:p>
    <w:p>
      <w:pPr>
        <w:pStyle w:val="ListParagraph"/>
        <w:numPr>
          <w:ilvl w:val="0"/>
          <w:numId w:val="2"/>
        </w:numPr>
        <w:spacing w:after="60"/>
      </w:pPr>
      <w:r>
        <w:rPr>
          <w:rFonts w:ascii="Arial" w:cs="Arial" w:eastAsia="Arial" w:hAnsi="Arial"/>
          <w:sz w:val="22"/>
          <w:szCs w:val="22"/>
        </w:rPr>
        <w:t xml:space="preserve">Client on Vercel / Cloudflare Pages pointed at server URL</w:t>
      </w:r>
    </w:p>
    <w:p>
      <w:pPr>
        <w:pStyle w:val="ListParagraph"/>
        <w:numPr>
          <w:ilvl w:val="0"/>
          <w:numId w:val="2"/>
        </w:numPr>
        <w:spacing w:after="60"/>
      </w:pPr>
      <w:r>
        <w:rPr>
          <w:rFonts w:ascii="Arial" w:cs="Arial" w:eastAsia="Arial" w:hAnsi="Arial"/>
          <w:sz w:val="22"/>
          <w:szCs w:val="22"/>
        </w:rPr>
        <w:t xml:space="preserve">Object storage (S3 / GCS / Azure Blob); FILE_STORE set accordingly</w:t>
      </w:r>
    </w:p>
    <w:p>
      <w:pPr>
        <w:pStyle w:val="ListParagraph"/>
        <w:numPr>
          <w:ilvl w:val="0"/>
          <w:numId w:val="2"/>
        </w:numPr>
        <w:spacing w:after="60"/>
      </w:pPr>
      <w:r>
        <w:rPr>
          <w:rFonts w:ascii="Arial" w:cs="Arial" w:eastAsia="Arial" w:hAnsi="Arial"/>
          <w:sz w:val="22"/>
          <w:szCs w:val="22"/>
        </w:rPr>
        <w:t xml:space="preserve">Secrets via cloud-native secret manager</w:t>
      </w:r>
    </w:p>
    <w:p>
      <w:pPr>
        <w:pStyle w:val="ListParagraph"/>
        <w:numPr>
          <w:ilvl w:val="0"/>
          <w:numId w:val="2"/>
        </w:numPr>
        <w:spacing w:after="60"/>
      </w:pPr>
      <w:r>
        <w:rPr>
          <w:rFonts w:ascii="Arial" w:cs="Arial" w:eastAsia="Arial" w:hAnsi="Arial"/>
          <w:sz w:val="22"/>
          <w:szCs w:val="22"/>
        </w:rPr>
        <w:t xml:space="preserve">CDN in front of client; TLS at LB</w:t>
      </w:r>
    </w:p>
    <w:p>
      <w:pPr>
        <w:pStyle w:val="Heading2"/>
        <w:spacing w:after="120" w:before="240"/>
      </w:pPr>
      <w:r>
        <w:rPr>
          <w:rFonts w:ascii="Arial" w:cs="Arial" w:eastAsia="Arial" w:hAnsi="Arial"/>
          <w:b/>
          <w:bCs/>
          <w:color w:val="263849"/>
          <w:sz w:val="30"/>
          <w:szCs w:val="30"/>
        </w:rPr>
        <w:t xml:space="preserve">13.9 Security</w:t>
      </w:r>
    </w:p>
    <w:p>
      <w:pPr>
        <w:pStyle w:val="ListParagraph"/>
        <w:numPr>
          <w:ilvl w:val="0"/>
          <w:numId w:val="2"/>
        </w:numPr>
        <w:spacing w:after="60"/>
      </w:pPr>
      <w:r>
        <w:rPr>
          <w:rFonts w:ascii="Arial" w:cs="Arial" w:eastAsia="Arial" w:hAnsi="Arial"/>
          <w:sz w:val="22"/>
          <w:szCs w:val="22"/>
        </w:rPr>
        <w:t xml:space="preserve">Every write endpoint is session-authenticated; DEMO_USER bypass MUST be unset in production.</w:t>
      </w:r>
    </w:p>
    <w:p>
      <w:pPr>
        <w:pStyle w:val="ListParagraph"/>
        <w:numPr>
          <w:ilvl w:val="0"/>
          <w:numId w:val="2"/>
        </w:numPr>
        <w:spacing w:after="60"/>
      </w:pPr>
      <w:r>
        <w:rPr>
          <w:rFonts w:ascii="Arial" w:cs="Arial" w:eastAsia="Arial" w:hAnsi="Arial"/>
          <w:sz w:val="22"/>
          <w:szCs w:val="22"/>
        </w:rPr>
        <w:t xml:space="preserve">RBAC via app_roles + role_permissions + app_entitlements; enforced in Starlette middleware.</w:t>
      </w:r>
    </w:p>
    <w:p>
      <w:pPr>
        <w:pStyle w:val="ListParagraph"/>
        <w:numPr>
          <w:ilvl w:val="0"/>
          <w:numId w:val="2"/>
        </w:numPr>
        <w:spacing w:after="60"/>
      </w:pPr>
      <w:r>
        <w:rPr>
          <w:rFonts w:ascii="Arial" w:cs="Arial" w:eastAsia="Arial" w:hAnsi="Arial"/>
          <w:sz w:val="22"/>
          <w:szCs w:val="22"/>
        </w:rPr>
        <w:t xml:space="preserve">PII in demo is synthetic; real deployments enable postgres RLS on organisation-scoped tables.</w:t>
      </w:r>
    </w:p>
    <w:p>
      <w:pPr>
        <w:pStyle w:val="ListParagraph"/>
        <w:numPr>
          <w:ilvl w:val="0"/>
          <w:numId w:val="2"/>
        </w:numPr>
        <w:spacing w:after="60"/>
      </w:pPr>
      <w:r>
        <w:rPr>
          <w:rFonts w:ascii="Arial" w:cs="Arial" w:eastAsia="Arial" w:hAnsi="Arial"/>
          <w:sz w:val="22"/>
          <w:szCs w:val="22"/>
        </w:rPr>
        <w:t xml:space="preserve">Uploaded documents virus-scanned on commit (hook point exists; no scanner in demo).</w:t>
      </w:r>
    </w:p>
    <w:p>
      <w:pPr>
        <w:pStyle w:val="ListParagraph"/>
        <w:numPr>
          <w:ilvl w:val="0"/>
          <w:numId w:val="2"/>
        </w:numPr>
        <w:spacing w:after="60"/>
      </w:pPr>
      <w:r>
        <w:rPr>
          <w:rFonts w:ascii="Arial" w:cs="Arial" w:eastAsia="Arial" w:hAnsi="Arial"/>
          <w:sz w:val="22"/>
          <w:szCs w:val="22"/>
        </w:rPr>
        <w:t xml:space="preserve">ai_audit_logs retention 7+ years typical for investor-contract compliance.</w:t>
      </w:r>
    </w:p>
    <w:p>
      <w:pPr>
        <w:pStyle w:val="ListParagraph"/>
        <w:numPr>
          <w:ilvl w:val="0"/>
          <w:numId w:val="2"/>
        </w:numPr>
        <w:spacing w:after="60"/>
      </w:pPr>
      <w:r>
        <w:rPr>
          <w:rFonts w:ascii="Arial" w:cs="Arial" w:eastAsia="Arial" w:hAnsi="Arial"/>
          <w:sz w:val="22"/>
          <w:szCs w:val="22"/>
        </w:rPr>
        <w:t xml:space="preserve">Production backups encrypted at rest.</w:t>
      </w:r>
    </w:p>
    <w:p>
      <w:pPr>
        <w:pStyle w:val="Heading2"/>
        <w:spacing w:after="120" w:before="240"/>
      </w:pPr>
      <w:r>
        <w:rPr>
          <w:rFonts w:ascii="Arial" w:cs="Arial" w:eastAsia="Arial" w:hAnsi="Arial"/>
          <w:b/>
          <w:bCs/>
          <w:color w:val="263849"/>
          <w:sz w:val="30"/>
          <w:szCs w:val="30"/>
        </w:rPr>
        <w:t xml:space="preserve">13.10 Observability</w:t>
      </w:r>
    </w:p>
    <w:p>
      <w:pPr>
        <w:pStyle w:val="ListParagraph"/>
        <w:numPr>
          <w:ilvl w:val="0"/>
          <w:numId w:val="2"/>
        </w:numPr>
        <w:spacing w:after="60"/>
      </w:pPr>
      <w:r>
        <w:rPr>
          <w:rFonts w:ascii="Arial" w:cs="Arial" w:eastAsia="Arial" w:hAnsi="Arial"/>
          <w:sz w:val="22"/>
          <w:szCs w:val="22"/>
        </w:rPr>
        <w:t xml:space="preserve">Structured JSON logs from server</w:t>
      </w:r>
    </w:p>
    <w:p>
      <w:pPr>
        <w:pStyle w:val="ListParagraph"/>
        <w:numPr>
          <w:ilvl w:val="0"/>
          <w:numId w:val="2"/>
        </w:numPr>
        <w:spacing w:after="60"/>
      </w:pPr>
      <w:r>
        <w:rPr>
          <w:rFonts w:ascii="Arial" w:cs="Arial" w:eastAsia="Arial" w:hAnsi="Arial"/>
          <w:sz w:val="22"/>
          <w:szCs w:val="22"/>
        </w:rPr>
        <w:t xml:space="preserve">Request-scoped correlation ID injected into logs + activity_events</w:t>
      </w:r>
    </w:p>
    <w:p>
      <w:pPr>
        <w:pStyle w:val="ListParagraph"/>
        <w:numPr>
          <w:ilvl w:val="0"/>
          <w:numId w:val="2"/>
        </w:numPr>
        <w:spacing w:after="60"/>
      </w:pPr>
      <w:r>
        <w:rPr>
          <w:rFonts w:ascii="Arial" w:cs="Arial" w:eastAsia="Arial" w:hAnsi="Arial"/>
          <w:sz w:val="22"/>
          <w:szCs w:val="22"/>
        </w:rPr>
        <w:t xml:space="preserve">Engine timings in activity_events.details (JSONB) — usable as p50/p95 source</w:t>
      </w:r>
    </w:p>
    <w:p>
      <w:pPr>
        <w:pStyle w:val="ListParagraph"/>
        <w:numPr>
          <w:ilvl w:val="0"/>
          <w:numId w:val="2"/>
        </w:numPr>
        <w:spacing w:after="60"/>
      </w:pPr>
      <w:r>
        <w:rPr>
          <w:rFonts w:ascii="Arial" w:cs="Arial" w:eastAsia="Arial" w:hAnsi="Arial"/>
          <w:sz w:val="22"/>
          <w:szCs w:val="22"/>
        </w:rPr>
        <w:t xml:space="preserve">Health endpoint exposes git sha + startup time</w:t>
      </w:r>
    </w:p>
    <w:p>
      <w:pPr>
        <w:pStyle w:val="Heading2"/>
        <w:spacing w:after="120" w:before="240"/>
      </w:pPr>
      <w:r>
        <w:rPr>
          <w:rFonts w:ascii="Arial" w:cs="Arial" w:eastAsia="Arial" w:hAnsi="Arial"/>
          <w:b/>
          <w:bCs/>
          <w:color w:val="263849"/>
          <w:sz w:val="30"/>
          <w:szCs w:val="30"/>
        </w:rPr>
        <w:t xml:space="preserve">13.11 Known limitations</w:t>
      </w:r>
    </w:p>
    <w:p>
      <w:pPr>
        <w:pStyle w:val="ListParagraph"/>
        <w:numPr>
          <w:ilvl w:val="0"/>
          <w:numId w:val="2"/>
        </w:numPr>
        <w:spacing w:after="60"/>
      </w:pPr>
      <w:r>
        <w:rPr>
          <w:rFonts w:ascii="Arial" w:cs="Arial" w:eastAsia="Arial" w:hAnsi="Arial"/>
          <w:sz w:val="22"/>
          <w:szCs w:val="22"/>
        </w:rPr>
        <w:t xml:space="preserve">No horizontal postgres scaling in demo; single-instance only.</w:t>
      </w:r>
    </w:p>
    <w:p>
      <w:pPr>
        <w:pStyle w:val="ListParagraph"/>
        <w:numPr>
          <w:ilvl w:val="0"/>
          <w:numId w:val="2"/>
        </w:numPr>
        <w:spacing w:after="60"/>
      </w:pPr>
      <w:r>
        <w:rPr>
          <w:rFonts w:ascii="Arial" w:cs="Arial" w:eastAsia="Arial" w:hAnsi="Arial"/>
          <w:sz w:val="22"/>
          <w:szCs w:val="22"/>
        </w:rPr>
        <w:t xml:space="preserve">No background task queue — engines run synchronously on commit.</w:t>
      </w:r>
    </w:p>
    <w:p>
      <w:pPr>
        <w:pStyle w:val="ListParagraph"/>
        <w:numPr>
          <w:ilvl w:val="0"/>
          <w:numId w:val="2"/>
        </w:numPr>
        <w:spacing w:after="60"/>
      </w:pPr>
      <w:r>
        <w:rPr>
          <w:rFonts w:ascii="Arial" w:cs="Arial" w:eastAsia="Arial" w:hAnsi="Arial"/>
          <w:sz w:val="22"/>
          <w:szCs w:val="22"/>
        </w:rPr>
        <w:t xml:space="preserve">No email delivery integration (notifications table only).</w:t>
      </w:r>
    </w:p>
    <w:p>
      <w:pPr>
        <w:pStyle w:val="ListParagraph"/>
        <w:numPr>
          <w:ilvl w:val="0"/>
          <w:numId w:val="2"/>
        </w:numPr>
        <w:spacing w:after="60"/>
      </w:pPr>
      <w:r>
        <w:rPr>
          <w:rFonts w:ascii="Arial" w:cs="Arial" w:eastAsia="Arial" w:hAnsi="Arial"/>
          <w:sz w:val="22"/>
          <w:szCs w:val="22"/>
        </w:rPr>
        <w:t xml:space="preserve">No CI/CD pipeline in repo — GitHub Actions / cloud-native pipelines per customer.</w:t>
      </w:r>
    </w:p>
    <w:p>
      <w:pPr>
        <w:pStyle w:val="Heading2"/>
        <w:spacing w:after="120" w:before="240"/>
      </w:pPr>
      <w:r>
        <w:rPr>
          <w:rFonts w:ascii="Arial" w:cs="Arial" w:eastAsia="Arial" w:hAnsi="Arial"/>
          <w:b/>
          <w:bCs/>
          <w:color w:val="263849"/>
          <w:sz w:val="30"/>
          <w:szCs w:val="30"/>
        </w:rPr>
        <w:t xml:space="preserve">13.12 Rebuild from zero</w:t>
      </w:r>
    </w:p>
    <w:p>
      <w:pPr>
        <w:pStyle w:val="ListParagraph"/>
        <w:numPr>
          <w:ilvl w:val="0"/>
          <w:numId w:val="2"/>
        </w:numPr>
        <w:spacing w:after="60"/>
      </w:pPr>
      <w:r>
        <w:rPr>
          <w:rFonts w:ascii="Arial" w:cs="Arial" w:eastAsia="Arial" w:hAnsi="Arial"/>
          <w:sz w:val="22"/>
          <w:szCs w:val="22"/>
        </w:rPr>
        <w:t xml:space="preserve">Install Docker + git</w:t>
      </w:r>
    </w:p>
    <w:p>
      <w:pPr>
        <w:pStyle w:val="ListParagraph"/>
        <w:numPr>
          <w:ilvl w:val="0"/>
          <w:numId w:val="2"/>
        </w:numPr>
        <w:spacing w:after="60"/>
      </w:pPr>
      <w:r>
        <w:rPr>
          <w:rFonts w:ascii="Arial" w:cs="Arial" w:eastAsia="Arial" w:hAnsi="Arial"/>
          <w:sz w:val="22"/>
          <w:szCs w:val="22"/>
        </w:rPr>
        <w:t xml:space="preserve">Clone repo. Checkout main</w:t>
      </w:r>
    </w:p>
    <w:p>
      <w:pPr>
        <w:pStyle w:val="ListParagraph"/>
        <w:numPr>
          <w:ilvl w:val="0"/>
          <w:numId w:val="2"/>
        </w:numPr>
        <w:spacing w:after="60"/>
      </w:pPr>
      <w:r>
        <w:rPr>
          <w:rFonts w:ascii="Arial" w:cs="Arial" w:eastAsia="Arial" w:hAnsi="Arial"/>
          <w:sz w:val="22"/>
          <w:szCs w:val="22"/>
        </w:rPr>
        <w:t xml:space="preserve">Build two custom images (13.3.1)</w:t>
      </w:r>
    </w:p>
    <w:p>
      <w:pPr>
        <w:pStyle w:val="ListParagraph"/>
        <w:numPr>
          <w:ilvl w:val="0"/>
          <w:numId w:val="2"/>
        </w:numPr>
        <w:spacing w:after="60"/>
      </w:pPr>
      <w:r>
        <w:rPr>
          <w:rFonts w:ascii="Arial" w:cs="Arial" w:eastAsia="Arial" w:hAnsi="Arial"/>
          <w:sz w:val="22"/>
          <w:szCs w:val="22"/>
        </w:rPr>
        <w:t xml:space="preserve">docker compose up -d in docker/</w:t>
      </w:r>
    </w:p>
    <w:p>
      <w:pPr>
        <w:pStyle w:val="ListParagraph"/>
        <w:numPr>
          <w:ilvl w:val="0"/>
          <w:numId w:val="2"/>
        </w:numPr>
        <w:spacing w:after="60"/>
      </w:pPr>
      <w:r>
        <w:rPr>
          <w:rFonts w:ascii="Arial" w:cs="Arial" w:eastAsia="Arial" w:hAnsi="Arial"/>
          <w:sz w:val="22"/>
          <w:szCs w:val="22"/>
        </w:rPr>
        <w:t xml:space="preserve">Wait for postgres healthcheck (~15s)</w:t>
      </w:r>
    </w:p>
    <w:p>
      <w:pPr>
        <w:pStyle w:val="ListParagraph"/>
        <w:numPr>
          <w:ilvl w:val="0"/>
          <w:numId w:val="2"/>
        </w:numPr>
        <w:spacing w:after="60"/>
      </w:pPr>
      <w:r>
        <w:rPr>
          <w:rFonts w:ascii="Arial" w:cs="Arial" w:eastAsia="Arial" w:hAnsi="Arial"/>
          <w:sz w:val="22"/>
          <w:szCs w:val="22"/>
        </w:rPr>
        <w:t xml:space="preserve">Browse http://localhost:3000 — /jps lands with 12 demo deals</w:t>
      </w:r>
    </w:p>
    <w:p>
      <w:pPr>
        <w:pStyle w:val="ListParagraph"/>
        <w:numPr>
          <w:ilvl w:val="0"/>
          <w:numId w:val="2"/>
        </w:numPr>
        <w:spacing w:after="60"/>
      </w:pPr>
      <w:r>
        <w:rPr>
          <w:rFonts w:ascii="Arial" w:cs="Arial" w:eastAsia="Arial" w:hAnsi="Arial"/>
          <w:sz w:val="22"/>
          <w:szCs w:val="22"/>
        </w:rPr>
        <w:t xml:space="preserve">Run bin/run-engines.sh to pre-warm computed outputs</w:t>
      </w:r>
    </w:p>
    <w:p>
      <w:pPr>
        <w:pStyle w:val="Heading1"/>
        <w:pageBreakBefore/>
        <w:spacing w:after="180" w:before="240"/>
      </w:pPr>
      <w:r>
        <w:rPr>
          <w:rFonts w:ascii="Arial" w:cs="Arial" w:eastAsia="Arial" w:hAnsi="Arial"/>
          <w:b/>
          <w:bCs/>
          <w:color w:val="1F6FA5"/>
          <w:sz w:val="40"/>
          <w:szCs w:val="40"/>
        </w:rPr>
        <w:t xml:space="preserve">Part XIV — Seed data and demo portfolio</w:t>
      </w:r>
    </w:p>
    <w:p>
      <w:pPr>
        <w:pStyle w:val="Heading2"/>
        <w:spacing w:after="120" w:before="240"/>
      </w:pPr>
      <w:r>
        <w:rPr>
          <w:rFonts w:ascii="Arial" w:cs="Arial" w:eastAsia="Arial" w:hAnsi="Arial"/>
          <w:b/>
          <w:bCs/>
          <w:color w:val="263849"/>
          <w:sz w:val="30"/>
          <w:szCs w:val="30"/>
        </w:rPr>
        <w:t xml:space="preserve">14.1 Seed philosophy</w:t>
      </w:r>
    </w:p>
    <w:p>
      <w:pPr>
        <w:spacing w:after="140" w:line="280"/>
        <w:jc w:val="both"/>
      </w:pPr>
      <w:r>
        <w:rPr>
          <w:rFonts w:ascii="Arial" w:cs="Arial" w:eastAsia="Arial" w:hAnsi="Arial"/>
          <w:sz w:val="22"/>
          <w:szCs w:val="22"/>
        </w:rPr>
        <w:t xml:space="preserve">The platform ships with a rich seed dataset so the UI is never empty and every engine has realistic inputs. Seeds live in postgres/init.sql (first-boot) and postgres/migrations.sql (idempotent additive). Rebuild via bin/db-rebuild.sh --reset.</w:t>
      </w:r>
    </w:p>
    <w:p>
      <w:pPr>
        <w:spacing w:after="140" w:line="280"/>
        <w:jc w:val="both"/>
      </w:pPr>
      <w:r>
        <w:rPr>
          <w:rFonts w:ascii="Arial" w:cs="Arial" w:eastAsia="Arial" w:hAnsi="Arial"/>
          <w:sz w:val="22"/>
          <w:szCs w:val="22"/>
        </w:rPr>
        <w:t xml:space="preserve">Deals are deliberately varied — three asset classes, three currencies, multiple sectors, and a deliberate mix of healthy / watchlist / impaired deals so the portfolio dashboard's KPI cards and distribution charts are populated.</w:t>
      </w:r>
    </w:p>
    <w:p>
      <w:pPr>
        <w:pStyle w:val="Heading2"/>
        <w:spacing w:after="120" w:before="240"/>
      </w:pPr>
      <w:r>
        <w:rPr>
          <w:rFonts w:ascii="Arial" w:cs="Arial" w:eastAsia="Arial" w:hAnsi="Arial"/>
          <w:b/>
          <w:bCs/>
          <w:color w:val="263849"/>
          <w:sz w:val="30"/>
          <w:szCs w:val="30"/>
        </w:rPr>
        <w:t xml:space="preserve">14.2 Demo portfolio — 12 deals</w:t>
      </w:r>
    </w:p>
    <w:p>
      <w:pPr>
        <w:pStyle w:val="Heading3"/>
        <w:spacing w:after="80" w:before="180"/>
      </w:pPr>
      <w:r>
        <w:rPr>
          <w:rFonts w:ascii="Arial" w:cs="Arial" w:eastAsia="Arial" w:hAnsi="Arial"/>
          <w:b/>
          <w:bCs/>
          <w:color w:val="263849"/>
          <w:sz w:val="26"/>
          <w:szCs w:val="26"/>
        </w:rPr>
        <w:t xml:space="preserve">Data centre (USD)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2000"/>
        <w:gridCol w:w="27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Deal</w:t>
            </w:r>
          </w:p>
        </w:tc>
        <w:tc>
          <w:tcPr>
            <w:tcW w:type="dxa" w:w="1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Sector</w:t>
            </w:r>
          </w:p>
        </w:tc>
        <w:tc>
          <w:tcPr>
            <w:tcW w:type="dxa" w:w="1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Ccy</w:t>
            </w:r>
          </w:p>
        </w:tc>
        <w:tc>
          <w:tcPr>
            <w:tcW w:type="dxa" w:w="2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Commitment</w:t>
            </w:r>
          </w:p>
        </w:tc>
        <w:tc>
          <w:tcPr>
            <w:tcW w:type="dxa" w:w="2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Role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Aurora Prime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 centre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420m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Flagship; IG performing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Granite Switchyard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 centre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275m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2; monitoring-band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Meridian Edge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 centre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EUR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180m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Tests FX conversion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Ion Harbor</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 centre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315m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Watchlist — deteriorating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Summit Loop</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 centre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250m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1 with recent erosion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Cobalt Grid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 centre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390m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Expansion phase — development phases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Apollo Edge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 centre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205m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Multi-tranche capital structure demo</w:t>
            </w:r>
          </w:p>
        </w:tc>
      </w:tr>
    </w:tbl>
    <w:p>
      <w:pPr>
        <w:pStyle w:val="Heading3"/>
        <w:spacing w:after="80" w:before="180"/>
      </w:pPr>
      <w:r>
        <w:rPr>
          <w:rFonts w:ascii="Arial" w:cs="Arial" w:eastAsia="Arial" w:hAnsi="Arial"/>
          <w:b/>
          <w:bCs/>
          <w:color w:val="263849"/>
          <w:sz w:val="26"/>
          <w:szCs w:val="26"/>
        </w:rPr>
        <w:t xml:space="preserve">Infrastructure (GBP / EUR)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300"/>
        <w:gridCol w:w="1400"/>
        <w:gridCol w:w="27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Deal</w:t>
            </w:r>
          </w:p>
        </w:tc>
        <w:tc>
          <w:tcPr>
            <w:tcW w:type="dxa" w:w="19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Sector</w:t>
            </w:r>
          </w:p>
        </w:tc>
        <w:tc>
          <w:tcPr>
            <w:tcW w:type="dxa" w:w="1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Ccy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Commitment</w:t>
            </w:r>
          </w:p>
        </w:tc>
        <w:tc>
          <w:tcPr>
            <w:tcW w:type="dxa" w:w="2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Role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North Sea OWF</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Offshore wind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540m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Anchor GBP; ESG margin ratchet active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 Solar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Solar PV</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145m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Single-variant stress on irradiance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M6 Toll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Toll road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320m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 headroom closely watched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Getlink Eurotunnel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Rail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EUR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450m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Multi-jurisdiction; uses jurisdiction splits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Gatwick Airport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Airport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680m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Fully-wired PF worked example; KPI scenarios</w:t>
            </w:r>
          </w:p>
        </w:tc>
      </w:tr>
    </w:tbl>
    <w:p>
      <w:pPr>
        <w:pStyle w:val="Heading3"/>
        <w:spacing w:after="80" w:before="180"/>
      </w:pPr>
      <w:r>
        <w:rPr>
          <w:rFonts w:ascii="Arial" w:cs="Arial" w:eastAsia="Arial" w:hAnsi="Arial"/>
          <w:b/>
          <w:bCs/>
          <w:color w:val="263849"/>
          <w:sz w:val="26"/>
          <w:szCs w:val="26"/>
        </w:rPr>
        <w:t xml:space="preserve">Real estate (EUR)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300"/>
        <w:gridCol w:w="1400"/>
        <w:gridCol w:w="27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Deal</w:t>
            </w:r>
          </w:p>
        </w:tc>
        <w:tc>
          <w:tcPr>
            <w:tcW w:type="dxa" w:w="19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Sector</w:t>
            </w:r>
          </w:p>
        </w:tc>
        <w:tc>
          <w:tcPr>
            <w:tcW w:type="dxa" w:w="1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Ccy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Commitment</w:t>
            </w:r>
          </w:p>
        </w:tc>
        <w:tc>
          <w:tcPr>
            <w:tcW w:type="dxa" w:w="2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Role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Beta PRS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PRS residential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EUR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210m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2; rent-indexation demo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Delta PRS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PRS residential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EUR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185m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1; paired with Beta for sector comparison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Project Alpha Port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 terminal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EUR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295m</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Multi-tranche demo</w:t>
            </w:r>
          </w:p>
        </w:tc>
      </w:tr>
    </w:tbl>
    <w:p>
      <w:pPr>
        <w:pStyle w:val="Heading2"/>
        <w:spacing w:after="120" w:before="240"/>
      </w:pPr>
      <w:r>
        <w:rPr>
          <w:rFonts w:ascii="Arial" w:cs="Arial" w:eastAsia="Arial" w:hAnsi="Arial"/>
          <w:b/>
          <w:bCs/>
          <w:color w:val="263849"/>
          <w:sz w:val="30"/>
          <w:szCs w:val="30"/>
        </w:rPr>
        <w:t xml:space="preserve">14.3 Per-deal seed contents</w:t>
      </w:r>
    </w:p>
    <w:p>
      <w:pPr>
        <w:pStyle w:val="ListParagraph"/>
        <w:numPr>
          <w:ilvl w:val="0"/>
          <w:numId w:val="2"/>
        </w:numPr>
        <w:spacing w:after="60"/>
      </w:pPr>
      <w:r>
        <w:rPr>
          <w:rFonts w:ascii="Arial" w:cs="Arial" w:eastAsia="Arial" w:hAnsi="Arial"/>
          <w:sz w:val="22"/>
          <w:szCs w:val="22"/>
        </w:rPr>
        <w:t xml:space="preserve">deals — anchor row with identity, dates, narrative, valuation</w:t>
      </w:r>
    </w:p>
    <w:p>
      <w:pPr>
        <w:pStyle w:val="ListParagraph"/>
        <w:numPr>
          <w:ilvl w:val="0"/>
          <w:numId w:val="2"/>
        </w:numPr>
        <w:spacing w:after="60"/>
      </w:pPr>
      <w:r>
        <w:rPr>
          <w:rFonts w:ascii="Arial" w:cs="Arial" w:eastAsia="Arial" w:hAnsi="Arial"/>
          <w:sz w:val="22"/>
          <w:szCs w:val="22"/>
        </w:rPr>
        <w:t xml:space="preserve">capital_structure_instruments — 1–4 per deal (senior, mezz, shareholder where relevant)</w:t>
      </w:r>
    </w:p>
    <w:p>
      <w:pPr>
        <w:pStyle w:val="ListParagraph"/>
        <w:numPr>
          <w:ilvl w:val="0"/>
          <w:numId w:val="2"/>
        </w:numPr>
        <w:spacing w:after="60"/>
      </w:pPr>
      <w:r>
        <w:rPr>
          <w:rFonts w:ascii="Arial" w:cs="Arial" w:eastAsia="Arial" w:hAnsi="Arial"/>
          <w:sz w:val="22"/>
          <w:szCs w:val="22"/>
        </w:rPr>
        <w:t xml:space="preserve">capital_structure_margin_ratchets — at least North Sea OWF has an ESG SPT</w:t>
      </w:r>
    </w:p>
    <w:p>
      <w:pPr>
        <w:pStyle w:val="ListParagraph"/>
        <w:numPr>
          <w:ilvl w:val="0"/>
          <w:numId w:val="2"/>
        </w:numPr>
        <w:spacing w:after="60"/>
      </w:pPr>
      <w:r>
        <w:rPr>
          <w:rFonts w:ascii="Arial" w:cs="Arial" w:eastAsia="Arial" w:hAnsi="Arial"/>
          <w:sz w:val="22"/>
          <w:szCs w:val="22"/>
        </w:rPr>
        <w:t xml:space="preserve">corporate_entities — BorrowerCo / HoldCo / OpCo / Sponsor, 3–6 rows</w:t>
      </w:r>
    </w:p>
    <w:p>
      <w:pPr>
        <w:pStyle w:val="ListParagraph"/>
        <w:numPr>
          <w:ilvl w:val="0"/>
          <w:numId w:val="2"/>
        </w:numPr>
        <w:spacing w:after="60"/>
      </w:pPr>
      <w:r>
        <w:rPr>
          <w:rFonts w:ascii="Arial" w:cs="Arial" w:eastAsia="Arial" w:hAnsi="Arial"/>
          <w:sz w:val="22"/>
          <w:szCs w:val="22"/>
        </w:rPr>
        <w:t xml:space="preserve">deal_counterparties — EPC, O&amp;M, offtaker, agent, auditor</w:t>
      </w:r>
    </w:p>
    <w:p>
      <w:pPr>
        <w:pStyle w:val="ListParagraph"/>
        <w:numPr>
          <w:ilvl w:val="0"/>
          <w:numId w:val="2"/>
        </w:numPr>
        <w:spacing w:after="60"/>
      </w:pPr>
      <w:r>
        <w:rPr>
          <w:rFonts w:ascii="Arial" w:cs="Arial" w:eastAsia="Arial" w:hAnsi="Arial"/>
          <w:sz w:val="22"/>
          <w:szCs w:val="22"/>
        </w:rPr>
        <w:t xml:space="preserve">deal_reserve_accounts + deal_reserve_history — 6–18 months</w:t>
      </w:r>
    </w:p>
    <w:p>
      <w:pPr>
        <w:pStyle w:val="ListParagraph"/>
        <w:numPr>
          <w:ilvl w:val="0"/>
          <w:numId w:val="2"/>
        </w:numPr>
        <w:spacing w:after="60"/>
      </w:pPr>
      <w:r>
        <w:rPr>
          <w:rFonts w:ascii="Arial" w:cs="Arial" w:eastAsia="Arial" w:hAnsi="Arial"/>
          <w:sz w:val="22"/>
          <w:szCs w:val="22"/>
        </w:rPr>
        <w:t xml:space="preserve">covenant_thresholds — DSCR + sector-appropriate collateral</w:t>
      </w:r>
    </w:p>
    <w:p>
      <w:pPr>
        <w:pStyle w:val="ListParagraph"/>
        <w:numPr>
          <w:ilvl w:val="0"/>
          <w:numId w:val="2"/>
        </w:numPr>
        <w:spacing w:after="60"/>
      </w:pPr>
      <w:r>
        <w:rPr>
          <w:rFonts w:ascii="Arial" w:cs="Arial" w:eastAsia="Arial" w:hAnsi="Arial"/>
          <w:sz w:val="22"/>
          <w:szCs w:val="22"/>
        </w:rPr>
        <w:t xml:space="preserve">deal_distribution_conditions — typical gate stack</w:t>
      </w:r>
    </w:p>
    <w:p>
      <w:pPr>
        <w:pStyle w:val="ListParagraph"/>
        <w:numPr>
          <w:ilvl w:val="0"/>
          <w:numId w:val="2"/>
        </w:numPr>
        <w:spacing w:after="60"/>
      </w:pPr>
      <w:r>
        <w:rPr>
          <w:rFonts w:ascii="Arial" w:cs="Arial" w:eastAsia="Arial" w:hAnsi="Arial"/>
          <w:sz w:val="22"/>
          <w:szCs w:val="22"/>
        </w:rPr>
        <w:t xml:space="preserve">deal_risk_register — 4–8 risks per deal</w:t>
      </w:r>
    </w:p>
    <w:p>
      <w:pPr>
        <w:pStyle w:val="ListParagraph"/>
        <w:numPr>
          <w:ilvl w:val="0"/>
          <w:numId w:val="2"/>
        </w:numPr>
        <w:spacing w:after="60"/>
      </w:pPr>
      <w:r>
        <w:rPr>
          <w:rFonts w:ascii="Arial" w:cs="Arial" w:eastAsia="Arial" w:hAnsi="Arial"/>
          <w:sz w:val="22"/>
          <w:szCs w:val="22"/>
        </w:rPr>
        <w:t xml:space="preserve">deal_reporting_schedule + deal_reporting_periods — 16–24 historical + forecast horizon</w:t>
      </w:r>
    </w:p>
    <w:p>
      <w:pPr>
        <w:pStyle w:val="ListParagraph"/>
        <w:numPr>
          <w:ilvl w:val="0"/>
          <w:numId w:val="2"/>
        </w:numPr>
        <w:spacing w:after="60"/>
      </w:pPr>
      <w:r>
        <w:rPr>
          <w:rFonts w:ascii="Arial" w:cs="Arial" w:eastAsia="Arial" w:hAnsi="Arial"/>
          <w:sz w:val="22"/>
          <w:szCs w:val="22"/>
        </w:rPr>
        <w:t xml:space="preserve">period_financial_items — actuals for every closed period × every line</w:t>
      </w:r>
    </w:p>
    <w:p>
      <w:pPr>
        <w:pStyle w:val="ListParagraph"/>
        <w:numPr>
          <w:ilvl w:val="0"/>
          <w:numId w:val="2"/>
        </w:numPr>
        <w:spacing w:after="60"/>
      </w:pPr>
      <w:r>
        <w:rPr>
          <w:rFonts w:ascii="Arial" w:cs="Arial" w:eastAsia="Arial" w:hAnsi="Arial"/>
          <w:sz w:val="22"/>
          <w:szCs w:val="22"/>
        </w:rPr>
        <w:t xml:space="preserve">forecast_cases + versions + forecast_period_items — management/lender/combined_downside; single_variant_stress only Gatwick</w:t>
      </w:r>
    </w:p>
    <w:p>
      <w:pPr>
        <w:pStyle w:val="ListParagraph"/>
        <w:numPr>
          <w:ilvl w:val="0"/>
          <w:numId w:val="2"/>
        </w:numPr>
        <w:spacing w:after="60"/>
      </w:pPr>
      <w:r>
        <w:rPr>
          <w:rFonts w:ascii="Arial" w:cs="Arial" w:eastAsia="Arial" w:hAnsi="Arial"/>
          <w:sz w:val="22"/>
          <w:szCs w:val="22"/>
        </w:rPr>
        <w:t xml:space="preserve">deal_kpi_observations — actuals matching reporting periods</w:t>
      </w:r>
    </w:p>
    <w:p>
      <w:pPr>
        <w:pStyle w:val="ListParagraph"/>
        <w:numPr>
          <w:ilvl w:val="0"/>
          <w:numId w:val="2"/>
        </w:numPr>
        <w:spacing w:after="60"/>
      </w:pPr>
      <w:r>
        <w:rPr>
          <w:rFonts w:ascii="Arial" w:cs="Arial" w:eastAsia="Arial" w:hAnsi="Arial"/>
          <w:sz w:val="22"/>
          <w:szCs w:val="22"/>
        </w:rPr>
        <w:t xml:space="preserve">deal_obligation_register — 8–15 obligations over next 12 months</w:t>
      </w:r>
    </w:p>
    <w:p>
      <w:pPr>
        <w:pStyle w:val="ListParagraph"/>
        <w:numPr>
          <w:ilvl w:val="0"/>
          <w:numId w:val="2"/>
        </w:numPr>
        <w:spacing w:after="60"/>
      </w:pPr>
      <w:r>
        <w:rPr>
          <w:rFonts w:ascii="Arial" w:cs="Arial" w:eastAsia="Arial" w:hAnsi="Arial"/>
          <w:sz w:val="22"/>
          <w:szCs w:val="22"/>
        </w:rPr>
        <w:t xml:space="preserve">deal_amendments — 0–2 historical per deal</w:t>
      </w:r>
    </w:p>
    <w:p>
      <w:pPr>
        <w:pStyle w:val="Heading2"/>
        <w:spacing w:after="120" w:before="240"/>
      </w:pPr>
      <w:r>
        <w:rPr>
          <w:rFonts w:ascii="Arial" w:cs="Arial" w:eastAsia="Arial" w:hAnsi="Arial"/>
          <w:b/>
          <w:bCs/>
          <w:color w:val="263849"/>
          <w:sz w:val="30"/>
          <w:szCs w:val="30"/>
        </w:rPr>
        <w:t xml:space="preserve">14.4 Reference data</w:t>
      </w:r>
    </w:p>
    <w:p>
      <w:pPr>
        <w:pStyle w:val="Heading3"/>
        <w:spacing w:after="80" w:before="180"/>
      </w:pPr>
      <w:r>
        <w:rPr>
          <w:rFonts w:ascii="Arial" w:cs="Arial" w:eastAsia="Arial" w:hAnsi="Arial"/>
          <w:b/>
          <w:bCs/>
          <w:color w:val="263849"/>
          <w:sz w:val="26"/>
          <w:szCs w:val="26"/>
        </w:rPr>
        <w:t xml:space="preserve">Line items (181 total)</w:t>
      </w:r>
    </w:p>
    <w:p>
      <w:pPr>
        <w:pStyle w:val="ListParagraph"/>
        <w:numPr>
          <w:ilvl w:val="0"/>
          <w:numId w:val="2"/>
        </w:numPr>
        <w:spacing w:after="60"/>
      </w:pPr>
      <w:r>
        <w:rPr>
          <w:rFonts w:ascii="Arial" w:cs="Arial" w:eastAsia="Arial" w:hAnsi="Arial"/>
          <w:sz w:val="22"/>
          <w:szCs w:val="22"/>
        </w:rPr>
        <w:t xml:space="preserve">Cashflow model rows (67): revenue, opex, EBITDA build, WC, CFADS, debt service, reserves</w:t>
      </w:r>
    </w:p>
    <w:p>
      <w:pPr>
        <w:pStyle w:val="ListParagraph"/>
        <w:numPr>
          <w:ilvl w:val="0"/>
          <w:numId w:val="2"/>
        </w:numPr>
        <w:spacing w:after="60"/>
      </w:pPr>
      <w:r>
        <w:rPr>
          <w:rFonts w:ascii="Arial" w:cs="Arial" w:eastAsia="Arial" w:hAnsi="Arial"/>
          <w:sz w:val="22"/>
          <w:szCs w:val="22"/>
        </w:rPr>
        <w:t xml:space="preserve">P&amp;L: Revenue, Opex, Depreciation, EBIT, Interest, Tax, Net income</w:t>
      </w:r>
    </w:p>
    <w:p>
      <w:pPr>
        <w:pStyle w:val="ListParagraph"/>
        <w:numPr>
          <w:ilvl w:val="0"/>
          <w:numId w:val="2"/>
        </w:numPr>
        <w:spacing w:after="60"/>
      </w:pPr>
      <w:r>
        <w:rPr>
          <w:rFonts w:ascii="Arial" w:cs="Arial" w:eastAsia="Arial" w:hAnsi="Arial"/>
          <w:sz w:val="22"/>
          <w:szCs w:val="22"/>
        </w:rPr>
        <w:t xml:space="preserve">Balance sheet: Cash, CA, PPE, Reserves, Debt, Equity</w:t>
      </w:r>
    </w:p>
    <w:p>
      <w:pPr>
        <w:pStyle w:val="ListParagraph"/>
        <w:numPr>
          <w:ilvl w:val="0"/>
          <w:numId w:val="2"/>
        </w:numPr>
        <w:spacing w:after="60"/>
      </w:pPr>
      <w:r>
        <w:rPr>
          <w:rFonts w:ascii="Arial" w:cs="Arial" w:eastAsia="Arial" w:hAnsi="Arial"/>
          <w:sz w:val="22"/>
          <w:szCs w:val="22"/>
        </w:rPr>
        <w:t xml:space="preserve">Covenant ratios (21): LLCR, PLCR, LTV, ACR, PMICR, DSCR (hist/fwd), Gearing, ICR, ND/EBITDA + sector-specific</w:t>
      </w:r>
    </w:p>
    <w:p>
      <w:pPr>
        <w:pStyle w:val="ListParagraph"/>
        <w:numPr>
          <w:ilvl w:val="0"/>
          <w:numId w:val="2"/>
        </w:numPr>
        <w:spacing w:after="60"/>
      </w:pPr>
      <w:r>
        <w:rPr>
          <w:rFonts w:ascii="Arial" w:cs="Arial" w:eastAsia="Arial" w:hAnsi="Arial"/>
          <w:sz w:val="22"/>
          <w:szCs w:val="22"/>
        </w:rPr>
        <w:t xml:space="preserve">Moody's ratios (12): FFO/ND, RCF/ND, AICR, Total DSCR, ADSCR Break-Even, Cash ICR, Avg/Min DSCR, Avg LLCR, Avg PLCR, Avg LTV, Debt/RCF</w:t>
      </w:r>
    </w:p>
    <w:p>
      <w:pPr>
        <w:pStyle w:val="ListParagraph"/>
        <w:numPr>
          <w:ilvl w:val="0"/>
          <w:numId w:val="2"/>
        </w:numPr>
        <w:spacing w:after="60"/>
      </w:pPr>
      <w:r>
        <w:rPr>
          <w:rFonts w:ascii="Arial" w:cs="Arial" w:eastAsia="Arial" w:hAnsi="Arial"/>
          <w:sz w:val="22"/>
          <w:szCs w:val="22"/>
        </w:rPr>
        <w:t xml:space="preserve">Sector KPIs: sector_kpi_1..n per sector. Gatwick: passengers, aero rev/pax, non-aero rev/pax, EBITDA/pax, cost/pax</w:t>
      </w:r>
    </w:p>
    <w:p>
      <w:pPr>
        <w:pStyle w:val="Heading3"/>
        <w:spacing w:after="80" w:before="180"/>
      </w:pPr>
      <w:r>
        <w:rPr>
          <w:rFonts w:ascii="Arial" w:cs="Arial" w:eastAsia="Arial" w:hAnsi="Arial"/>
          <w:b/>
          <w:bCs/>
          <w:color w:val="263849"/>
          <w:sz w:val="26"/>
          <w:szCs w:val="26"/>
        </w:rPr>
        <w:t xml:space="preserve">Risk taxonomy</w:t>
      </w:r>
    </w:p>
    <w:p>
      <w:pPr>
        <w:spacing w:after="140" w:line="280"/>
        <w:jc w:val="both"/>
      </w:pPr>
      <w:r>
        <w:rPr>
          <w:rFonts w:ascii="Arial" w:cs="Arial" w:eastAsia="Arial" w:hAnsi="Arial"/>
          <w:sz w:val="22"/>
          <w:szCs w:val="22"/>
        </w:rPr>
        <w:t xml:space="preserve">risk_taxonomy: hierarchical tree with ~80 nodes across Technology, Market, Counterparty, Regulatory, ESG, Operational, Macro/FX, Liquidity.</w:t>
      </w:r>
    </w:p>
    <w:p>
      <w:pPr>
        <w:pStyle w:val="Heading3"/>
        <w:spacing w:after="80" w:before="180"/>
      </w:pPr>
      <w:r>
        <w:rPr>
          <w:rFonts w:ascii="Arial" w:cs="Arial" w:eastAsia="Arial" w:hAnsi="Arial"/>
          <w:b/>
          <w:bCs/>
          <w:color w:val="263849"/>
          <w:sz w:val="26"/>
          <w:szCs w:val="26"/>
        </w:rPr>
        <w:t xml:space="preserve">Obligation taxonomy</w:t>
      </w:r>
    </w:p>
    <w:p>
      <w:pPr>
        <w:spacing w:after="140" w:line="280"/>
        <w:jc w:val="both"/>
      </w:pPr>
      <w:r>
        <w:rPr>
          <w:rFonts w:ascii="Arial" w:cs="Arial" w:eastAsia="Arial" w:hAnsi="Arial"/>
          <w:sz w:val="22"/>
          <w:szCs w:val="22"/>
        </w:rPr>
        <w:t xml:space="preserve">obligation_taxonomy categorises deliverables into Reporting, Insurance, Operational, Financial-covenant, Statutory, Agreement. Ties to Business Day Engine via jurisdiction + day_convention.</w:t>
      </w:r>
    </w:p>
    <w:p>
      <w:pPr>
        <w:pStyle w:val="Heading3"/>
        <w:spacing w:after="80" w:before="180"/>
      </w:pPr>
      <w:r>
        <w:rPr>
          <w:rFonts w:ascii="Arial" w:cs="Arial" w:eastAsia="Arial" w:hAnsi="Arial"/>
          <w:b/>
          <w:bCs/>
          <w:color w:val="263849"/>
          <w:sz w:val="26"/>
          <w:szCs w:val="26"/>
        </w:rPr>
        <w:t xml:space="preserve">FX rates</w:t>
      </w:r>
    </w:p>
    <w:p>
      <w:pPr>
        <w:spacing w:after="140" w:line="280"/>
        <w:jc w:val="both"/>
      </w:pPr>
      <w:r>
        <w:rPr>
          <w:rFonts w:ascii="Arial" w:cs="Arial" w:eastAsia="Arial" w:hAnsi="Arial"/>
          <w:sz w:val="22"/>
          <w:szCs w:val="22"/>
        </w:rPr>
        <w:t xml:space="preserve">fx_rates seeded with 13 currencies (EUR, USD, GBP, JPY, CHF, AUD, CAD, NOK, SEK, DKK, NZD, SGD, HKD) as at 2026-04-14, source 'ECB-seed'. Precision: 5 decimal places.</w:t>
      </w:r>
    </w:p>
    <w:p>
      <w:pPr>
        <w:pStyle w:val="Heading3"/>
        <w:spacing w:after="80" w:before="180"/>
      </w:pPr>
      <w:r>
        <w:rPr>
          <w:rFonts w:ascii="Arial" w:cs="Arial" w:eastAsia="Arial" w:hAnsi="Arial"/>
          <w:b/>
          <w:bCs/>
          <w:color w:val="263849"/>
          <w:sz w:val="26"/>
          <w:szCs w:val="26"/>
        </w:rPr>
        <w:t xml:space="preserve">Holidays</w:t>
      </w:r>
    </w:p>
    <w:p>
      <w:pPr>
        <w:spacing w:after="140" w:line="280"/>
        <w:jc w:val="both"/>
      </w:pPr>
      <w:r>
        <w:rPr>
          <w:rFonts w:ascii="Arial" w:cs="Arial" w:eastAsia="Arial" w:hAnsi="Arial"/>
          <w:sz w:val="22"/>
          <w:szCs w:val="22"/>
        </w:rPr>
        <w:t xml:space="preserve">483 holidays across 7 jurisdictions (UK, US, DE, FR, NL, IE, CH, AU) for 2024–2030. Feeds Business Day Engine.</w:t>
      </w:r>
    </w:p>
    <w:p>
      <w:pPr>
        <w:pStyle w:val="Heading3"/>
        <w:spacing w:after="80" w:before="180"/>
      </w:pPr>
      <w:r>
        <w:rPr>
          <w:rFonts w:ascii="Arial" w:cs="Arial" w:eastAsia="Arial" w:hAnsi="Arial"/>
          <w:b/>
          <w:bCs/>
          <w:color w:val="263849"/>
          <w:sz w:val="26"/>
          <w:szCs w:val="26"/>
        </w:rPr>
        <w:t xml:space="preserve">Organisation &amp; user seed</w:t>
      </w:r>
    </w:p>
    <w:p>
      <w:pPr>
        <w:pStyle w:val="ListParagraph"/>
        <w:numPr>
          <w:ilvl w:val="0"/>
          <w:numId w:val="2"/>
        </w:numPr>
        <w:spacing w:after="60"/>
      </w:pPr>
      <w:r>
        <w:rPr>
          <w:rFonts w:ascii="Arial" w:cs="Arial" w:eastAsia="Arial" w:hAnsi="Arial"/>
          <w:sz w:val="22"/>
          <w:szCs w:val="22"/>
        </w:rPr>
        <w:t xml:space="preserve">platform_clients: 1 demo ("Sesame Street Capital")</w:t>
      </w:r>
    </w:p>
    <w:p>
      <w:pPr>
        <w:pStyle w:val="ListParagraph"/>
        <w:numPr>
          <w:ilvl w:val="0"/>
          <w:numId w:val="2"/>
        </w:numPr>
        <w:spacing w:after="60"/>
      </w:pPr>
      <w:r>
        <w:rPr>
          <w:rFonts w:ascii="Arial" w:cs="Arial" w:eastAsia="Arial" w:hAnsi="Arial"/>
          <w:sz w:val="22"/>
          <w:szCs w:val="22"/>
        </w:rPr>
        <w:t xml:space="preserve">organisations: 3 (one investment manager, two funds)</w:t>
      </w:r>
    </w:p>
    <w:p>
      <w:pPr>
        <w:pStyle w:val="ListParagraph"/>
        <w:numPr>
          <w:ilvl w:val="0"/>
          <w:numId w:val="2"/>
        </w:numPr>
        <w:spacing w:after="60"/>
      </w:pPr>
      <w:r>
        <w:rPr>
          <w:rFonts w:ascii="Arial" w:cs="Arial" w:eastAsia="Arial" w:hAnsi="Arial"/>
          <w:sz w:val="22"/>
          <w:szCs w:val="22"/>
        </w:rPr>
        <w:t xml:space="preserve">portfolio_owners: 5 named</w:t>
      </w:r>
    </w:p>
    <w:p>
      <w:pPr>
        <w:pStyle w:val="ListParagraph"/>
        <w:numPr>
          <w:ilvl w:val="0"/>
          <w:numId w:val="2"/>
        </w:numPr>
        <w:spacing w:after="60"/>
      </w:pPr>
      <w:r>
        <w:rPr>
          <w:rFonts w:ascii="Arial" w:cs="Arial" w:eastAsia="Arial" w:hAnsi="Arial"/>
          <w:sz w:val="22"/>
          <w:szCs w:val="22"/>
        </w:rPr>
        <w:t xml:space="preserve">accounts + holdings + allocations: every instrument has a holding with named account</w:t>
      </w:r>
    </w:p>
    <w:p>
      <w:pPr>
        <w:pStyle w:val="ListParagraph"/>
        <w:numPr>
          <w:ilvl w:val="0"/>
          <w:numId w:val="2"/>
        </w:numPr>
        <w:spacing w:after="60"/>
      </w:pPr>
      <w:r>
        <w:rPr>
          <w:rFonts w:ascii="Arial" w:cs="Arial" w:eastAsia="Arial" w:hAnsi="Arial"/>
          <w:sz w:val="22"/>
          <w:szCs w:val="22"/>
        </w:rPr>
        <w:t xml:space="preserve">app_users: 6 across Analyst / PM / Risk / Head of Credit / Admin / External</w:t>
      </w:r>
    </w:p>
    <w:p>
      <w:pPr>
        <w:pStyle w:val="ListParagraph"/>
        <w:numPr>
          <w:ilvl w:val="0"/>
          <w:numId w:val="2"/>
        </w:numPr>
        <w:spacing w:after="60"/>
      </w:pPr>
      <w:r>
        <w:rPr>
          <w:rFonts w:ascii="Arial" w:cs="Arial" w:eastAsia="Arial" w:hAnsi="Arial"/>
          <w:sz w:val="22"/>
          <w:szCs w:val="22"/>
        </w:rPr>
        <w:t xml:space="preserve">app_roles + role_permissions: full RBAC matrix</w:t>
      </w:r>
    </w:p>
    <w:p>
      <w:pPr>
        <w:pStyle w:val="Heading2"/>
        <w:spacing w:after="120" w:before="240"/>
      </w:pPr>
      <w:r>
        <w:rPr>
          <w:rFonts w:ascii="Arial" w:cs="Arial" w:eastAsia="Arial" w:hAnsi="Arial"/>
          <w:b/>
          <w:bCs/>
          <w:color w:val="263849"/>
          <w:sz w:val="30"/>
          <w:szCs w:val="30"/>
        </w:rPr>
        <w:t xml:space="preserve">14.5 Pre-computed engine outputs</w:t>
      </w:r>
    </w:p>
    <w:p>
      <w:pPr>
        <w:spacing w:after="140" w:line="280"/>
        <w:jc w:val="both"/>
      </w:pPr>
      <w:r>
        <w:rPr>
          <w:rFonts w:ascii="Arial" w:cs="Arial" w:eastAsia="Arial" w:hAnsi="Arial"/>
          <w:sz w:val="22"/>
          <w:szCs w:val="22"/>
        </w:rPr>
        <w:t xml:space="preserve">Seed runs each engine once over loaded data so UI is non-empty on first boot:</w:t>
      </w:r>
    </w:p>
    <w:p>
      <w:pPr>
        <w:pStyle w:val="ListParagraph"/>
        <w:numPr>
          <w:ilvl w:val="0"/>
          <w:numId w:val="2"/>
        </w:numPr>
        <w:spacing w:after="60"/>
      </w:pPr>
      <w:r>
        <w:rPr>
          <w:rFonts w:ascii="Arial" w:cs="Arial" w:eastAsia="Arial" w:hAnsi="Arial"/>
          <w:sz w:val="22"/>
          <w:szCs w:val="22"/>
        </w:rPr>
        <w:t xml:space="preserve">deal_assessments + performance_assessments — one grade per deal</w:t>
      </w:r>
    </w:p>
    <w:p>
      <w:pPr>
        <w:pStyle w:val="ListParagraph"/>
        <w:numPr>
          <w:ilvl w:val="0"/>
          <w:numId w:val="2"/>
        </w:numPr>
        <w:spacing w:after="60"/>
      </w:pPr>
      <w:r>
        <w:rPr>
          <w:rFonts w:ascii="Arial" w:cs="Arial" w:eastAsia="Arial" w:hAnsi="Arial"/>
          <w:sz w:val="22"/>
          <w:szCs w:val="22"/>
        </w:rPr>
        <w:t xml:space="preserve">trend_records — one band per deal</w:t>
      </w:r>
    </w:p>
    <w:p>
      <w:pPr>
        <w:pStyle w:val="ListParagraph"/>
        <w:numPr>
          <w:ilvl w:val="0"/>
          <w:numId w:val="2"/>
        </w:numPr>
        <w:spacing w:after="60"/>
      </w:pPr>
      <w:r>
        <w:rPr>
          <w:rFonts w:ascii="Arial" w:cs="Arial" w:eastAsia="Arial" w:hAnsi="Arial"/>
          <w:sz w:val="22"/>
          <w:szCs w:val="22"/>
        </w:rPr>
        <w:t xml:space="preserve">covenant_tests — per active covenant per period</w:t>
      </w:r>
    </w:p>
    <w:p>
      <w:pPr>
        <w:pStyle w:val="ListParagraph"/>
        <w:numPr>
          <w:ilvl w:val="0"/>
          <w:numId w:val="2"/>
        </w:numPr>
        <w:spacing w:after="60"/>
      </w:pPr>
      <w:r>
        <w:rPr>
          <w:rFonts w:ascii="Arial" w:cs="Arial" w:eastAsia="Arial" w:hAnsi="Arial"/>
          <w:sz w:val="22"/>
          <w:szCs w:val="22"/>
        </w:rPr>
        <w:t xml:space="preserve">distribution_assessments — latest per deal</w:t>
      </w:r>
    </w:p>
    <w:p>
      <w:pPr>
        <w:pStyle w:val="ListParagraph"/>
        <w:numPr>
          <w:ilvl w:val="0"/>
          <w:numId w:val="2"/>
        </w:numPr>
        <w:spacing w:after="60"/>
      </w:pPr>
      <w:r>
        <w:rPr>
          <w:rFonts w:ascii="Arial" w:cs="Arial" w:eastAsia="Arial" w:hAnsi="Arial"/>
          <w:sz w:val="22"/>
          <w:szCs w:val="22"/>
        </w:rPr>
        <w:t xml:space="preserve">financial_variances — latest actual period vs management case</w:t>
      </w:r>
    </w:p>
    <w:p>
      <w:pPr>
        <w:pStyle w:val="ListParagraph"/>
        <w:numPr>
          <w:ilvl w:val="0"/>
          <w:numId w:val="2"/>
        </w:numPr>
        <w:spacing w:after="60"/>
      </w:pPr>
      <w:r>
        <w:rPr>
          <w:rFonts w:ascii="Arial" w:cs="Arial" w:eastAsia="Arial" w:hAnsi="Arial"/>
          <w:sz w:val="22"/>
          <w:szCs w:val="22"/>
        </w:rPr>
        <w:t xml:space="preserve">ratio_reconciliations — per deal per period</w:t>
      </w:r>
    </w:p>
    <w:p>
      <w:pPr>
        <w:pStyle w:val="Heading2"/>
        <w:spacing w:after="120" w:before="240"/>
      </w:pPr>
      <w:r>
        <w:rPr>
          <w:rFonts w:ascii="Arial" w:cs="Arial" w:eastAsia="Arial" w:hAnsi="Arial"/>
          <w:b/>
          <w:bCs/>
          <w:color w:val="263849"/>
          <w:sz w:val="30"/>
          <w:szCs w:val="30"/>
        </w:rPr>
        <w:t xml:space="preserve">14.6 Deliberate distribution spread</w:t>
      </w:r>
    </w:p>
    <w:p>
      <w:pPr>
        <w:pStyle w:val="ListParagraph"/>
        <w:numPr>
          <w:ilvl w:val="0"/>
          <w:numId w:val="2"/>
        </w:numPr>
        <w:spacing w:after="60"/>
      </w:pPr>
      <w:r>
        <w:rPr>
          <w:rFonts w:ascii="Arial" w:cs="Arial" w:eastAsia="Arial" w:hAnsi="Arial"/>
          <w:sz w:val="22"/>
          <w:szCs w:val="22"/>
        </w:rPr>
        <w:t xml:space="preserve">Grade distribution: 5 × Grade 1, 4 × Grade 2, 2 × Grade 3, 1 × Grade 4</w:t>
      </w:r>
    </w:p>
    <w:p>
      <w:pPr>
        <w:pStyle w:val="ListParagraph"/>
        <w:numPr>
          <w:ilvl w:val="0"/>
          <w:numId w:val="2"/>
        </w:numPr>
        <w:spacing w:after="60"/>
      </w:pPr>
      <w:r>
        <w:rPr>
          <w:rFonts w:ascii="Arial" w:cs="Arial" w:eastAsia="Arial" w:hAnsi="Arial"/>
          <w:sz w:val="22"/>
          <w:szCs w:val="22"/>
        </w:rPr>
        <w:t xml:space="preserve">Trend: spans all 7 bands</w:t>
      </w:r>
    </w:p>
    <w:p>
      <w:pPr>
        <w:pStyle w:val="ListParagraph"/>
        <w:numPr>
          <w:ilvl w:val="0"/>
          <w:numId w:val="2"/>
        </w:numPr>
        <w:spacing w:after="60"/>
      </w:pPr>
      <w:r>
        <w:rPr>
          <w:rFonts w:ascii="Arial" w:cs="Arial" w:eastAsia="Arial" w:hAnsi="Arial"/>
          <w:sz w:val="22"/>
          <w:szCs w:val="22"/>
        </w:rPr>
        <w:t xml:space="preserve">Covenant status: 9 performing, 2 lockup, 1 trigger</w:t>
      </w:r>
    </w:p>
    <w:p>
      <w:pPr>
        <w:pStyle w:val="ListParagraph"/>
        <w:numPr>
          <w:ilvl w:val="0"/>
          <w:numId w:val="2"/>
        </w:numPr>
        <w:spacing w:after="60"/>
      </w:pPr>
      <w:r>
        <w:rPr>
          <w:rFonts w:ascii="Arial" w:cs="Arial" w:eastAsia="Arial" w:hAnsi="Arial"/>
          <w:sz w:val="22"/>
          <w:szCs w:val="22"/>
        </w:rPr>
        <w:t xml:space="preserve">Watchlist: 3 deals with escalation reasons</w:t>
      </w:r>
    </w:p>
    <w:p>
      <w:pPr>
        <w:pStyle w:val="Heading2"/>
        <w:spacing w:after="120" w:before="240"/>
      </w:pPr>
      <w:r>
        <w:rPr>
          <w:rFonts w:ascii="Arial" w:cs="Arial" w:eastAsia="Arial" w:hAnsi="Arial"/>
          <w:b/>
          <w:bCs/>
          <w:color w:val="263849"/>
          <w:sz w:val="30"/>
          <w:szCs w:val="30"/>
        </w:rPr>
        <w:t xml:space="preserve">14.7 Specific worked examples in seed</w:t>
      </w:r>
    </w:p>
    <w:p>
      <w:pPr>
        <w:pStyle w:val="Heading3"/>
        <w:spacing w:after="80" w:before="180"/>
      </w:pPr>
      <w:r>
        <w:rPr>
          <w:rFonts w:ascii="Arial" w:cs="Arial" w:eastAsia="Arial" w:hAnsi="Arial"/>
          <w:b/>
          <w:bCs/>
          <w:color w:val="263849"/>
          <w:sz w:val="26"/>
          <w:szCs w:val="26"/>
        </w:rPr>
        <w:t xml:space="preserve">Gatwick — KPI scenarios (fully wired)</w:t>
      </w:r>
    </w:p>
    <w:p>
      <w:pPr>
        <w:pStyle w:val="ListParagraph"/>
        <w:numPr>
          <w:ilvl w:val="0"/>
          <w:numId w:val="2"/>
        </w:numPr>
        <w:spacing w:after="60"/>
      </w:pPr>
      <w:r>
        <w:rPr>
          <w:rFonts w:ascii="Arial" w:cs="Arial" w:eastAsia="Arial" w:hAnsi="Arial"/>
          <w:sz w:val="22"/>
          <w:szCs w:val="22"/>
        </w:rPr>
        <w:t xml:space="preserve">5 KPIs (passengers, aero/pax, non-aero/pax, EBITDA/pax, cost/pax)</w:t>
      </w:r>
    </w:p>
    <w:p>
      <w:pPr>
        <w:pStyle w:val="ListParagraph"/>
        <w:numPr>
          <w:ilvl w:val="0"/>
          <w:numId w:val="2"/>
        </w:numPr>
        <w:spacing w:after="60"/>
      </w:pPr>
      <w:r>
        <w:rPr>
          <w:rFonts w:ascii="Arial" w:cs="Arial" w:eastAsia="Arial" w:hAnsi="Arial"/>
          <w:sz w:val="22"/>
          <w:szCs w:val="22"/>
        </w:rPr>
        <w:t xml:space="preserve">management_case: full FY2026–FY2033 (40 rows)</w:t>
      </w:r>
    </w:p>
    <w:p>
      <w:pPr>
        <w:pStyle w:val="ListParagraph"/>
        <w:numPr>
          <w:ilvl w:val="0"/>
          <w:numId w:val="2"/>
        </w:numPr>
        <w:spacing w:after="60"/>
      </w:pPr>
      <w:r>
        <w:rPr>
          <w:rFonts w:ascii="Arial" w:cs="Arial" w:eastAsia="Arial" w:hAnsi="Arial"/>
          <w:sz w:val="22"/>
          <w:szCs w:val="22"/>
        </w:rPr>
        <w:t xml:space="preserve">combined_downside: haircuts across all 5 KPIs × 8 periods (40 rows)</w:t>
      </w:r>
    </w:p>
    <w:p>
      <w:pPr>
        <w:pStyle w:val="ListParagraph"/>
        <w:numPr>
          <w:ilvl w:val="0"/>
          <w:numId w:val="2"/>
        </w:numPr>
        <w:spacing w:after="60"/>
      </w:pPr>
      <w:r>
        <w:rPr>
          <w:rFonts w:ascii="Arial" w:cs="Arial" w:eastAsia="Arial" w:hAnsi="Arial"/>
          <w:sz w:val="22"/>
          <w:szCs w:val="22"/>
        </w:rPr>
        <w:t xml:space="preserve">single_variant_stress — pandemic passenger shock: 8 rows on passengers only; linked to "Passenger Volume Risk (pandemic shock repeat)"</w:t>
      </w:r>
    </w:p>
    <w:p>
      <w:pPr>
        <w:pStyle w:val="ListParagraph"/>
        <w:numPr>
          <w:ilvl w:val="0"/>
          <w:numId w:val="2"/>
        </w:numPr>
        <w:spacing w:after="60"/>
      </w:pPr>
      <w:r>
        <w:rPr>
          <w:rFonts w:ascii="Arial" w:cs="Arial" w:eastAsia="Arial" w:hAnsi="Arial"/>
          <w:sz w:val="22"/>
          <w:szCs w:val="22"/>
        </w:rPr>
        <w:t xml:space="preserve">~90 forecast_period_items rows for Gatwick alone</w:t>
      </w:r>
    </w:p>
    <w:p>
      <w:pPr>
        <w:pStyle w:val="Heading3"/>
        <w:spacing w:after="80" w:before="180"/>
      </w:pPr>
      <w:r>
        <w:rPr>
          <w:rFonts w:ascii="Arial" w:cs="Arial" w:eastAsia="Arial" w:hAnsi="Arial"/>
          <w:b/>
          <w:bCs/>
          <w:color w:val="263849"/>
          <w:sz w:val="26"/>
          <w:szCs w:val="26"/>
        </w:rPr>
        <w:t xml:space="preserve">North Sea OWF — ESG ratchet</w:t>
      </w:r>
    </w:p>
    <w:p>
      <w:pPr>
        <w:pStyle w:val="ListParagraph"/>
        <w:numPr>
          <w:ilvl w:val="0"/>
          <w:numId w:val="2"/>
        </w:numPr>
        <w:spacing w:after="60"/>
      </w:pPr>
      <w:r>
        <w:rPr>
          <w:rFonts w:ascii="Arial" w:cs="Arial" w:eastAsia="Arial" w:hAnsi="Arial"/>
          <w:sz w:val="22"/>
          <w:szCs w:val="22"/>
        </w:rPr>
        <w:t xml:space="preserve">Carbon-intensity SPT defined on sector_kpi_co2_intensity</w:t>
      </w:r>
    </w:p>
    <w:p>
      <w:pPr>
        <w:pStyle w:val="ListParagraph"/>
        <w:numPr>
          <w:ilvl w:val="0"/>
          <w:numId w:val="2"/>
        </w:numPr>
        <w:spacing w:after="60"/>
      </w:pPr>
      <w:r>
        <w:rPr>
          <w:rFonts w:ascii="Arial" w:cs="Arial" w:eastAsia="Arial" w:hAnsi="Arial"/>
          <w:sz w:val="22"/>
          <w:szCs w:val="22"/>
        </w:rPr>
        <w:t xml:space="preserve">Step table: -5 bps if met 2 consecutive years; +5 bps if missed</w:t>
      </w:r>
    </w:p>
    <w:p>
      <w:pPr>
        <w:pStyle w:val="ListParagraph"/>
        <w:numPr>
          <w:ilvl w:val="0"/>
          <w:numId w:val="2"/>
        </w:numPr>
        <w:spacing w:after="60"/>
      </w:pPr>
      <w:r>
        <w:rPr>
          <w:rFonts w:ascii="Arial" w:cs="Arial" w:eastAsia="Arial" w:hAnsi="Arial"/>
          <w:sz w:val="22"/>
          <w:szCs w:val="22"/>
        </w:rPr>
        <w:t xml:space="preserve">Seeded with one historical ratchet movement in ratchet_history</w:t>
      </w:r>
    </w:p>
    <w:p>
      <w:pPr>
        <w:pStyle w:val="Heading3"/>
        <w:spacing w:after="80" w:before="180"/>
      </w:pPr>
      <w:r>
        <w:rPr>
          <w:rFonts w:ascii="Arial" w:cs="Arial" w:eastAsia="Arial" w:hAnsi="Arial"/>
          <w:b/>
          <w:bCs/>
          <w:color w:val="263849"/>
          <w:sz w:val="26"/>
          <w:szCs w:val="26"/>
        </w:rPr>
        <w:t xml:space="preserve">Aurora Prime — Moody's ratios</w:t>
      </w:r>
    </w:p>
    <w:p>
      <w:pPr>
        <w:pStyle w:val="ListParagraph"/>
        <w:numPr>
          <w:ilvl w:val="0"/>
          <w:numId w:val="2"/>
        </w:numPr>
        <w:spacing w:after="60"/>
      </w:pPr>
      <w:r>
        <w:rPr>
          <w:rFonts w:ascii="Arial" w:cs="Arial" w:eastAsia="Arial" w:hAnsi="Arial"/>
          <w:sz w:val="22"/>
          <w:szCs w:val="22"/>
        </w:rPr>
        <w:t xml:space="preserve">All 12 Moody's ratios populated over 16 historical periods</w:t>
      </w:r>
    </w:p>
    <w:p>
      <w:pPr>
        <w:pStyle w:val="Heading3"/>
        <w:spacing w:after="80" w:before="180"/>
      </w:pPr>
      <w:r>
        <w:rPr>
          <w:rFonts w:ascii="Arial" w:cs="Arial" w:eastAsia="Arial" w:hAnsi="Arial"/>
          <w:b/>
          <w:bCs/>
          <w:color w:val="263849"/>
          <w:sz w:val="26"/>
          <w:szCs w:val="26"/>
        </w:rPr>
        <w:t xml:space="preserve">Apollo Edge — multi-tranche</w:t>
      </w:r>
    </w:p>
    <w:p>
      <w:pPr>
        <w:pStyle w:val="ListParagraph"/>
        <w:numPr>
          <w:ilvl w:val="0"/>
          <w:numId w:val="2"/>
        </w:numPr>
        <w:spacing w:after="60"/>
      </w:pPr>
      <w:r>
        <w:rPr>
          <w:rFonts w:ascii="Arial" w:cs="Arial" w:eastAsia="Arial" w:hAnsi="Arial"/>
          <w:sz w:val="22"/>
          <w:szCs w:val="22"/>
        </w:rPr>
        <w:t xml:space="preserve">3 instruments (senior secured note, second-lien loan, subordinated shareholder loan)</w:t>
      </w:r>
    </w:p>
    <w:p>
      <w:pPr>
        <w:pStyle w:val="ListParagraph"/>
        <w:numPr>
          <w:ilvl w:val="0"/>
          <w:numId w:val="2"/>
        </w:numPr>
        <w:spacing w:after="60"/>
      </w:pPr>
      <w:r>
        <w:rPr>
          <w:rFonts w:ascii="Arial" w:cs="Arial" w:eastAsia="Arial" w:hAnsi="Arial"/>
          <w:sz w:val="22"/>
          <w:szCs w:val="22"/>
        </w:rPr>
        <w:t xml:space="preserve">Each carries full pricing decomposition</w:t>
      </w:r>
    </w:p>
    <w:p>
      <w:pPr>
        <w:pStyle w:val="ListParagraph"/>
        <w:numPr>
          <w:ilvl w:val="0"/>
          <w:numId w:val="2"/>
        </w:numPr>
        <w:spacing w:after="60"/>
      </w:pPr>
      <w:r>
        <w:rPr>
          <w:rFonts w:ascii="Arial" w:cs="Arial" w:eastAsia="Arial" w:hAnsi="Arial"/>
          <w:sz w:val="22"/>
          <w:szCs w:val="22"/>
        </w:rPr>
        <w:t xml:space="preserve">Pari-passu group on senior tranches; subordination_agreement between senior and second-lien</w:t>
      </w:r>
    </w:p>
    <w:p>
      <w:pPr>
        <w:pStyle w:val="Heading2"/>
        <w:spacing w:after="120" w:before="240"/>
      </w:pPr>
      <w:r>
        <w:rPr>
          <w:rFonts w:ascii="Arial" w:cs="Arial" w:eastAsia="Arial" w:hAnsi="Arial"/>
          <w:b/>
          <w:bCs/>
          <w:color w:val="263849"/>
          <w:sz w:val="30"/>
          <w:szCs w:val="30"/>
        </w:rPr>
        <w:t xml:space="preserve">14.8 Rebuild and backup</w:t>
      </w:r>
    </w:p>
    <w:p>
      <w:pPr>
        <w:pStyle w:val="ListParagraph"/>
        <w:numPr>
          <w:ilvl w:val="0"/>
          <w:numId w:val="2"/>
        </w:numPr>
        <w:spacing w:after="60"/>
      </w:pPr>
      <w:r>
        <w:rPr>
          <w:rFonts w:ascii="Arial" w:cs="Arial" w:eastAsia="Arial" w:hAnsi="Arial"/>
          <w:sz w:val="22"/>
          <w:szCs w:val="22"/>
        </w:rPr>
        <w:t xml:space="preserve">bin/db-rebuild.sh — applies migrations against existing DB</w:t>
      </w:r>
    </w:p>
    <w:p>
      <w:pPr>
        <w:pStyle w:val="ListParagraph"/>
        <w:numPr>
          <w:ilvl w:val="0"/>
          <w:numId w:val="2"/>
        </w:numPr>
        <w:spacing w:after="60"/>
      </w:pPr>
      <w:r>
        <w:rPr>
          <w:rFonts w:ascii="Arial" w:cs="Arial" w:eastAsia="Arial" w:hAnsi="Arial"/>
          <w:sz w:val="22"/>
          <w:szCs w:val="22"/>
        </w:rPr>
        <w:t xml:space="preserve">bin/db-rebuild.sh --reset — WIPES data, recreates from init + migrations</w:t>
      </w:r>
    </w:p>
    <w:p>
      <w:pPr>
        <w:pStyle w:val="ListParagraph"/>
        <w:numPr>
          <w:ilvl w:val="0"/>
          <w:numId w:val="2"/>
        </w:numPr>
        <w:spacing w:after="60"/>
      </w:pPr>
      <w:r>
        <w:rPr>
          <w:rFonts w:ascii="Arial" w:cs="Arial" w:eastAsia="Arial" w:hAnsi="Arial"/>
          <w:sz w:val="22"/>
          <w:szCs w:val="22"/>
        </w:rPr>
        <w:t xml:space="preserve">bin/db-backup.sh — pg_dump to docker/backups/{timestamp}.sql.gz</w:t>
      </w:r>
    </w:p>
    <w:p>
      <w:pPr>
        <w:pBdr>
          <w:left w:val="single" w:color="1F6FA5" w:sz="16" w:space="10"/>
        </w:pBdr>
        <w:spacing w:after="160" w:before="80"/>
        <w:ind w:left="200"/>
      </w:pPr>
      <w:r>
        <w:rPr>
          <w:rFonts w:ascii="Arial" w:cs="Arial" w:eastAsia="Arial" w:hAnsi="Arial"/>
          <w:i/>
          <w:iCs/>
          <w:color w:val="56718A"/>
          <w:sz w:val="22"/>
          <w:szCs w:val="22"/>
        </w:rPr>
        <w:t xml:space="preserve">Never --reset without backing up. Seed regeneration recomputes engines; small floating-point drift between runs is expected and tolerated.</w:t>
      </w:r>
    </w:p>
    <w:p>
      <w:pPr>
        <w:pStyle w:val="Heading1"/>
        <w:pageBreakBefore/>
        <w:spacing w:after="180" w:before="240"/>
      </w:pPr>
      <w:r>
        <w:rPr>
          <w:rFonts w:ascii="Arial" w:cs="Arial" w:eastAsia="Arial" w:hAnsi="Arial"/>
          <w:b/>
          <w:bCs/>
          <w:color w:val="1F6FA5"/>
          <w:sz w:val="40"/>
          <w:szCs w:val="40"/>
        </w:rPr>
        <w:t xml:space="preserve">Appendix A — Moody's ratio definitions (embedded)</w:t>
      </w:r>
    </w:p>
    <w:p>
      <w:pPr>
        <w:spacing w:after="140" w:line="280"/>
        <w:jc w:val="both"/>
      </w:pPr>
      <w:r>
        <w:rPr>
          <w:rFonts w:ascii="Arial" w:cs="Arial" w:eastAsia="Arial" w:hAnsi="Arial"/>
          <w:sz w:val="22"/>
          <w:szCs w:val="22"/>
        </w:rPr>
        <w:t xml:space="preserve">Twelve Moody's-methodology ratios are tracked where the deal is externally rated or internally rated on Moody's scale. The definitions below are embedded here (per user direction) rather than referenced to an external doc. Adjustments are the standard Moody's list.</w:t>
      </w:r>
    </w:p>
    <w:p>
      <w:pPr>
        <w:pStyle w:val="Heading2"/>
        <w:spacing w:after="120" w:before="240"/>
      </w:pPr>
      <w:r>
        <w:rPr>
          <w:rFonts w:ascii="Arial" w:cs="Arial" w:eastAsia="Arial" w:hAnsi="Arial"/>
          <w:b/>
          <w:bCs/>
          <w:color w:val="263849"/>
          <w:sz w:val="30"/>
          <w:szCs w:val="30"/>
        </w:rPr>
        <w:t xml:space="preserve">A.1 Leverage ratios</w:t>
      </w:r>
    </w:p>
    <w:p>
      <w:pPr>
        <w:pStyle w:val="Heading3"/>
        <w:spacing w:after="80" w:before="180"/>
      </w:pPr>
      <w:r>
        <w:rPr>
          <w:rFonts w:ascii="Arial" w:cs="Arial" w:eastAsia="Arial" w:hAnsi="Arial"/>
          <w:b/>
          <w:bCs/>
          <w:color w:val="263849"/>
          <w:sz w:val="26"/>
          <w:szCs w:val="26"/>
        </w:rPr>
        <w:t xml:space="preserve">A.1.1 FFO / Net Debt</w:t>
      </w:r>
    </w:p>
    <w:p>
      <w:pPr>
        <w:spacing w:after="140" w:line="280"/>
        <w:jc w:val="both"/>
      </w:pPr>
      <w:r>
        <w:rPr>
          <w:rFonts w:ascii="Arial" w:cs="Arial" w:eastAsia="Arial" w:hAnsi="Arial"/>
          <w:sz w:val="22"/>
          <w:szCs w:val="22"/>
        </w:rPr>
        <w:t xml:space="preserve">Primary leverage metric for project finance and infrastructure issuers.</w:t>
      </w:r>
    </w:p>
    <w:p>
      <w:pPr>
        <w:spacing w:after="80"/>
      </w:pPr>
      <w:r>
        <w:rPr>
          <w:rFonts w:ascii="Consolas" w:cs="Consolas" w:eastAsia="Consolas" w:hAnsi="Consolas"/>
          <w:color w:val="444444"/>
          <w:sz w:val="20"/>
          <w:szCs w:val="20"/>
        </w:rPr>
        <w:t xml:space="preserve">FFO = Net income + depreciation + amortisation + deferred tax + other non-cash items</w:t>
      </w:r>
    </w:p>
    <w:p>
      <w:pPr>
        <w:spacing w:after="80"/>
      </w:pPr>
      <w:r>
        <w:rPr>
          <w:rFonts w:ascii="Consolas" w:cs="Consolas" w:eastAsia="Consolas" w:hAnsi="Consolas"/>
          <w:color w:val="444444"/>
          <w:sz w:val="20"/>
          <w:szCs w:val="20"/>
        </w:rPr>
        <w:t xml:space="preserve">Net Debt = Total debt - cash and equivalents</w:t>
      </w:r>
    </w:p>
    <w:p>
      <w:pPr>
        <w:spacing w:after="80"/>
      </w:pPr>
      <w:r>
        <w:rPr>
          <w:rFonts w:ascii="Consolas" w:cs="Consolas" w:eastAsia="Consolas" w:hAnsi="Consolas"/>
          <w:color w:val="444444"/>
          <w:sz w:val="20"/>
          <w:szCs w:val="20"/>
        </w:rPr>
        <w:t xml:space="preserve">FFO / Net Debt = FFO (trailing 12 months) / Net Debt (period end)</w:t>
      </w:r>
    </w:p>
    <w:p>
      <w:pPr>
        <w:spacing w:after="140" w:line="280"/>
        <w:jc w:val="both"/>
      </w:pPr>
      <w:r>
        <w:rPr>
          <w:rFonts w:ascii="Arial" w:cs="Arial" w:eastAsia="Arial" w:hAnsi="Arial"/>
          <w:sz w:val="22"/>
          <w:szCs w:val="22"/>
        </w:rPr>
        <w:t xml:space="preserve">Higher is better. Typical investment-grade band: &gt;= 15% for Baa rated credits; &gt;= 25% for A rated.</w:t>
      </w:r>
    </w:p>
    <w:p>
      <w:pPr>
        <w:pStyle w:val="Heading3"/>
        <w:spacing w:after="80" w:before="180"/>
      </w:pPr>
      <w:r>
        <w:rPr>
          <w:rFonts w:ascii="Arial" w:cs="Arial" w:eastAsia="Arial" w:hAnsi="Arial"/>
          <w:b/>
          <w:bCs/>
          <w:color w:val="263849"/>
          <w:sz w:val="26"/>
          <w:szCs w:val="26"/>
        </w:rPr>
        <w:t xml:space="preserve">A.1.2 RCF / Net Debt</w:t>
      </w:r>
    </w:p>
    <w:p>
      <w:pPr>
        <w:spacing w:after="140" w:line="280"/>
        <w:jc w:val="both"/>
      </w:pPr>
      <w:r>
        <w:rPr>
          <w:rFonts w:ascii="Arial" w:cs="Arial" w:eastAsia="Arial" w:hAnsi="Arial"/>
          <w:sz w:val="22"/>
          <w:szCs w:val="22"/>
        </w:rPr>
        <w:t xml:space="preserve">Retained Cash Flow / Net Debt — post-distribution leverage.</w:t>
      </w:r>
    </w:p>
    <w:p>
      <w:pPr>
        <w:spacing w:after="80"/>
      </w:pPr>
      <w:r>
        <w:rPr>
          <w:rFonts w:ascii="Consolas" w:cs="Consolas" w:eastAsia="Consolas" w:hAnsi="Consolas"/>
          <w:color w:val="444444"/>
          <w:sz w:val="20"/>
          <w:szCs w:val="20"/>
        </w:rPr>
        <w:t xml:space="preserve">RCF = FFO - dividends / distributions to equity</w:t>
      </w:r>
    </w:p>
    <w:p>
      <w:pPr>
        <w:spacing w:after="80"/>
      </w:pPr>
      <w:r>
        <w:rPr>
          <w:rFonts w:ascii="Consolas" w:cs="Consolas" w:eastAsia="Consolas" w:hAnsi="Consolas"/>
          <w:color w:val="444444"/>
          <w:sz w:val="20"/>
          <w:szCs w:val="20"/>
        </w:rPr>
        <w:t xml:space="preserve">RCF / Net Debt = RCF (TTM) / Net Debt (period end)</w:t>
      </w:r>
    </w:p>
    <w:p>
      <w:pPr>
        <w:spacing w:after="140" w:line="280"/>
        <w:jc w:val="both"/>
      </w:pPr>
      <w:r>
        <w:rPr>
          <w:rFonts w:ascii="Arial" w:cs="Arial" w:eastAsia="Arial" w:hAnsi="Arial"/>
          <w:sz w:val="22"/>
          <w:szCs w:val="22"/>
        </w:rPr>
        <w:t xml:space="preserve">Higher is better. Captures the cash available for debt reduction after sponsor distributions.</w:t>
      </w:r>
    </w:p>
    <w:p>
      <w:pPr>
        <w:pStyle w:val="Heading3"/>
        <w:spacing w:after="80" w:before="180"/>
      </w:pPr>
      <w:r>
        <w:rPr>
          <w:rFonts w:ascii="Arial" w:cs="Arial" w:eastAsia="Arial" w:hAnsi="Arial"/>
          <w:b/>
          <w:bCs/>
          <w:color w:val="263849"/>
          <w:sz w:val="26"/>
          <w:szCs w:val="26"/>
        </w:rPr>
        <w:t xml:space="preserve">A.1.3 Total Debt / RCF</w:t>
      </w:r>
    </w:p>
    <w:p>
      <w:pPr>
        <w:spacing w:after="140" w:line="280"/>
        <w:jc w:val="both"/>
      </w:pPr>
      <w:r>
        <w:rPr>
          <w:rFonts w:ascii="Arial" w:cs="Arial" w:eastAsia="Arial" w:hAnsi="Arial"/>
          <w:sz w:val="22"/>
          <w:szCs w:val="22"/>
        </w:rPr>
        <w:t xml:space="preserve">Inverse leverage multiple — years of RCF to repay debt.</w:t>
      </w:r>
    </w:p>
    <w:p>
      <w:pPr>
        <w:spacing w:after="80"/>
      </w:pPr>
      <w:r>
        <w:rPr>
          <w:rFonts w:ascii="Consolas" w:cs="Consolas" w:eastAsia="Consolas" w:hAnsi="Consolas"/>
          <w:color w:val="444444"/>
          <w:sz w:val="20"/>
          <w:szCs w:val="20"/>
        </w:rPr>
        <w:t xml:space="preserve">Total Debt / RCF = Total Debt / RCF (TTM)</w:t>
      </w:r>
    </w:p>
    <w:p>
      <w:pPr>
        <w:pStyle w:val="Heading3"/>
        <w:spacing w:after="80" w:before="180"/>
      </w:pPr>
      <w:r>
        <w:rPr>
          <w:rFonts w:ascii="Arial" w:cs="Arial" w:eastAsia="Arial" w:hAnsi="Arial"/>
          <w:b/>
          <w:bCs/>
          <w:color w:val="263849"/>
          <w:sz w:val="26"/>
          <w:szCs w:val="26"/>
        </w:rPr>
        <w:t xml:space="preserve">A.1.4 Debt / EBITDA</w:t>
      </w:r>
    </w:p>
    <w:p>
      <w:pPr>
        <w:spacing w:after="140" w:line="280"/>
        <w:jc w:val="both"/>
      </w:pPr>
      <w:r>
        <w:rPr>
          <w:rFonts w:ascii="Arial" w:cs="Arial" w:eastAsia="Arial" w:hAnsi="Arial"/>
          <w:sz w:val="22"/>
          <w:szCs w:val="22"/>
        </w:rPr>
        <w:t xml:space="preserve">Standard leverage multiple, adjusted for operating leases (8× method), pension deficits, and hybrid debt equity content.</w:t>
      </w:r>
    </w:p>
    <w:p>
      <w:pPr>
        <w:spacing w:after="80"/>
      </w:pPr>
      <w:r>
        <w:rPr>
          <w:rFonts w:ascii="Consolas" w:cs="Consolas" w:eastAsia="Consolas" w:hAnsi="Consolas"/>
          <w:color w:val="444444"/>
          <w:sz w:val="20"/>
          <w:szCs w:val="20"/>
        </w:rPr>
        <w:t xml:space="preserve">Adjusted Debt = Total Debt + (Operating lease expense × 8) + Pension deficit + (Hybrid debt × debt portion)</w:t>
      </w:r>
    </w:p>
    <w:p>
      <w:pPr>
        <w:spacing w:after="80"/>
      </w:pPr>
      <w:r>
        <w:rPr>
          <w:rFonts w:ascii="Consolas" w:cs="Consolas" w:eastAsia="Consolas" w:hAnsi="Consolas"/>
          <w:color w:val="444444"/>
          <w:sz w:val="20"/>
          <w:szCs w:val="20"/>
        </w:rPr>
        <w:t xml:space="preserve">Adjusted EBITDA = EBITDA + (Operating lease expense × depreciation adjustment)</w:t>
      </w:r>
    </w:p>
    <w:p>
      <w:pPr>
        <w:spacing w:after="80"/>
      </w:pPr>
      <w:r>
        <w:rPr>
          <w:rFonts w:ascii="Consolas" w:cs="Consolas" w:eastAsia="Consolas" w:hAnsi="Consolas"/>
          <w:color w:val="444444"/>
          <w:sz w:val="20"/>
          <w:szCs w:val="20"/>
        </w:rPr>
        <w:t xml:space="preserve">Leverage = Adjusted Debt / Adjusted EBITDA</w:t>
      </w:r>
    </w:p>
    <w:p>
      <w:pPr>
        <w:pStyle w:val="Heading3"/>
        <w:spacing w:after="80" w:before="180"/>
      </w:pPr>
      <w:r>
        <w:rPr>
          <w:rFonts w:ascii="Arial" w:cs="Arial" w:eastAsia="Arial" w:hAnsi="Arial"/>
          <w:b/>
          <w:bCs/>
          <w:color w:val="263849"/>
          <w:sz w:val="26"/>
          <w:szCs w:val="26"/>
        </w:rPr>
        <w:t xml:space="preserve">A.1.5 Average LTV</w:t>
      </w:r>
    </w:p>
    <w:p>
      <w:pPr>
        <w:spacing w:after="140" w:line="280"/>
        <w:jc w:val="both"/>
      </w:pPr>
      <w:r>
        <w:rPr>
          <w:rFonts w:ascii="Arial" w:cs="Arial" w:eastAsia="Arial" w:hAnsi="Arial"/>
          <w:sz w:val="22"/>
          <w:szCs w:val="22"/>
        </w:rPr>
        <w:t xml:space="preserve">Mean loan-to-value ratio over the remaining life of the loan.</w:t>
      </w:r>
    </w:p>
    <w:p>
      <w:pPr>
        <w:spacing w:after="80"/>
      </w:pPr>
      <w:r>
        <w:rPr>
          <w:rFonts w:ascii="Consolas" w:cs="Consolas" w:eastAsia="Consolas" w:hAnsi="Consolas"/>
          <w:color w:val="444444"/>
          <w:sz w:val="20"/>
          <w:szCs w:val="20"/>
        </w:rPr>
        <w:t xml:space="preserve">Avg LTV = Σ (Outstanding debt_t / Asset value_t) / number_of_periods</w:t>
      </w:r>
    </w:p>
    <w:p>
      <w:pPr>
        <w:spacing w:after="140" w:line="280"/>
        <w:jc w:val="both"/>
      </w:pPr>
      <w:r>
        <w:rPr>
          <w:rFonts w:ascii="Arial" w:cs="Arial" w:eastAsia="Arial" w:hAnsi="Arial"/>
          <w:sz w:val="22"/>
          <w:szCs w:val="22"/>
        </w:rPr>
        <w:t xml:space="preserve">Asset value uses latest independent valuation, adjusted for maintenance capex going forward.</w:t>
      </w:r>
    </w:p>
    <w:p>
      <w:pPr>
        <w:pStyle w:val="Heading2"/>
        <w:spacing w:after="120" w:before="240"/>
      </w:pPr>
      <w:r>
        <w:rPr>
          <w:rFonts w:ascii="Arial" w:cs="Arial" w:eastAsia="Arial" w:hAnsi="Arial"/>
          <w:b/>
          <w:bCs/>
          <w:color w:val="263849"/>
          <w:sz w:val="30"/>
          <w:szCs w:val="30"/>
        </w:rPr>
        <w:t xml:space="preserve">A.2 Cash-cover ratios</w:t>
      </w:r>
    </w:p>
    <w:p>
      <w:pPr>
        <w:pStyle w:val="Heading3"/>
        <w:spacing w:after="80" w:before="180"/>
      </w:pPr>
      <w:r>
        <w:rPr>
          <w:rFonts w:ascii="Arial" w:cs="Arial" w:eastAsia="Arial" w:hAnsi="Arial"/>
          <w:b/>
          <w:bCs/>
          <w:color w:val="263849"/>
          <w:sz w:val="26"/>
          <w:szCs w:val="26"/>
        </w:rPr>
        <w:t xml:space="preserve">A.2.1 Total DSCR</w:t>
      </w:r>
    </w:p>
    <w:p>
      <w:pPr>
        <w:spacing w:after="140" w:line="280"/>
        <w:jc w:val="both"/>
      </w:pPr>
      <w:r>
        <w:rPr>
          <w:rFonts w:ascii="Arial" w:cs="Arial" w:eastAsia="Arial" w:hAnsi="Arial"/>
          <w:sz w:val="22"/>
          <w:szCs w:val="22"/>
        </w:rPr>
        <w:t xml:space="preserve">Debt Service Cover Ratio incorporating all tranches in ratio_consolidation_level.</w:t>
      </w:r>
    </w:p>
    <w:p>
      <w:pPr>
        <w:spacing w:after="80"/>
      </w:pPr>
      <w:r>
        <w:rPr>
          <w:rFonts w:ascii="Consolas" w:cs="Consolas" w:eastAsia="Consolas" w:hAnsi="Consolas"/>
          <w:color w:val="444444"/>
          <w:sz w:val="20"/>
          <w:szCs w:val="20"/>
        </w:rPr>
        <w:t xml:space="preserve">Total DSCR = CFADS / (Interest + Scheduled principal + Commitment fee)</w:t>
      </w:r>
    </w:p>
    <w:p>
      <w:pPr>
        <w:spacing w:after="140" w:line="280"/>
        <w:jc w:val="both"/>
      </w:pPr>
      <w:r>
        <w:rPr>
          <w:rFonts w:ascii="Arial" w:cs="Arial" w:eastAsia="Arial" w:hAnsi="Arial"/>
          <w:sz w:val="22"/>
          <w:szCs w:val="22"/>
        </w:rPr>
        <w:t xml:space="preserve">Where CFADS = EBITDA - tax paid - working capital movements + interest received on reserves - maintenance capex.</w:t>
      </w:r>
    </w:p>
    <w:p>
      <w:pPr>
        <w:pStyle w:val="Heading3"/>
        <w:spacing w:after="80" w:before="180"/>
      </w:pPr>
      <w:r>
        <w:rPr>
          <w:rFonts w:ascii="Arial" w:cs="Arial" w:eastAsia="Arial" w:hAnsi="Arial"/>
          <w:b/>
          <w:bCs/>
          <w:color w:val="263849"/>
          <w:sz w:val="26"/>
          <w:szCs w:val="26"/>
        </w:rPr>
        <w:t xml:space="preserve">A.2.2 AICR (Adjusted Interest Cover Ratio)</w:t>
      </w:r>
    </w:p>
    <w:p>
      <w:pPr>
        <w:spacing w:after="140" w:line="280"/>
        <w:jc w:val="both"/>
      </w:pPr>
      <w:r>
        <w:rPr>
          <w:rFonts w:ascii="Arial" w:cs="Arial" w:eastAsia="Arial" w:hAnsi="Arial"/>
          <w:sz w:val="22"/>
          <w:szCs w:val="22"/>
        </w:rPr>
        <w:t xml:space="preserve">Covers only interest, not principal. Applied where principal is being refinanced rather than amortised.</w:t>
      </w:r>
    </w:p>
    <w:p>
      <w:pPr>
        <w:spacing w:after="80"/>
      </w:pPr>
      <w:r>
        <w:rPr>
          <w:rFonts w:ascii="Consolas" w:cs="Consolas" w:eastAsia="Consolas" w:hAnsi="Consolas"/>
          <w:color w:val="444444"/>
          <w:sz w:val="20"/>
          <w:szCs w:val="20"/>
        </w:rPr>
        <w:t xml:space="preserve">AICR = (CFADS + Scheduled principal) / Interest</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Exact adjustment list for AICR — which items sit inside 'adjusted net cashflow' vs 'interest' — is outstanding. Use cost of debt at IC as the reference rate for any implied coupons.</w:t>
      </w:r>
    </w:p>
    <w:p>
      <w:pPr>
        <w:pStyle w:val="Heading3"/>
        <w:spacing w:after="80" w:before="180"/>
      </w:pPr>
      <w:r>
        <w:rPr>
          <w:rFonts w:ascii="Arial" w:cs="Arial" w:eastAsia="Arial" w:hAnsi="Arial"/>
          <w:b/>
          <w:bCs/>
          <w:color w:val="263849"/>
          <w:sz w:val="26"/>
          <w:szCs w:val="26"/>
        </w:rPr>
        <w:t xml:space="preserve">A.2.3 Cash Interest Cover</w:t>
      </w:r>
    </w:p>
    <w:p>
      <w:pPr>
        <w:spacing w:after="80"/>
      </w:pPr>
      <w:r>
        <w:rPr>
          <w:rFonts w:ascii="Consolas" w:cs="Consolas" w:eastAsia="Consolas" w:hAnsi="Consolas"/>
          <w:color w:val="444444"/>
          <w:sz w:val="20"/>
          <w:szCs w:val="20"/>
        </w:rPr>
        <w:t xml:space="preserve">Cash Interest Cover = Operating cashflow / Cash interest expense</w:t>
      </w:r>
    </w:p>
    <w:p>
      <w:pPr>
        <w:spacing w:after="140" w:line="280"/>
        <w:jc w:val="both"/>
      </w:pPr>
      <w:r>
        <w:rPr>
          <w:rFonts w:ascii="Arial" w:cs="Arial" w:eastAsia="Arial" w:hAnsi="Arial"/>
          <w:sz w:val="22"/>
          <w:szCs w:val="22"/>
        </w:rPr>
        <w:t xml:space="preserve">Operating cashflow is the cash-based EBITDA equivalent from the cashflow statement. Cash interest excludes PIK (payment-in-kind) accrual.</w:t>
      </w:r>
    </w:p>
    <w:p>
      <w:pPr>
        <w:pStyle w:val="Heading3"/>
        <w:spacing w:after="80" w:before="180"/>
      </w:pPr>
      <w:r>
        <w:rPr>
          <w:rFonts w:ascii="Arial" w:cs="Arial" w:eastAsia="Arial" w:hAnsi="Arial"/>
          <w:b/>
          <w:bCs/>
          <w:color w:val="263849"/>
          <w:sz w:val="26"/>
          <w:szCs w:val="26"/>
        </w:rPr>
        <w:t xml:space="preserve">A.2.4 Average DSCR</w:t>
      </w:r>
    </w:p>
    <w:p>
      <w:pPr>
        <w:spacing w:after="80"/>
      </w:pPr>
      <w:r>
        <w:rPr>
          <w:rFonts w:ascii="Consolas" w:cs="Consolas" w:eastAsia="Consolas" w:hAnsi="Consolas"/>
          <w:color w:val="444444"/>
          <w:sz w:val="20"/>
          <w:szCs w:val="20"/>
        </w:rPr>
        <w:t xml:space="preserve">Avg DSCR = Σ DSCR_t / number_of_periods</w:t>
      </w:r>
    </w:p>
    <w:p>
      <w:pPr>
        <w:spacing w:after="140" w:line="280"/>
        <w:jc w:val="both"/>
      </w:pPr>
      <w:r>
        <w:rPr>
          <w:rFonts w:ascii="Arial" w:cs="Arial" w:eastAsia="Arial" w:hAnsi="Arial"/>
          <w:sz w:val="22"/>
          <w:szCs w:val="22"/>
        </w:rPr>
        <w:t xml:space="preserve">Arithmetic mean over the remaining tenor of the facility. Used for regulated utility and similar stable-cashflow credits.</w:t>
      </w:r>
    </w:p>
    <w:p>
      <w:pPr>
        <w:pStyle w:val="Heading3"/>
        <w:spacing w:after="80" w:before="180"/>
      </w:pPr>
      <w:r>
        <w:rPr>
          <w:rFonts w:ascii="Arial" w:cs="Arial" w:eastAsia="Arial" w:hAnsi="Arial"/>
          <w:b/>
          <w:bCs/>
          <w:color w:val="263849"/>
          <w:sz w:val="26"/>
          <w:szCs w:val="26"/>
        </w:rPr>
        <w:t xml:space="preserve">A.2.5 Minimum DSCR</w:t>
      </w:r>
    </w:p>
    <w:p>
      <w:pPr>
        <w:spacing w:after="80"/>
      </w:pPr>
      <w:r>
        <w:rPr>
          <w:rFonts w:ascii="Consolas" w:cs="Consolas" w:eastAsia="Consolas" w:hAnsi="Consolas"/>
          <w:color w:val="444444"/>
          <w:sz w:val="20"/>
          <w:szCs w:val="20"/>
        </w:rPr>
        <w:t xml:space="preserve">Min DSCR = min(DSCR_t) over remaining tenor</w:t>
      </w:r>
    </w:p>
    <w:p>
      <w:pPr>
        <w:spacing w:after="140" w:line="280"/>
        <w:jc w:val="both"/>
      </w:pPr>
      <w:r>
        <w:rPr>
          <w:rFonts w:ascii="Arial" w:cs="Arial" w:eastAsia="Arial" w:hAnsi="Arial"/>
          <w:sz w:val="22"/>
          <w:szCs w:val="22"/>
        </w:rPr>
        <w:t xml:space="preserve">Identifies the tightest year. Often governs investment-grade/non-investment-grade line.</w:t>
      </w:r>
    </w:p>
    <w:p>
      <w:pPr>
        <w:pStyle w:val="Heading2"/>
        <w:spacing w:after="120" w:before="240"/>
      </w:pPr>
      <w:r>
        <w:rPr>
          <w:rFonts w:ascii="Arial" w:cs="Arial" w:eastAsia="Arial" w:hAnsi="Arial"/>
          <w:b/>
          <w:bCs/>
          <w:color w:val="263849"/>
          <w:sz w:val="30"/>
          <w:szCs w:val="30"/>
        </w:rPr>
        <w:t xml:space="preserve">A.3 Life-cover ratios</w:t>
      </w:r>
    </w:p>
    <w:p>
      <w:pPr>
        <w:pStyle w:val="Heading3"/>
        <w:spacing w:after="80" w:before="180"/>
      </w:pPr>
      <w:r>
        <w:rPr>
          <w:rFonts w:ascii="Arial" w:cs="Arial" w:eastAsia="Arial" w:hAnsi="Arial"/>
          <w:b/>
          <w:bCs/>
          <w:color w:val="263849"/>
          <w:sz w:val="26"/>
          <w:szCs w:val="26"/>
        </w:rPr>
        <w:t xml:space="preserve">A.3.1 Average LLCR</w:t>
      </w:r>
    </w:p>
    <w:p>
      <w:pPr>
        <w:spacing w:after="80"/>
      </w:pPr>
      <w:r>
        <w:rPr>
          <w:rFonts w:ascii="Consolas" w:cs="Consolas" w:eastAsia="Consolas" w:hAnsi="Consolas"/>
          <w:color w:val="444444"/>
          <w:sz w:val="20"/>
          <w:szCs w:val="20"/>
        </w:rPr>
        <w:t xml:space="preserve">LLCR_t = NPV(CFADS, t, maturity; r=cost_of_debt_at_ic) / Outstanding_debt_t</w:t>
      </w:r>
    </w:p>
    <w:p>
      <w:pPr>
        <w:spacing w:after="80"/>
      </w:pPr>
      <w:r>
        <w:rPr>
          <w:rFonts w:ascii="Consolas" w:cs="Consolas" w:eastAsia="Consolas" w:hAnsi="Consolas"/>
          <w:color w:val="444444"/>
          <w:sz w:val="20"/>
          <w:szCs w:val="20"/>
        </w:rPr>
        <w:t xml:space="preserve">Avg LLCR = mean(LLCR_t) over remaining tenor</w:t>
      </w:r>
    </w:p>
    <w:p>
      <w:pPr>
        <w:spacing w:after="140" w:line="280"/>
        <w:jc w:val="both"/>
      </w:pPr>
      <w:r>
        <w:rPr>
          <w:rFonts w:ascii="Arial" w:cs="Arial" w:eastAsia="Arial" w:hAnsi="Arial"/>
          <w:sz w:val="22"/>
          <w:szCs w:val="22"/>
        </w:rPr>
        <w:t xml:space="preserve">Discounts at the cost of debt at IC per user direction. NPV taken over the period from time t to loan maturity.</w:t>
      </w:r>
    </w:p>
    <w:p>
      <w:pPr>
        <w:pStyle w:val="Heading3"/>
        <w:spacing w:after="80" w:before="180"/>
      </w:pPr>
      <w:r>
        <w:rPr>
          <w:rFonts w:ascii="Arial" w:cs="Arial" w:eastAsia="Arial" w:hAnsi="Arial"/>
          <w:b/>
          <w:bCs/>
          <w:color w:val="263849"/>
          <w:sz w:val="26"/>
          <w:szCs w:val="26"/>
        </w:rPr>
        <w:t xml:space="preserve">A.3.2 Average PLCR</w:t>
      </w:r>
    </w:p>
    <w:p>
      <w:pPr>
        <w:spacing w:after="80"/>
      </w:pPr>
      <w:r>
        <w:rPr>
          <w:rFonts w:ascii="Consolas" w:cs="Consolas" w:eastAsia="Consolas" w:hAnsi="Consolas"/>
          <w:color w:val="444444"/>
          <w:sz w:val="20"/>
          <w:szCs w:val="20"/>
        </w:rPr>
        <w:t xml:space="preserve">PLCR_t = NPV(CFADS, t, end_of_life; r=cost_of_debt_at_ic) / Outstanding_debt_t</w:t>
      </w:r>
    </w:p>
    <w:p>
      <w:pPr>
        <w:spacing w:after="80"/>
      </w:pPr>
      <w:r>
        <w:rPr>
          <w:rFonts w:ascii="Consolas" w:cs="Consolas" w:eastAsia="Consolas" w:hAnsi="Consolas"/>
          <w:color w:val="444444"/>
          <w:sz w:val="20"/>
          <w:szCs w:val="20"/>
        </w:rPr>
        <w:t xml:space="preserve">Avg PLCR = mean(PLCR_t) over remaining tenor</w:t>
      </w:r>
    </w:p>
    <w:p>
      <w:pPr>
        <w:spacing w:after="140" w:line="280"/>
        <w:jc w:val="both"/>
      </w:pPr>
      <w:r>
        <w:rPr>
          <w:rFonts w:ascii="Arial" w:cs="Arial" w:eastAsia="Arial" w:hAnsi="Arial"/>
          <w:sz w:val="22"/>
          <w:szCs w:val="22"/>
        </w:rPr>
        <w:t xml:space="preserve">NPV taken over the period from time t to end of project life (not loan maturity). Captures tail-of-life economics for the lender's residual recourse.</w:t>
      </w:r>
    </w:p>
    <w:p>
      <w:pPr>
        <w:pStyle w:val="Heading2"/>
        <w:spacing w:after="120" w:before="240"/>
      </w:pPr>
      <w:r>
        <w:rPr>
          <w:rFonts w:ascii="Arial" w:cs="Arial" w:eastAsia="Arial" w:hAnsi="Arial"/>
          <w:b/>
          <w:bCs/>
          <w:color w:val="263849"/>
          <w:sz w:val="30"/>
          <w:szCs w:val="30"/>
        </w:rPr>
        <w:t xml:space="preserve">A.4 Stress headroom</w:t>
      </w:r>
    </w:p>
    <w:p>
      <w:pPr>
        <w:pStyle w:val="Heading3"/>
        <w:spacing w:after="80" w:before="180"/>
      </w:pPr>
      <w:r>
        <w:rPr>
          <w:rFonts w:ascii="Arial" w:cs="Arial" w:eastAsia="Arial" w:hAnsi="Arial"/>
          <w:b/>
          <w:bCs/>
          <w:color w:val="263849"/>
          <w:sz w:val="26"/>
          <w:szCs w:val="26"/>
        </w:rPr>
        <w:t xml:space="preserve">A.4.1 ADSCR Break-Even</w:t>
      </w:r>
    </w:p>
    <w:p>
      <w:pPr>
        <w:spacing w:after="140" w:line="280"/>
        <w:jc w:val="both"/>
      </w:pPr>
      <w:r>
        <w:rPr>
          <w:rFonts w:ascii="Arial" w:cs="Arial" w:eastAsia="Arial" w:hAnsi="Arial"/>
          <w:sz w:val="22"/>
          <w:szCs w:val="22"/>
        </w:rPr>
        <w:t xml:space="preserve">The revenue (or DSCR-input) haircut at which forward DSCR equals 1.00×.</w:t>
      </w:r>
    </w:p>
    <w:p>
      <w:pPr>
        <w:spacing w:after="80"/>
      </w:pPr>
      <w:r>
        <w:rPr>
          <w:rFonts w:ascii="Consolas" w:cs="Consolas" w:eastAsia="Consolas" w:hAnsi="Consolas"/>
          <w:color w:val="444444"/>
          <w:sz w:val="20"/>
          <w:szCs w:val="20"/>
        </w:rPr>
        <w:t xml:space="preserve">Find h such that Forward_DSCR(revenue × (1 - h)) = 1.00</w:t>
      </w:r>
    </w:p>
    <w:p>
      <w:pPr>
        <w:spacing w:after="140" w:line="280"/>
        <w:jc w:val="both"/>
      </w:pPr>
      <w:r>
        <w:rPr>
          <w:rFonts w:ascii="Arial" w:cs="Arial" w:eastAsia="Arial" w:hAnsi="Arial"/>
          <w:sz w:val="22"/>
          <w:szCs w:val="22"/>
        </w:rPr>
        <w:t xml:space="preserve">Solved numerically via binary search. Output: h as a percentage. Higher h = more stress resilience.</w:t>
      </w:r>
    </w:p>
    <w:p>
      <w:pPr>
        <w:pStyle w:val="Heading2"/>
        <w:spacing w:after="120" w:before="240"/>
      </w:pPr>
      <w:r>
        <w:rPr>
          <w:rFonts w:ascii="Arial" w:cs="Arial" w:eastAsia="Arial" w:hAnsi="Arial"/>
          <w:b/>
          <w:bCs/>
          <w:color w:val="263849"/>
          <w:sz w:val="30"/>
          <w:szCs w:val="30"/>
        </w:rPr>
        <w:t xml:space="preserve">A.5 Standard adjustments</w:t>
      </w:r>
    </w:p>
    <w:p>
      <w:pPr>
        <w:spacing w:after="140" w:line="280"/>
        <w:jc w:val="both"/>
      </w:pPr>
      <w:r>
        <w:rPr>
          <w:rFonts w:ascii="Arial" w:cs="Arial" w:eastAsia="Arial" w:hAnsi="Arial"/>
          <w:sz w:val="22"/>
          <w:szCs w:val="22"/>
        </w:rPr>
        <w:t xml:space="preserve">For leverage and cover ratios, the platform stores standard adjustment inputs that bridge reported values to adjusted values. These sit in period_financial_items alongside raw lines.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Adjustment</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Treatment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Operating lease capitalisation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Adjusted Debt += lease_expense × 8. Industry standard multiplier.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Pension deficit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Adjusted Debt += pension_deficit (net of deferred tax).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Hybrid debt equity content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Adjusted Debt -= hybrid_amount × equity_portion_pct (typically 50% for preferred equity, 100% for perpetual cumulative preference).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Securitisation reclassification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Add back on-balance-sheet if off-balance (or strip out if classified as debt).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Minority distributions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Subtract from CFADS at the lender's ratio level (depends on consolidation method).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Non-recurring items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Strip from EBITDA: gains/losses on disposal, restructuring, impairments.</w:t>
            </w:r>
          </w:p>
        </w:tc>
      </w:tr>
    </w:tbl>
    <w:p>
      <w:pPr>
        <w:pStyle w:val="Heading2"/>
        <w:spacing w:after="120" w:before="240"/>
      </w:pPr>
      <w:r>
        <w:rPr>
          <w:rFonts w:ascii="Arial" w:cs="Arial" w:eastAsia="Arial" w:hAnsi="Arial"/>
          <w:b/>
          <w:bCs/>
          <w:color w:val="263849"/>
          <w:sz w:val="30"/>
          <w:szCs w:val="30"/>
        </w:rPr>
        <w:t xml:space="preserve">A.6 Direction of ratios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Ratio</w:t>
            </w:r>
          </w:p>
        </w:tc>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Direction</w:t>
            </w:r>
          </w:p>
        </w:tc>
        <w:tc>
          <w:tcPr>
            <w:tcW w:type="dxa" w:w="4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Sensitivity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FFO / Net Debt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drift if falls ~300 bps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RCF / Net Debt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drift if falls ~300 bps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Debt / RCF</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drift if rises 1× turn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Avg LTV</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drift if rises 500 bps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DSCR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drift if falls 0.1× turn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AICR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drift if falls 0.2× turn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 Interest Cover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Similar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Avg DSCR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Similar to Total DSCR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 DSCR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Bigger swing: 0.2× turn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Avg LLCR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Tail-life dependent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Avg PLCR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Tail-life dependent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ADSCR Break-Even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higher is better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drift if falls 500 bps of haircut headroom</w:t>
            </w:r>
          </w:p>
        </w:tc>
      </w:tr>
    </w:tbl>
    <w:p>
      <w:pPr>
        <w:pStyle w:val="Heading2"/>
        <w:spacing w:after="120" w:before="240"/>
      </w:pPr>
      <w:r>
        <w:rPr>
          <w:rFonts w:ascii="Arial" w:cs="Arial" w:eastAsia="Arial" w:hAnsi="Arial"/>
          <w:b/>
          <w:bCs/>
          <w:color w:val="263849"/>
          <w:sz w:val="30"/>
          <w:szCs w:val="30"/>
        </w:rPr>
        <w:t xml:space="preserve">A.7 Sensitivity and grading use</w:t>
      </w:r>
    </w:p>
    <w:p>
      <w:pPr>
        <w:spacing w:after="140" w:line="280"/>
        <w:jc w:val="both"/>
      </w:pPr>
      <w:r>
        <w:rPr>
          <w:rFonts w:ascii="Arial" w:cs="Arial" w:eastAsia="Arial" w:hAnsi="Arial"/>
          <w:sz w:val="22"/>
          <w:szCs w:val="22"/>
        </w:rPr>
        <w:t xml:space="preserve">The Performance Grade Engine uses headroom on TWO of these metrics per deal — a primary cash-cover (typically Total DSCR or Forward DSCR) and a primary collateral (typically Avg LTV or LLCR). The Moody's pack populates these ratios where applicable; for non-externally-rated deals, sector-appropriate alternatives are substituted.</w:t>
      </w:r>
    </w:p>
    <w:p>
      <w:pPr>
        <w:pStyle w:val="Heading1"/>
        <w:pageBreakBefore/>
        <w:spacing w:after="180" w:before="240"/>
      </w:pPr>
      <w:r>
        <w:rPr>
          <w:rFonts w:ascii="Arial" w:cs="Arial" w:eastAsia="Arial" w:hAnsi="Arial"/>
          <w:b/>
          <w:bCs/>
          <w:color w:val="1F6FA5"/>
          <w:sz w:val="40"/>
          <w:szCs w:val="40"/>
        </w:rPr>
        <w:t xml:space="preserve">Appendix B — Formulas and rounding conventions</w:t>
      </w:r>
    </w:p>
    <w:p>
      <w:pPr>
        <w:pStyle w:val="Heading2"/>
        <w:spacing w:after="120" w:before="240"/>
      </w:pPr>
      <w:r>
        <w:rPr>
          <w:rFonts w:ascii="Arial" w:cs="Arial" w:eastAsia="Arial" w:hAnsi="Arial"/>
          <w:b/>
          <w:bCs/>
          <w:color w:val="263849"/>
          <w:sz w:val="30"/>
          <w:szCs w:val="30"/>
        </w:rPr>
        <w:t xml:space="preserve">B.1 Precision in storage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 type</w:t>
            </w:r>
          </w:p>
        </w:tc>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Storage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Display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Money values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NUMERIC(18,2)</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 dp, thousands-separated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Ratios (cover/leverage)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NUMERIC(10,4)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 dp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Percentages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NUMERIC(6,2)</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dp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FX rates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NUMERIC(12,7) stored; 5 dp arithmetic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dp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Basis points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bps, with "bps" suffix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Headroom %</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NUMERIC(6,2)</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dp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 / ordinal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r>
    </w:tbl>
    <w:p>
      <w:pPr>
        <w:spacing w:after="140" w:line="280"/>
        <w:jc w:val="both"/>
      </w:pPr>
      <w:r>
        <w:rPr>
          <w:rFonts w:ascii="Arial" w:cs="Arial" w:eastAsia="Arial" w:hAnsi="Arial"/>
          <w:sz w:val="22"/>
          <w:szCs w:val="22"/>
        </w:rPr>
        <w:t xml:space="preserve">All arithmetic uses NUMERIC throughout. No floating-point math for canonical values. IEEE-754 doubles are used only for chart rendering and never round-tripped back to storage.</w:t>
      </w:r>
    </w:p>
    <w:p>
      <w:pPr>
        <w:pStyle w:val="Heading2"/>
        <w:spacing w:after="120" w:before="240"/>
      </w:pPr>
      <w:r>
        <w:rPr>
          <w:rFonts w:ascii="Arial" w:cs="Arial" w:eastAsia="Arial" w:hAnsi="Arial"/>
          <w:b/>
          <w:bCs/>
          <w:color w:val="263849"/>
          <w:sz w:val="30"/>
          <w:szCs w:val="30"/>
        </w:rPr>
        <w:t xml:space="preserve">B.2 Rounding rule</w:t>
      </w:r>
    </w:p>
    <w:p>
      <w:pPr>
        <w:spacing w:after="140" w:line="280"/>
        <w:jc w:val="both"/>
      </w:pPr>
      <w:r>
        <w:rPr>
          <w:rFonts w:ascii="Arial" w:cs="Arial" w:eastAsia="Arial" w:hAnsi="Arial"/>
          <w:sz w:val="22"/>
          <w:szCs w:val="22"/>
        </w:rPr>
        <w:t xml:space="preserve">Banker's rounding (round-half-to-even) is used for display. Storage preserves the original precision. Engines compute in full storage precision and round only at display time.</w:t>
      </w:r>
    </w:p>
    <w:p>
      <w:pPr>
        <w:pStyle w:val="Heading2"/>
        <w:spacing w:after="120" w:before="240"/>
      </w:pPr>
      <w:r>
        <w:rPr>
          <w:rFonts w:ascii="Arial" w:cs="Arial" w:eastAsia="Arial" w:hAnsi="Arial"/>
          <w:b/>
          <w:bCs/>
          <w:color w:val="263849"/>
          <w:sz w:val="30"/>
          <w:szCs w:val="30"/>
        </w:rPr>
        <w:t xml:space="preserve">B.3 FX conversion</w:t>
      </w:r>
    </w:p>
    <w:p>
      <w:pPr>
        <w:spacing w:after="80"/>
      </w:pPr>
      <w:r>
        <w:rPr>
          <w:rFonts w:ascii="Consolas" w:cs="Consolas" w:eastAsia="Consolas" w:hAnsi="Consolas"/>
          <w:color w:val="444444"/>
          <w:sz w:val="20"/>
          <w:szCs w:val="20"/>
        </w:rPr>
        <w:t xml:space="preserve">amount_in_target = amount * (rate(EUR, target) / rate(EUR, source))</w:t>
      </w:r>
    </w:p>
    <w:p>
      <w:pPr>
        <w:spacing w:after="140" w:line="280"/>
        <w:jc w:val="both"/>
      </w:pPr>
      <w:r>
        <w:rPr>
          <w:rFonts w:ascii="Arial" w:cs="Arial" w:eastAsia="Arial" w:hAnsi="Arial"/>
          <w:sz w:val="22"/>
          <w:szCs w:val="22"/>
        </w:rPr>
        <w:t xml:space="preserve">Rates are EUR-base. Cross-rates are derived, never stored. Result rounded to 5 decimal places before returning. If either rate is missing for the as-of-date, fall back to latest prior rate (stale-snapshot tolerance).</w:t>
      </w:r>
    </w:p>
    <w:p>
      <w:pPr>
        <w:pStyle w:val="Heading2"/>
        <w:spacing w:after="120" w:before="240"/>
      </w:pPr>
      <w:r>
        <w:rPr>
          <w:rFonts w:ascii="Arial" w:cs="Arial" w:eastAsia="Arial" w:hAnsi="Arial"/>
          <w:b/>
          <w:bCs/>
          <w:color w:val="263849"/>
          <w:sz w:val="30"/>
          <w:szCs w:val="30"/>
        </w:rPr>
        <w:t xml:space="preserve">B.4 Headroom</w:t>
      </w:r>
    </w:p>
    <w:p>
      <w:pPr>
        <w:spacing w:after="80"/>
      </w:pPr>
      <w:r>
        <w:rPr>
          <w:rFonts w:ascii="Consolas" w:cs="Consolas" w:eastAsia="Consolas" w:hAnsi="Consolas"/>
          <w:color w:val="444444"/>
          <w:sz w:val="20"/>
          <w:szCs w:val="20"/>
        </w:rPr>
        <w:t xml:space="preserve">headroom_below = (actual - trigger) / trigger * 100    # for DSCR-type</w:t>
      </w:r>
    </w:p>
    <w:p>
      <w:pPr>
        <w:spacing w:after="80"/>
      </w:pPr>
      <w:r>
        <w:rPr>
          <w:rFonts w:ascii="Consolas" w:cs="Consolas" w:eastAsia="Consolas" w:hAnsi="Consolas"/>
          <w:color w:val="444444"/>
          <w:sz w:val="20"/>
          <w:szCs w:val="20"/>
        </w:rPr>
        <w:t xml:space="preserve">headroom_above = (trigger - actual) / trigger * 100    # for LTV-type</w:t>
      </w:r>
    </w:p>
    <w:p>
      <w:pPr>
        <w:spacing w:after="140" w:line="280"/>
        <w:jc w:val="both"/>
      </w:pPr>
      <w:r>
        <w:rPr>
          <w:rFonts w:ascii="Arial" w:cs="Arial" w:eastAsia="Arial" w:hAnsi="Arial"/>
          <w:sz w:val="22"/>
          <w:szCs w:val="22"/>
        </w:rPr>
        <w:t xml:space="preserve">Positive = performing; zero = at trigger; negative = breached. Stored as percentage (no hundredths multiplier).</w:t>
      </w:r>
    </w:p>
    <w:p>
      <w:pPr>
        <w:pStyle w:val="Heading2"/>
        <w:spacing w:after="120" w:before="240"/>
      </w:pPr>
      <w:r>
        <w:rPr>
          <w:rFonts w:ascii="Arial" w:cs="Arial" w:eastAsia="Arial" w:hAnsi="Arial"/>
          <w:b/>
          <w:bCs/>
          <w:color w:val="263849"/>
          <w:sz w:val="30"/>
          <w:szCs w:val="30"/>
        </w:rPr>
        <w:t xml:space="preserve">B.5 Computed line items</w:t>
      </w:r>
    </w:p>
    <w:p>
      <w:pPr>
        <w:spacing w:after="80"/>
      </w:pPr>
      <w:r>
        <w:rPr>
          <w:rFonts w:ascii="Consolas" w:cs="Consolas" w:eastAsia="Consolas" w:hAnsi="Consolas"/>
          <w:color w:val="444444"/>
          <w:sz w:val="20"/>
          <w:szCs w:val="20"/>
        </w:rPr>
        <w:t xml:space="preserve">ebitda = revenue_total - opex_total</w:t>
      </w:r>
    </w:p>
    <w:p>
      <w:pPr>
        <w:spacing w:after="80"/>
      </w:pPr>
      <w:r>
        <w:rPr>
          <w:rFonts w:ascii="Consolas" w:cs="Consolas" w:eastAsia="Consolas" w:hAnsi="Consolas"/>
          <w:color w:val="444444"/>
          <w:sz w:val="20"/>
          <w:szCs w:val="20"/>
        </w:rPr>
        <w:t xml:space="preserve">ebit = ebitda - depreciation - amortisation</w:t>
      </w:r>
    </w:p>
    <w:p>
      <w:pPr>
        <w:spacing w:after="80"/>
      </w:pPr>
      <w:r>
        <w:rPr>
          <w:rFonts w:ascii="Consolas" w:cs="Consolas" w:eastAsia="Consolas" w:hAnsi="Consolas"/>
          <w:color w:val="444444"/>
          <w:sz w:val="20"/>
          <w:szCs w:val="20"/>
        </w:rPr>
        <w:t xml:space="preserve">cfads_pre_maintenance = ebitda - tax_paid - (wc_receivables_mov + wc_payables_mov + wc_inventory_mov) + interest_received_reserves</w:t>
      </w:r>
    </w:p>
    <w:p>
      <w:pPr>
        <w:spacing w:after="80"/>
      </w:pPr>
      <w:r>
        <w:rPr>
          <w:rFonts w:ascii="Consolas" w:cs="Consolas" w:eastAsia="Consolas" w:hAnsi="Consolas"/>
          <w:color w:val="444444"/>
          <w:sz w:val="20"/>
          <w:szCs w:val="20"/>
        </w:rPr>
        <w:t xml:space="preserve">cfads_post_maintenance = cfads_pre_maintenance - maintenance_capex</w:t>
      </w:r>
    </w:p>
    <w:p>
      <w:pPr>
        <w:spacing w:after="80"/>
      </w:pPr>
      <w:r>
        <w:rPr>
          <w:rFonts w:ascii="Consolas" w:cs="Consolas" w:eastAsia="Consolas" w:hAnsi="Consolas"/>
          <w:color w:val="444444"/>
          <w:sz w:val="20"/>
          <w:szCs w:val="20"/>
        </w:rPr>
        <w:t xml:space="preserve">total_debt_service = senior_interest + senior_principal_scheduled + senior_principal_prepayment + senior_commitment_fee + mezz_interest + mezz_principal</w:t>
      </w:r>
    </w:p>
    <w:p>
      <w:pPr>
        <w:spacing w:after="80"/>
      </w:pPr>
      <w:r>
        <w:rPr>
          <w:rFonts w:ascii="Consolas" w:cs="Consolas" w:eastAsia="Consolas" w:hAnsi="Consolas"/>
          <w:color w:val="444444"/>
          <w:sz w:val="20"/>
          <w:szCs w:val="20"/>
        </w:rPr>
        <w:t xml:space="preserve">dscr = cfads_post_maintenance / total_debt_service</w:t>
      </w:r>
    </w:p>
    <w:p>
      <w:pPr>
        <w:spacing w:after="80"/>
      </w:pPr>
      <w:r>
        <w:rPr>
          <w:rFonts w:ascii="Consolas" w:cs="Consolas" w:eastAsia="Consolas" w:hAnsi="Consolas"/>
          <w:color w:val="444444"/>
          <w:sz w:val="20"/>
          <w:szCs w:val="20"/>
        </w:rPr>
        <w:t xml:space="preserve">net_debt_closing = drawn_senior + drawn_mezz - cash_closing - dsra_closing - mra_closing</w:t>
      </w:r>
    </w:p>
    <w:p>
      <w:pPr>
        <w:pStyle w:val="Heading2"/>
        <w:spacing w:after="120" w:before="240"/>
      </w:pPr>
      <w:r>
        <w:rPr>
          <w:rFonts w:ascii="Arial" w:cs="Arial" w:eastAsia="Arial" w:hAnsi="Arial"/>
          <w:b/>
          <w:bCs/>
          <w:color w:val="263849"/>
          <w:sz w:val="30"/>
          <w:szCs w:val="30"/>
        </w:rPr>
        <w:t xml:space="preserve">B.6 Covenant ratio formulae — pinned</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Exact formulas for LLCR/PLCR tail treatment, reserve netting, and the full AICR adjustment list are outstanding. The formulas below are the agreed base shape; edge cases to be pinned down in a future update. Discount rate for LLCR/PLCR is cost of debt at IC (user direction).</w:t>
      </w:r>
    </w:p>
    <w:p>
      <w:pPr>
        <w:spacing w:after="80"/>
      </w:pPr>
      <w:r>
        <w:rPr>
          <w:rFonts w:ascii="Consolas" w:cs="Consolas" w:eastAsia="Consolas" w:hAnsi="Consolas"/>
          <w:color w:val="444444"/>
          <w:sz w:val="20"/>
          <w:szCs w:val="20"/>
        </w:rPr>
        <w:t xml:space="preserve">llcr = npv(cfads, t, t_maturity, r=cost_of_debt_at_ic) / outstanding_debt</w:t>
      </w:r>
    </w:p>
    <w:p>
      <w:pPr>
        <w:spacing w:after="80"/>
      </w:pPr>
      <w:r>
        <w:rPr>
          <w:rFonts w:ascii="Consolas" w:cs="Consolas" w:eastAsia="Consolas" w:hAnsi="Consolas"/>
          <w:color w:val="444444"/>
          <w:sz w:val="20"/>
          <w:szCs w:val="20"/>
        </w:rPr>
        <w:t xml:space="preserve">plcr = npv(cfads, t, t_end_of_life, r=cost_of_debt_at_ic) / outstanding_debt</w:t>
      </w:r>
    </w:p>
    <w:p>
      <w:pPr>
        <w:spacing w:after="80"/>
      </w:pPr>
      <w:r>
        <w:rPr>
          <w:rFonts w:ascii="Consolas" w:cs="Consolas" w:eastAsia="Consolas" w:hAnsi="Consolas"/>
          <w:color w:val="444444"/>
          <w:sz w:val="20"/>
          <w:szCs w:val="20"/>
        </w:rPr>
        <w:t xml:space="preserve">icr = ebitda / (senior_interest + mezz_interest)</w:t>
      </w:r>
    </w:p>
    <w:p>
      <w:pPr>
        <w:spacing w:after="80"/>
      </w:pPr>
      <w:r>
        <w:rPr>
          <w:rFonts w:ascii="Consolas" w:cs="Consolas" w:eastAsia="Consolas" w:hAnsi="Consolas"/>
          <w:color w:val="444444"/>
          <w:sz w:val="20"/>
          <w:szCs w:val="20"/>
        </w:rPr>
        <w:t xml:space="preserve">pmicr = (ebitda - maintenance_capex) / interest</w:t>
      </w:r>
    </w:p>
    <w:p>
      <w:pPr>
        <w:spacing w:after="80"/>
      </w:pPr>
      <w:r>
        <w:rPr>
          <w:rFonts w:ascii="Consolas" w:cs="Consolas" w:eastAsia="Consolas" w:hAnsi="Consolas"/>
          <w:color w:val="444444"/>
          <w:sz w:val="20"/>
          <w:szCs w:val="20"/>
        </w:rPr>
        <w:t xml:space="preserve">ltv = outstanding_debt / asset_value</w:t>
      </w:r>
    </w:p>
    <w:p>
      <w:pPr>
        <w:spacing w:after="80"/>
      </w:pPr>
      <w:r>
        <w:rPr>
          <w:rFonts w:ascii="Consolas" w:cs="Consolas" w:eastAsia="Consolas" w:hAnsi="Consolas"/>
          <w:color w:val="444444"/>
          <w:sz w:val="20"/>
          <w:szCs w:val="20"/>
        </w:rPr>
        <w:t xml:space="preserve">net_debt_ebitda = (outstanding_debt - cash) / ebitda</w:t>
      </w:r>
    </w:p>
    <w:p>
      <w:pPr>
        <w:spacing w:after="80"/>
      </w:pPr>
      <w:r>
        <w:rPr>
          <w:rFonts w:ascii="Consolas" w:cs="Consolas" w:eastAsia="Consolas" w:hAnsi="Consolas"/>
          <w:color w:val="444444"/>
          <w:sz w:val="20"/>
          <w:szCs w:val="20"/>
        </w:rPr>
        <w:t xml:space="preserve">gearing = debt / (debt + equity)</w:t>
      </w:r>
    </w:p>
    <w:p>
      <w:pPr>
        <w:pStyle w:val="Heading2"/>
        <w:spacing w:after="120" w:before="240"/>
      </w:pPr>
      <w:r>
        <w:rPr>
          <w:rFonts w:ascii="Arial" w:cs="Arial" w:eastAsia="Arial" w:hAnsi="Arial"/>
          <w:b/>
          <w:bCs/>
          <w:color w:val="263849"/>
          <w:sz w:val="30"/>
          <w:szCs w:val="30"/>
        </w:rPr>
        <w:t xml:space="preserve">B.7 Variance thresholds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Line class</w:t>
            </w:r>
          </w:p>
        </w:tc>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Material threshold</w:t>
            </w:r>
          </w:p>
        </w:tc>
        <w:tc>
          <w:tcPr>
            <w:tcW w:type="dxa" w:w="3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 lines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&gt; 15%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Standard band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Opex lines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&gt; 15%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Standard band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EBITDA</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&gt; 10%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Tighter — downstream impact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CFADS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&gt; 10%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Tighter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Debt service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&gt; 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be near-deterministic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&gt; 0.05× absolute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 not percentage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balances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&gt; 10% shortfall</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Shortfall variant</w:t>
            </w:r>
          </w:p>
        </w:tc>
      </w:tr>
    </w:tbl>
    <w:p>
      <w:pPr>
        <w:pStyle w:val="Heading2"/>
        <w:spacing w:after="120" w:before="240"/>
      </w:pPr>
      <w:r>
        <w:rPr>
          <w:rFonts w:ascii="Arial" w:cs="Arial" w:eastAsia="Arial" w:hAnsi="Arial"/>
          <w:b/>
          <w:bCs/>
          <w:color w:val="263849"/>
          <w:sz w:val="30"/>
          <w:szCs w:val="30"/>
        </w:rPr>
        <w:t xml:space="preserve">B.8 Sign conventions</w:t>
      </w:r>
    </w:p>
    <w:p>
      <w:pPr>
        <w:pStyle w:val="ListParagraph"/>
        <w:numPr>
          <w:ilvl w:val="0"/>
          <w:numId w:val="2"/>
        </w:numPr>
        <w:spacing w:after="60"/>
      </w:pPr>
      <w:r>
        <w:rPr>
          <w:rFonts w:ascii="Arial" w:cs="Arial" w:eastAsia="Arial" w:hAnsi="Arial"/>
          <w:sz w:val="22"/>
          <w:szCs w:val="22"/>
        </w:rPr>
        <w:t xml:space="preserve">Revenue: positive</w:t>
      </w:r>
    </w:p>
    <w:p>
      <w:pPr>
        <w:pStyle w:val="ListParagraph"/>
        <w:numPr>
          <w:ilvl w:val="0"/>
          <w:numId w:val="2"/>
        </w:numPr>
        <w:spacing w:after="60"/>
      </w:pPr>
      <w:r>
        <w:rPr>
          <w:rFonts w:ascii="Arial" w:cs="Arial" w:eastAsia="Arial" w:hAnsi="Arial"/>
          <w:sz w:val="22"/>
          <w:szCs w:val="22"/>
        </w:rPr>
        <w:t xml:space="preserve">Opex: positive (expressed as absolute expense; the computed EBITDA subtracts)</w:t>
      </w:r>
    </w:p>
    <w:p>
      <w:pPr>
        <w:pStyle w:val="ListParagraph"/>
        <w:numPr>
          <w:ilvl w:val="0"/>
          <w:numId w:val="2"/>
        </w:numPr>
        <w:spacing w:after="60"/>
      </w:pPr>
      <w:r>
        <w:rPr>
          <w:rFonts w:ascii="Arial" w:cs="Arial" w:eastAsia="Arial" w:hAnsi="Arial"/>
          <w:sz w:val="22"/>
          <w:szCs w:val="22"/>
        </w:rPr>
        <w:t xml:space="preserve">Working capital movements: increase in receivables is negative (reduces cash); increase in payables is positive</w:t>
      </w:r>
    </w:p>
    <w:p>
      <w:pPr>
        <w:pStyle w:val="ListParagraph"/>
        <w:numPr>
          <w:ilvl w:val="0"/>
          <w:numId w:val="2"/>
        </w:numPr>
        <w:spacing w:after="60"/>
      </w:pPr>
      <w:r>
        <w:rPr>
          <w:rFonts w:ascii="Arial" w:cs="Arial" w:eastAsia="Arial" w:hAnsi="Arial"/>
          <w:sz w:val="22"/>
          <w:szCs w:val="22"/>
        </w:rPr>
        <w:t xml:space="preserve">Tax paid: positive (subtracted from CFADS pre-maintenance)</w:t>
      </w:r>
    </w:p>
    <w:p>
      <w:pPr>
        <w:pStyle w:val="ListParagraph"/>
        <w:numPr>
          <w:ilvl w:val="0"/>
          <w:numId w:val="2"/>
        </w:numPr>
        <w:spacing w:after="60"/>
      </w:pPr>
      <w:r>
        <w:rPr>
          <w:rFonts w:ascii="Arial" w:cs="Arial" w:eastAsia="Arial" w:hAnsi="Arial"/>
          <w:sz w:val="22"/>
          <w:szCs w:val="22"/>
        </w:rPr>
        <w:t xml:space="preserve">Maintenance capex: positive (subtracted from CFADS pre to give post)</w:t>
      </w:r>
    </w:p>
    <w:p>
      <w:pPr>
        <w:pStyle w:val="ListParagraph"/>
        <w:numPr>
          <w:ilvl w:val="0"/>
          <w:numId w:val="2"/>
        </w:numPr>
        <w:spacing w:after="60"/>
      </w:pPr>
      <w:r>
        <w:rPr>
          <w:rFonts w:ascii="Arial" w:cs="Arial" w:eastAsia="Arial" w:hAnsi="Arial"/>
          <w:sz w:val="22"/>
          <w:szCs w:val="22"/>
        </w:rPr>
        <w:t xml:space="preserve">Principal: positive</w:t>
      </w:r>
    </w:p>
    <w:p>
      <w:pPr>
        <w:pStyle w:val="ListParagraph"/>
        <w:numPr>
          <w:ilvl w:val="0"/>
          <w:numId w:val="2"/>
        </w:numPr>
        <w:spacing w:after="60"/>
      </w:pPr>
      <w:r>
        <w:rPr>
          <w:rFonts w:ascii="Arial" w:cs="Arial" w:eastAsia="Arial" w:hAnsi="Arial"/>
          <w:sz w:val="22"/>
          <w:szCs w:val="22"/>
        </w:rPr>
        <w:t xml:space="preserve">Cash sweep: positive</w:t>
      </w:r>
    </w:p>
    <w:p>
      <w:pPr>
        <w:pStyle w:val="ListParagraph"/>
        <w:numPr>
          <w:ilvl w:val="0"/>
          <w:numId w:val="2"/>
        </w:numPr>
        <w:spacing w:after="60"/>
      </w:pPr>
      <w:r>
        <w:rPr>
          <w:rFonts w:ascii="Arial" w:cs="Arial" w:eastAsia="Arial" w:hAnsi="Arial"/>
          <w:sz w:val="22"/>
          <w:szCs w:val="22"/>
        </w:rPr>
        <w:t xml:space="preserve">Distributions to equity: positive</w:t>
      </w:r>
    </w:p>
    <w:p>
      <w:pPr>
        <w:pStyle w:val="Heading2"/>
        <w:spacing w:after="120" w:before="240"/>
      </w:pPr>
      <w:r>
        <w:rPr>
          <w:rFonts w:ascii="Arial" w:cs="Arial" w:eastAsia="Arial" w:hAnsi="Arial"/>
          <w:b/>
          <w:bCs/>
          <w:color w:val="263849"/>
          <w:sz w:val="30"/>
          <w:szCs w:val="30"/>
        </w:rPr>
        <w:t xml:space="preserve">B.9 Null handling</w:t>
      </w:r>
    </w:p>
    <w:p>
      <w:pPr>
        <w:pStyle w:val="ListParagraph"/>
        <w:numPr>
          <w:ilvl w:val="0"/>
          <w:numId w:val="2"/>
        </w:numPr>
        <w:spacing w:after="60"/>
      </w:pPr>
      <w:r>
        <w:rPr>
          <w:rFonts w:ascii="Arial" w:cs="Arial" w:eastAsia="Arial" w:hAnsi="Arial"/>
          <w:sz w:val="22"/>
          <w:szCs w:val="22"/>
        </w:rPr>
        <w:t xml:space="preserve">Missing actuals: variance engine skips the line for that period (no row written).</w:t>
      </w:r>
    </w:p>
    <w:p>
      <w:pPr>
        <w:pStyle w:val="ListParagraph"/>
        <w:numPr>
          <w:ilvl w:val="0"/>
          <w:numId w:val="2"/>
        </w:numPr>
        <w:spacing w:after="60"/>
      </w:pPr>
      <w:r>
        <w:rPr>
          <w:rFonts w:ascii="Arial" w:cs="Arial" w:eastAsia="Arial" w:hAnsi="Arial"/>
          <w:sz w:val="22"/>
          <w:szCs w:val="22"/>
        </w:rPr>
        <w:t xml:space="preserve">Missing forecast: variance engine writes a row with forecast_value NULL and variance_pct NULL; the card in the UI shows "—".</w:t>
      </w:r>
    </w:p>
    <w:p>
      <w:pPr>
        <w:pStyle w:val="ListParagraph"/>
        <w:numPr>
          <w:ilvl w:val="0"/>
          <w:numId w:val="2"/>
        </w:numPr>
        <w:spacing w:after="60"/>
      </w:pPr>
      <w:r>
        <w:rPr>
          <w:rFonts w:ascii="Arial" w:cs="Arial" w:eastAsia="Arial" w:hAnsi="Arial"/>
          <w:sz w:val="22"/>
          <w:szCs w:val="22"/>
        </w:rPr>
        <w:t xml:space="preserve">Missing threshold: covenant engine skips the covenant; logs a warning.</w:t>
      </w:r>
    </w:p>
    <w:p>
      <w:pPr>
        <w:pStyle w:val="ListParagraph"/>
        <w:numPr>
          <w:ilvl w:val="0"/>
          <w:numId w:val="2"/>
        </w:numPr>
        <w:spacing w:after="60"/>
      </w:pPr>
      <w:r>
        <w:rPr>
          <w:rFonts w:ascii="Arial" w:cs="Arial" w:eastAsia="Arial" w:hAnsi="Arial"/>
          <w:sz w:val="22"/>
          <w:szCs w:val="22"/>
        </w:rPr>
        <w:t xml:space="preserve">Missing EV: Capital Stack Engine emits a validation warning and degrades to structure-only view.</w:t>
      </w:r>
    </w:p>
    <w:p>
      <w:pPr>
        <w:pStyle w:val="Heading2"/>
        <w:spacing w:after="120" w:before="240"/>
      </w:pPr>
      <w:r>
        <w:rPr>
          <w:rFonts w:ascii="Arial" w:cs="Arial" w:eastAsia="Arial" w:hAnsi="Arial"/>
          <w:b/>
          <w:bCs/>
          <w:color w:val="263849"/>
          <w:sz w:val="30"/>
          <w:szCs w:val="30"/>
        </w:rPr>
        <w:t xml:space="preserve">B.10 Date arithmetic</w:t>
      </w:r>
    </w:p>
    <w:p>
      <w:pPr>
        <w:pStyle w:val="ListParagraph"/>
        <w:numPr>
          <w:ilvl w:val="0"/>
          <w:numId w:val="2"/>
        </w:numPr>
        <w:spacing w:after="60"/>
      </w:pPr>
      <w:r>
        <w:rPr>
          <w:rFonts w:ascii="Arial" w:cs="Arial" w:eastAsia="Arial" w:hAnsi="Arial"/>
          <w:sz w:val="22"/>
          <w:szCs w:val="22"/>
        </w:rPr>
        <w:t xml:space="preserve">Period start / end: inclusive start, inclusive end for quarterly; industry standard.</w:t>
      </w:r>
    </w:p>
    <w:p>
      <w:pPr>
        <w:pStyle w:val="ListParagraph"/>
        <w:numPr>
          <w:ilvl w:val="0"/>
          <w:numId w:val="2"/>
        </w:numPr>
        <w:spacing w:after="60"/>
      </w:pPr>
      <w:r>
        <w:rPr>
          <w:rFonts w:ascii="Arial" w:cs="Arial" w:eastAsia="Arial" w:hAnsi="Arial"/>
          <w:sz w:val="22"/>
          <w:szCs w:val="22"/>
        </w:rPr>
        <w:t xml:space="preserve">Due date = period_end + reporting_lag_days, then apply day convention.</w:t>
      </w:r>
    </w:p>
    <w:p>
      <w:pPr>
        <w:pStyle w:val="ListParagraph"/>
        <w:numPr>
          <w:ilvl w:val="0"/>
          <w:numId w:val="2"/>
        </w:numPr>
        <w:spacing w:after="60"/>
      </w:pPr>
      <w:r>
        <w:rPr>
          <w:rFonts w:ascii="Arial" w:cs="Arial" w:eastAsia="Arial" w:hAnsi="Arial"/>
          <w:sz w:val="22"/>
          <w:szCs w:val="22"/>
        </w:rPr>
        <w:t xml:space="preserve">Cure period: due_date + cure_period_days with day convention 'actual' (no business-day adjustment).</w:t>
      </w:r>
    </w:p>
    <w:p>
      <w:pPr>
        <w:pStyle w:val="Heading1"/>
        <w:pageBreakBefore/>
        <w:spacing w:after="180" w:before="240"/>
      </w:pPr>
      <w:r>
        <w:rPr>
          <w:rFonts w:ascii="Arial" w:cs="Arial" w:eastAsia="Arial" w:hAnsi="Arial"/>
          <w:b/>
          <w:bCs/>
          <w:color w:val="1F6FA5"/>
          <w:sz w:val="40"/>
          <w:szCs w:val="40"/>
        </w:rPr>
        <w:t xml:space="preserve">Appendix C — Event and activity type registry</w:t>
      </w:r>
    </w:p>
    <w:p>
      <w:pPr>
        <w:spacing w:after="140" w:line="280"/>
        <w:jc w:val="both"/>
      </w:pPr>
      <w:r>
        <w:rPr>
          <w:rFonts w:ascii="Arial" w:cs="Arial" w:eastAsia="Arial" w:hAnsi="Arial"/>
          <w:sz w:val="22"/>
          <w:szCs w:val="22"/>
        </w:rPr>
        <w:t xml:space="preserve">activity_events is the central activity log. Every write of significance produces a row. The event_type column uses a controlled vocabulary organised by namespace. This appendix is the authoritative registry.</w:t>
      </w:r>
    </w:p>
    <w:p>
      <w:pPr>
        <w:pStyle w:val="Heading2"/>
        <w:spacing w:after="120" w:before="240"/>
      </w:pPr>
      <w:r>
        <w:rPr>
          <w:rFonts w:ascii="Arial" w:cs="Arial" w:eastAsia="Arial" w:hAnsi="Arial"/>
          <w:b/>
          <w:bCs/>
          <w:color w:val="263849"/>
          <w:sz w:val="30"/>
          <w:szCs w:val="30"/>
        </w:rPr>
        <w:t xml:space="preserve">C.1 Naming convention</w:t>
      </w:r>
    </w:p>
    <w:p>
      <w:pPr>
        <w:pStyle w:val="ListParagraph"/>
        <w:numPr>
          <w:ilvl w:val="0"/>
          <w:numId w:val="2"/>
        </w:numPr>
        <w:spacing w:after="60"/>
      </w:pPr>
      <w:r>
        <w:rPr>
          <w:rFonts w:ascii="Arial" w:cs="Arial" w:eastAsia="Arial" w:hAnsi="Arial"/>
          <w:sz w:val="22"/>
          <w:szCs w:val="22"/>
        </w:rPr>
        <w:t xml:space="preserve">Dotted namespace: &lt;domain&gt;.&lt;subject&gt;.&lt;verb&gt;</w:t>
      </w:r>
    </w:p>
    <w:p>
      <w:pPr>
        <w:pStyle w:val="ListParagraph"/>
        <w:numPr>
          <w:ilvl w:val="0"/>
          <w:numId w:val="2"/>
        </w:numPr>
        <w:spacing w:after="60"/>
      </w:pPr>
      <w:r>
        <w:rPr>
          <w:rFonts w:ascii="Arial" w:cs="Arial" w:eastAsia="Arial" w:hAnsi="Arial"/>
          <w:sz w:val="22"/>
          <w:szCs w:val="22"/>
        </w:rPr>
        <w:t xml:space="preserve">Verbs: created / updated / committed / superseded / deleted / run / opened / acknowledged / resolved / fired</w:t>
      </w:r>
    </w:p>
    <w:p>
      <w:pPr>
        <w:pStyle w:val="ListParagraph"/>
        <w:numPr>
          <w:ilvl w:val="0"/>
          <w:numId w:val="2"/>
        </w:numPr>
        <w:spacing w:after="60"/>
      </w:pPr>
      <w:r>
        <w:rPr>
          <w:rFonts w:ascii="Arial" w:cs="Arial" w:eastAsia="Arial" w:hAnsi="Arial"/>
          <w:sz w:val="22"/>
          <w:szCs w:val="22"/>
        </w:rPr>
        <w:t xml:space="preserve">Past-tense: every event_type ends in a past-tense verb (what happened, not what is happening)</w:t>
      </w:r>
    </w:p>
    <w:p>
      <w:pPr>
        <w:pStyle w:val="Heading2"/>
        <w:spacing w:after="120" w:before="240"/>
      </w:pPr>
      <w:r>
        <w:rPr>
          <w:rFonts w:ascii="Arial" w:cs="Arial" w:eastAsia="Arial" w:hAnsi="Arial"/>
          <w:b/>
          <w:bCs/>
          <w:color w:val="263849"/>
          <w:sz w:val="30"/>
          <w:szCs w:val="30"/>
        </w:rPr>
        <w:t xml:space="preserve">C.2 Registry</w:t>
      </w:r>
    </w:p>
    <w:p>
      <w:pPr>
        <w:pStyle w:val="Heading3"/>
        <w:spacing w:after="80" w:before="180"/>
      </w:pPr>
      <w:r>
        <w:rPr>
          <w:rFonts w:ascii="Arial" w:cs="Arial" w:eastAsia="Arial" w:hAnsi="Arial"/>
          <w:b/>
          <w:bCs/>
          <w:color w:val="263849"/>
          <w:sz w:val="26"/>
          <w:szCs w:val="26"/>
        </w:rPr>
        <w:t xml:space="preserve">Document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document.uploaded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 incoming_documents row is created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document.processing.started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 document_processing_run begins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document.processing.completed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Run completes successfully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document.processing.failed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Run fails; error_message populated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document.proposals.ready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Proposals generated and awaiting review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document.committed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 transaction completed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document.rejected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Analyst rejects the proposal set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document.superseded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Older document superseded by a new commit</w:t>
            </w:r>
          </w:p>
        </w:tc>
      </w:tr>
    </w:tbl>
    <w:p>
      <w:pPr>
        <w:pStyle w:val="Heading3"/>
        <w:spacing w:after="80" w:before="180"/>
      </w:pPr>
      <w:r>
        <w:rPr>
          <w:rFonts w:ascii="Arial" w:cs="Arial" w:eastAsia="Arial" w:hAnsi="Arial"/>
          <w:b/>
          <w:bCs/>
          <w:color w:val="263849"/>
          <w:sz w:val="26"/>
          <w:szCs w:val="26"/>
        </w:rPr>
        <w:t xml:space="preserve">Engine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engine.grade.run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Performance Grade Engine writes deal_assessments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engine.variance.run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 Engine writes financial_variances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engine.three_case.run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Three-Case engine completes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engine.trend.run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Plan Variance Trend Engine v5 classifies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engine.covenant.run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 Testing Engine writes covenant_tests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engine.distribution.run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 Assessment Engine writes distribution_assessments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engine.ratio_reconciliation.run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 vs platform ratio reconciliation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engine.risk_narrative.run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narrative generated/updated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engine.reserve_history.run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history engine writes deal_reserve_history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engine.capital_stack.run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Stack Engine build_capital_stack()</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engine.ratchet.run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Margin Ratchet Engine evaluates step movement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engine.refresh_impact.run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Refresh Impact Engine diffs versions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engine.audit_link.run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Audit-trail evidence linker runs</w:t>
            </w:r>
          </w:p>
        </w:tc>
      </w:tr>
    </w:tbl>
    <w:p>
      <w:pPr>
        <w:pStyle w:val="Heading3"/>
        <w:spacing w:after="80" w:before="180"/>
      </w:pPr>
      <w:r>
        <w:rPr>
          <w:rFonts w:ascii="Arial" w:cs="Arial" w:eastAsia="Arial" w:hAnsi="Arial"/>
          <w:b/>
          <w:bCs/>
          <w:color w:val="263849"/>
          <w:sz w:val="26"/>
          <w:szCs w:val="26"/>
        </w:rPr>
        <w:t xml:space="preserve">Grade and trend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grade.moved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changes from one band to another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grade.override.set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 manual grade override is pinned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grade.override.expired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 grade override expires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trend.band_changed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Trend band moves to a different band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watchlist.on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 added to watchlist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watchlist.off</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 removed from watchlist</w:t>
            </w:r>
          </w:p>
        </w:tc>
      </w:tr>
    </w:tbl>
    <w:p>
      <w:pPr>
        <w:pStyle w:val="Heading3"/>
        <w:spacing w:after="80" w:before="180"/>
      </w:pPr>
      <w:r>
        <w:rPr>
          <w:rFonts w:ascii="Arial" w:cs="Arial" w:eastAsia="Arial" w:hAnsi="Arial"/>
          <w:b/>
          <w:bCs/>
          <w:color w:val="263849"/>
          <w:sz w:val="26"/>
          <w:szCs w:val="26"/>
        </w:rPr>
        <w:t xml:space="preserve">Covenant and distribution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covenant.test.performing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covenant_tests row classified as performing</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covenant.test.lockup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test classified as lockup</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covenant.test.trigger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test classified as trigger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covenant.test.default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test classified as default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covenant.threshold.updated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covenant_thresholds row changes via amendment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distribution.assessed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distribution_assessments row written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distribution.status_changed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 moves between allowed/review_required/restricted/blocked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eod.fired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deal_trigger_events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eod.cured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 event resolved</w:t>
            </w:r>
          </w:p>
        </w:tc>
      </w:tr>
    </w:tbl>
    <w:p>
      <w:pPr>
        <w:pStyle w:val="Heading3"/>
        <w:spacing w:after="80" w:before="180"/>
      </w:pPr>
      <w:r>
        <w:rPr>
          <w:rFonts w:ascii="Arial" w:cs="Arial" w:eastAsia="Arial" w:hAnsi="Arial"/>
          <w:b/>
          <w:bCs/>
          <w:color w:val="263849"/>
          <w:sz w:val="26"/>
          <w:szCs w:val="26"/>
        </w:rPr>
        <w:t xml:space="preserve">Risk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risk.register.created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deal_risk_register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risk.register.updated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Existing risk updated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risk.register.retired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marked retired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risk.crystallised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outcome has occurred</w:t>
            </w:r>
          </w:p>
        </w:tc>
      </w:tr>
    </w:tbl>
    <w:p>
      <w:pPr>
        <w:pStyle w:val="Heading3"/>
        <w:spacing w:after="80" w:before="180"/>
      </w:pPr>
      <w:r>
        <w:rPr>
          <w:rFonts w:ascii="Arial" w:cs="Arial" w:eastAsia="Arial" w:hAnsi="Arial"/>
          <w:b/>
          <w:bCs/>
          <w:color w:val="263849"/>
          <w:sz w:val="26"/>
          <w:szCs w:val="26"/>
        </w:rPr>
        <w:t xml:space="preserve">Forecast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forecast.case.created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forecast_cases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forecast.version.created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forecast_case_versions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forecast.version.approved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Version flipped to is_active=true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forecast.refreshed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Reforecast completes; impacts written</w:t>
            </w:r>
          </w:p>
        </w:tc>
      </w:tr>
    </w:tbl>
    <w:p>
      <w:pPr>
        <w:pStyle w:val="Heading3"/>
        <w:spacing w:after="80" w:before="180"/>
      </w:pPr>
      <w:r>
        <w:rPr>
          <w:rFonts w:ascii="Arial" w:cs="Arial" w:eastAsia="Arial" w:hAnsi="Arial"/>
          <w:b/>
          <w:bCs/>
          <w:color w:val="263849"/>
          <w:sz w:val="26"/>
          <w:szCs w:val="26"/>
        </w:rPr>
        <w:t xml:space="preserve">Reserve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reserve.top_up.due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Next required top-up date reached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reserve.shortfall.opened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Balance falls below required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reserve.shortfall.cured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Balance restored within cure window</w:t>
            </w:r>
          </w:p>
        </w:tc>
      </w:tr>
    </w:tbl>
    <w:p>
      <w:pPr>
        <w:pStyle w:val="Heading3"/>
        <w:spacing w:after="80" w:before="180"/>
      </w:pPr>
      <w:r>
        <w:rPr>
          <w:rFonts w:ascii="Arial" w:cs="Arial" w:eastAsia="Arial" w:hAnsi="Arial"/>
          <w:b/>
          <w:bCs/>
          <w:color w:val="263849"/>
          <w:sz w:val="26"/>
          <w:szCs w:val="26"/>
        </w:rPr>
        <w:t xml:space="preserve">Obligation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obligation.due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Business-day-adjusted due date reached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obligation.overdue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Due date passed without fulfilment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obligation.fulfilled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Fulfilment recorded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obligation.waived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 formally waived</w:t>
            </w:r>
          </w:p>
        </w:tc>
      </w:tr>
    </w:tbl>
    <w:p>
      <w:pPr>
        <w:pStyle w:val="Heading3"/>
        <w:spacing w:after="80" w:before="180"/>
      </w:pPr>
      <w:r>
        <w:rPr>
          <w:rFonts w:ascii="Arial" w:cs="Arial" w:eastAsia="Arial" w:hAnsi="Arial"/>
          <w:b/>
          <w:bCs/>
          <w:color w:val="263849"/>
          <w:sz w:val="26"/>
          <w:szCs w:val="26"/>
        </w:rPr>
        <w:t xml:space="preserve">Workflow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task.created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workflow_tasks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task.assigned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Task assignee changes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task.completed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Task completed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case.opened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compliance_cases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case.updated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Case status or assignee changes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case.closed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Case closed (resolution_notes set)</w:t>
            </w:r>
          </w:p>
        </w:tc>
      </w:tr>
    </w:tbl>
    <w:p>
      <w:pPr>
        <w:pStyle w:val="Heading3"/>
        <w:spacing w:after="80" w:before="180"/>
      </w:pPr>
      <w:r>
        <w:rPr>
          <w:rFonts w:ascii="Arial" w:cs="Arial" w:eastAsia="Arial" w:hAnsi="Arial"/>
          <w:b/>
          <w:bCs/>
          <w:color w:val="263849"/>
          <w:sz w:val="26"/>
          <w:szCs w:val="26"/>
        </w:rPr>
        <w:t xml:space="preserve">Alert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alert.opened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compliance_alerts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alert.acknowledged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Alert acknowledged by user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alert.resolved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Alert resolved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alert.escalated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Alert converted to compliance case</w:t>
            </w:r>
          </w:p>
        </w:tc>
      </w:tr>
    </w:tbl>
    <w:p>
      <w:pPr>
        <w:pStyle w:val="Heading3"/>
        <w:spacing w:after="80" w:before="180"/>
      </w:pPr>
      <w:r>
        <w:rPr>
          <w:rFonts w:ascii="Arial" w:cs="Arial" w:eastAsia="Arial" w:hAnsi="Arial"/>
          <w:b/>
          <w:bCs/>
          <w:color w:val="263849"/>
          <w:sz w:val="26"/>
          <w:szCs w:val="26"/>
        </w:rPr>
        <w:t xml:space="preserve">Amendment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amendment.drafted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Draft deal_amendments row from amendment letter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amendment.committed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Amendment formally committed; change_impacts applied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amendment.consent.collected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Per-class consent thresholds met</w:t>
            </w:r>
          </w:p>
        </w:tc>
      </w:tr>
    </w:tbl>
    <w:p>
      <w:pPr>
        <w:pStyle w:val="Heading3"/>
        <w:spacing w:after="80" w:before="180"/>
      </w:pPr>
      <w:r>
        <w:rPr>
          <w:rFonts w:ascii="Arial" w:cs="Arial" w:eastAsia="Arial" w:hAnsi="Arial"/>
          <w:b/>
          <w:bCs/>
          <w:color w:val="263849"/>
          <w:sz w:val="26"/>
          <w:szCs w:val="26"/>
        </w:rPr>
        <w:t xml:space="preserve">Capital 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ratchet.step.moved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Margin ratchet step moves; history row written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capital.structure.updated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Instrument or entity row updated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capital.stack.recomputed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Stack Engine re-run explicitly</w:t>
            </w:r>
          </w:p>
        </w:tc>
      </w:tr>
    </w:tbl>
    <w:p>
      <w:pPr>
        <w:pStyle w:val="Heading3"/>
        <w:spacing w:after="80" w:before="180"/>
      </w:pPr>
      <w:r>
        <w:rPr>
          <w:rFonts w:ascii="Arial" w:cs="Arial" w:eastAsia="Arial" w:hAnsi="Arial"/>
          <w:b/>
          <w:bCs/>
          <w:color w:val="263849"/>
          <w:sz w:val="26"/>
          <w:szCs w:val="26"/>
        </w:rPr>
        <w:t xml:space="preserve">Borrower request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borrower.request.received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 submits consent/waiver/amendment ask</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borrower.request.responded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Platform responds</w:t>
            </w:r>
          </w:p>
        </w:tc>
      </w:tr>
    </w:tbl>
    <w:p>
      <w:pPr>
        <w:pStyle w:val="Heading3"/>
        <w:spacing w:after="80" w:before="180"/>
      </w:pPr>
      <w:r>
        <w:rPr>
          <w:rFonts w:ascii="Arial" w:cs="Arial" w:eastAsia="Arial" w:hAnsi="Arial"/>
          <w:b/>
          <w:bCs/>
          <w:color w:val="263849"/>
          <w:sz w:val="26"/>
          <w:szCs w:val="26"/>
        </w:rPr>
        <w:t xml:space="preserve">Snapshot and reports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snapshot.frozen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deal_topsheet_snapshots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report.generated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report_exports row</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memo.pack.created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memo_packs row</w:t>
            </w:r>
          </w:p>
        </w:tc>
      </w:tr>
    </w:tbl>
    <w:p>
      <w:pPr>
        <w:pStyle w:val="Heading3"/>
        <w:spacing w:after="80" w:before="180"/>
      </w:pPr>
      <w:r>
        <w:rPr>
          <w:rFonts w:ascii="Arial" w:cs="Arial" w:eastAsia="Arial" w:hAnsi="Arial"/>
          <w:b/>
          <w:bCs/>
          <w:color w:val="263849"/>
          <w:sz w:val="26"/>
          <w:szCs w:val="26"/>
        </w:rPr>
        <w:t xml:space="preserve">Notes and manual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event_type</w:t>
            </w:r>
          </w:p>
        </w:tc>
        <w:tc>
          <w:tcPr>
            <w:tcW w:type="dxa" w:w="6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Emitted when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Analyst note appended via POST /api/deals/{slug}/notes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manual.correction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Human override of an engine output with rationale</w:t>
            </w:r>
          </w:p>
        </w:tc>
      </w:tr>
    </w:tbl>
    <w:p>
      <w:pPr>
        <w:pStyle w:val="Heading2"/>
        <w:spacing w:after="120" w:before="240"/>
      </w:pPr>
      <w:r>
        <w:rPr>
          <w:rFonts w:ascii="Arial" w:cs="Arial" w:eastAsia="Arial" w:hAnsi="Arial"/>
          <w:b/>
          <w:bCs/>
          <w:color w:val="263849"/>
          <w:sz w:val="30"/>
          <w:szCs w:val="30"/>
        </w:rPr>
        <w:t xml:space="preserve">C.3 Event payload</w:t>
      </w:r>
    </w:p>
    <w:p>
      <w:pPr>
        <w:pStyle w:val="ListParagraph"/>
        <w:numPr>
          <w:ilvl w:val="0"/>
          <w:numId w:val="2"/>
        </w:numPr>
        <w:spacing w:after="60"/>
      </w:pPr>
      <w:r>
        <w:rPr>
          <w:rFonts w:ascii="Arial" w:cs="Arial" w:eastAsia="Arial" w:hAnsi="Arial"/>
          <w:sz w:val="22"/>
          <w:szCs w:val="22"/>
        </w:rPr>
        <w:t xml:space="preserve">details JSONB carries event-specific payload (e.g. {old_grade: 2, new_grade: 3, trigger: 'headroom_erosion'}).</w:t>
      </w:r>
    </w:p>
    <w:p>
      <w:pPr>
        <w:pStyle w:val="ListParagraph"/>
        <w:numPr>
          <w:ilvl w:val="0"/>
          <w:numId w:val="2"/>
        </w:numPr>
        <w:spacing w:after="60"/>
      </w:pPr>
      <w:r>
        <w:rPr>
          <w:rFonts w:ascii="Arial" w:cs="Arial" w:eastAsia="Arial" w:hAnsi="Arial"/>
          <w:sz w:val="22"/>
          <w:szCs w:val="22"/>
        </w:rPr>
        <w:t xml:space="preserve">correlation_id TEXT — groups related events (e.g. all events from a single commit share a correlation_id).</w:t>
      </w:r>
    </w:p>
    <w:p>
      <w:pPr>
        <w:pStyle w:val="ListParagraph"/>
        <w:numPr>
          <w:ilvl w:val="0"/>
          <w:numId w:val="2"/>
        </w:numPr>
        <w:spacing w:after="60"/>
      </w:pPr>
      <w:r>
        <w:rPr>
          <w:rFonts w:ascii="Arial" w:cs="Arial" w:eastAsia="Arial" w:hAnsi="Arial"/>
          <w:sz w:val="22"/>
          <w:szCs w:val="22"/>
        </w:rPr>
        <w:t xml:space="preserve">actor_user_id — NULL for system/engine events; populated for human actions.</w:t>
      </w:r>
    </w:p>
    <w:p>
      <w:pPr>
        <w:pStyle w:val="ListParagraph"/>
        <w:numPr>
          <w:ilvl w:val="0"/>
          <w:numId w:val="2"/>
        </w:numPr>
        <w:spacing w:after="60"/>
      </w:pPr>
      <w:r>
        <w:rPr>
          <w:rFonts w:ascii="Arial" w:cs="Arial" w:eastAsia="Arial" w:hAnsi="Arial"/>
          <w:sz w:val="22"/>
          <w:szCs w:val="22"/>
        </w:rPr>
        <w:t xml:space="preserve">actor_type ENUM('human','system','engine') — carried separately for filtering.</w:t>
      </w:r>
    </w:p>
    <w:p>
      <w:pPr>
        <w:pStyle w:val="Heading2"/>
        <w:spacing w:after="120" w:before="240"/>
      </w:pPr>
      <w:r>
        <w:rPr>
          <w:rFonts w:ascii="Arial" w:cs="Arial" w:eastAsia="Arial" w:hAnsi="Arial"/>
          <w:b/>
          <w:bCs/>
          <w:color w:val="263849"/>
          <w:sz w:val="30"/>
          <w:szCs w:val="30"/>
        </w:rPr>
        <w:t xml:space="preserve">C.4 Consumption</w:t>
      </w:r>
    </w:p>
    <w:p>
      <w:pPr>
        <w:pStyle w:val="ListParagraph"/>
        <w:numPr>
          <w:ilvl w:val="0"/>
          <w:numId w:val="2"/>
        </w:numPr>
        <w:spacing w:after="60"/>
      </w:pPr>
      <w:r>
        <w:rPr>
          <w:rFonts w:ascii="Arial" w:cs="Arial" w:eastAsia="Arial" w:hAnsi="Arial"/>
          <w:sz w:val="22"/>
          <w:szCs w:val="22"/>
        </w:rPr>
        <w:t xml:space="preserve">Deal Overview activity feed filters by deal_id.</w:t>
      </w:r>
    </w:p>
    <w:p>
      <w:pPr>
        <w:pStyle w:val="ListParagraph"/>
        <w:numPr>
          <w:ilvl w:val="0"/>
          <w:numId w:val="2"/>
        </w:numPr>
        <w:spacing w:after="60"/>
      </w:pPr>
      <w:r>
        <w:rPr>
          <w:rFonts w:ascii="Arial" w:cs="Arial" w:eastAsia="Arial" w:hAnsi="Arial"/>
          <w:sz w:val="22"/>
          <w:szCs w:val="22"/>
        </w:rPr>
        <w:t xml:space="preserve">Notification subscriptions (notification_preferences) match on event_type patterns.</w:t>
      </w:r>
    </w:p>
    <w:p>
      <w:pPr>
        <w:pStyle w:val="ListParagraph"/>
        <w:numPr>
          <w:ilvl w:val="0"/>
          <w:numId w:val="2"/>
        </w:numPr>
        <w:spacing w:after="60"/>
      </w:pPr>
      <w:r>
        <w:rPr>
          <w:rFonts w:ascii="Arial" w:cs="Arial" w:eastAsia="Arial" w:hAnsi="Arial"/>
          <w:sz w:val="22"/>
          <w:szCs w:val="22"/>
        </w:rPr>
        <w:t xml:space="preserve">Audit queries typically filter on correlation_id to replay a commit.</w:t>
      </w:r>
    </w:p>
    <w:p>
      <w:pPr>
        <w:pStyle w:val="ListParagraph"/>
        <w:numPr>
          <w:ilvl w:val="0"/>
          <w:numId w:val="2"/>
        </w:numPr>
        <w:spacing w:after="60"/>
      </w:pPr>
      <w:r>
        <w:rPr>
          <w:rFonts w:ascii="Arial" w:cs="Arial" w:eastAsia="Arial" w:hAnsi="Arial"/>
          <w:sz w:val="22"/>
          <w:szCs w:val="22"/>
        </w:rPr>
        <w:t xml:space="preserve">Metric exports sample event_type + occurred_at for engine-timing telemetry.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718A"/>
        <w:sz w:val="18"/>
        <w:szCs w:val="18"/>
      </w:rPr>
      <w:t xml:space="preserve">Page </w:t>
    </w:r>
    <w:r>
      <w:rPr>
        <w:rFonts w:ascii="Arial" w:cs="Arial" w:eastAsia="Arial" w:hAnsi="Arial"/>
        <w:color w:val="5671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6718A"/>
        <w:sz w:val="18"/>
        <w:szCs w:val="18"/>
      </w:rPr>
      <w:t xml:space="preserve">Integrated System Specification  ·  Sesame Street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6FA5"/>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263849"/>
      <w:sz w:val="30"/>
      <w:szCs w:val="30"/>
    </w:rPr>
  </w:style>
  <w:style w:type="paragraph" w:styleId="Heading3">
    <w:name w:val="Heading 3"/>
    <w:basedOn w:val="Normal"/>
    <w:next w:val="Normal"/>
    <w:qFormat/>
    <w:pPr>
      <w:spacing w:after="80" w:before="160"/>
      <w:outlineLvl w:val="2"/>
    </w:pPr>
    <w:rPr>
      <w:rFonts w:ascii="Arial" w:cs="Arial" w:eastAsia="Arial" w:hAnsi="Arial"/>
      <w:b/>
      <w:bCs/>
      <w:color w:val="263849"/>
      <w:sz w:val="26"/>
      <w:szCs w:val="26"/>
    </w:rPr>
  </w:style>
  <w:style w:type="paragraph" w:styleId="Heading4">
    <w:name w:val="Heading 4"/>
    <w:basedOn w:val="Normal"/>
    <w:next w:val="Normal"/>
    <w:qFormat/>
    <w:pPr>
      <w:spacing w:after="60" w:before="120"/>
      <w:outlineLvl w:val="3"/>
    </w:pPr>
    <w:rPr>
      <w:rFonts w:ascii="Arial" w:cs="Arial" w:eastAsia="Arial" w:hAnsi="Arial"/>
      <w:b/>
      <w:bCs/>
      <w:i/>
      <w:iCs/>
      <w:color w:val="5671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2026-04-17T23:21:34.045Z</dcterms:created>
  <dcterms:modified xsi:type="dcterms:W3CDTF">2026-04-17T23:21:34.051Z</dcterms:modified>
</cp:coreProperties>
</file>

<file path=docProps/custom.xml><?xml version="1.0" encoding="utf-8"?>
<Properties xmlns="http://schemas.openxmlformats.org/officeDocument/2006/custom-properties" xmlns:vt="http://schemas.openxmlformats.org/officeDocument/2006/docPropsVTypes"/>
</file>