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888888"/>
          <w:spacing w:val="40"/>
          <w:sz w:val="18"/>
          <w:szCs w:val="18"/>
        </w:rPr>
        <w:t xml:space="preserve">SESAME STREET  —  IMPLEMENTATION PLAN</w:t>
      </w:r>
    </w:p>
    <w:p>
      <w:pPr>
        <w:spacing w:after="80"/>
      </w:pPr>
      <w:r>
        <w:rPr>
          <w:rFonts w:ascii="Arial" w:cs="Arial" w:eastAsia="Arial" w:hAnsi="Arial"/>
          <w:b/>
          <w:bCs/>
          <w:color w:val="1F6FA5"/>
          <w:sz w:val="40"/>
          <w:szCs w:val="40"/>
        </w:rPr>
        <w:t xml:space="preserve">Capital Stack</w:t>
      </w:r>
    </w:p>
    <w:p>
      <w:pPr>
        <w:spacing w:after="240"/>
      </w:pPr>
      <w:r>
        <w:rPr>
          <w:rFonts w:ascii="Arial" w:cs="Arial" w:eastAsia="Arial" w:hAnsi="Arial"/>
          <w:i/>
          <w:iCs/>
          <w:color w:val="666666"/>
          <w:sz w:val="22"/>
          <w:szCs w:val="22"/>
        </w:rPr>
        <w:t xml:space="preserve">TopSheet review, additional fields, engine scope, phased delivery  ·  April 2026  ·  For review</w:t>
      </w:r>
    </w:p>
    <w:p>
      <w:pPr>
        <w:pStyle w:val="Heading2"/>
        <w:spacing w:after="140" w:before="240"/>
      </w:pPr>
      <w:r>
        <w:rPr>
          <w:rFonts w:ascii="Arial" w:cs="Arial" w:eastAsia="Arial" w:hAnsi="Arial"/>
          <w:b/>
          <w:bCs/>
          <w:color w:val="1F6FA5"/>
          <w:sz w:val="26"/>
          <w:szCs w:val="26"/>
        </w:rPr>
        <w:t xml:space="preserve">1. Executive summary</w:t>
      </w:r>
    </w:p>
    <w:p>
      <w:pPr>
        <w:spacing w:after="120"/>
      </w:pPr>
      <w:r>
        <w:rPr>
          <w:rFonts w:ascii="Arial" w:cs="Arial" w:eastAsia="Arial" w:hAnsi="Arial"/>
          <w:sz w:val="22"/>
          <w:szCs w:val="22"/>
        </w:rPr>
        <w:t xml:space="preserve">This plan delivers the Capital Stack feature, demonstrated in the two Gatwick worked-example documents. The build is intentionally narrow: it does not change how deals are graded, traded, or covenant-tested; it adds a single new lens on every deal that shows where each claim sits in the capital structure, what cushion sits below it, and how the leverage looks under the appropriate consolidation method.</w:t>
      </w:r>
    </w:p>
    <w:p>
      <w:pPr>
        <w:spacing w:after="120"/>
      </w:pPr>
      <w:r>
        <w:rPr>
          <w:rFonts w:ascii="Arial" w:cs="Arial" w:eastAsia="Arial" w:hAnsi="Arial"/>
          <w:sz w:val="22"/>
          <w:szCs w:val="22"/>
        </w:rPr>
        <w:t xml:space="preserve">The TopSheet (v8) already captures most of what is needed. The v8 capital structure taxonomy — entity_level, ownership_pct, cashflow_priority_rank, ratio_consolidation_level — was built precisely for this use case. To complete the picture we need only one new section on Tab 1 (Valuation &amp; Equity, four fields) and two optional fields on Tab 2 for shareholder-level debt. Everything else is engine, API, and UI work.</w:t>
      </w:r>
    </w:p>
    <w:p>
      <w:pPr>
        <w:spacing w:after="120"/>
      </w:pPr>
      <w:r>
        <w:rPr>
          <w:rFonts w:ascii="Arial" w:cs="Arial" w:eastAsia="Arial" w:hAnsi="Arial"/>
          <w:sz w:val="22"/>
          <w:szCs w:val="22"/>
        </w:rPr>
        <w:t xml:space="preserve">Six phases. Each phase produces something demoable. Phase 1 unblocks all the others.</w:t>
      </w:r>
    </w:p>
    <w:p>
      <w:pPr>
        <w:spacing w:after="120"/>
      </w:pPr>
      <w:r>
        <w:rPr>
          <w:rFonts w:ascii="Arial" w:cs="Arial" w:eastAsia="Arial" w:hAnsi="Arial"/>
          <w:sz w:val="22"/>
          <w:szCs w:val="22"/>
        </w:rPr>
        <w:t xml:space="preserve">The two Gatwick worked examples define the test bed. All numbers in those documents must be reproducible by the engine.</w:t>
      </w:r>
    </w:p>
    <w:p>
      <w:pPr>
        <w:pStyle w:val="Heading2"/>
        <w:spacing w:after="140" w:before="240"/>
      </w:pPr>
      <w:r>
        <w:rPr>
          <w:rFonts w:ascii="Arial" w:cs="Arial" w:eastAsia="Arial" w:hAnsi="Arial"/>
          <w:b/>
          <w:bCs/>
          <w:color w:val="1F6FA5"/>
          <w:sz w:val="26"/>
          <w:szCs w:val="26"/>
        </w:rPr>
        <w:t xml:space="preserve">2. Current state — what v8 already delivers</w:t>
      </w:r>
    </w:p>
    <w:p>
      <w:pPr>
        <w:spacing w:after="120"/>
      </w:pPr>
      <w:r>
        <w:rPr>
          <w:rFonts w:ascii="Arial" w:cs="Arial" w:eastAsia="Arial" w:hAnsi="Arial"/>
          <w:sz w:val="22"/>
          <w:szCs w:val="22"/>
        </w:rPr>
        <w:t xml:space="preserve">The capital structure taxonomy added in TopSheet v8 (commit 9881762) covers the structural side of the problem:</w:t>
      </w:r>
    </w:p>
    <w:p>
      <w:pPr>
        <w:pStyle w:val="ListParagraph"/>
        <w:numPr>
          <w:ilvl w:val="0"/>
          <w:numId w:val="2"/>
        </w:numPr>
        <w:spacing w:after="60"/>
      </w:pPr>
      <w:r>
        <w:rPr>
          <w:rFonts w:ascii="Arial" w:cs="Arial" w:eastAsia="Arial" w:hAnsi="Arial"/>
          <w:sz w:val="22"/>
          <w:szCs w:val="22"/>
        </w:rPr>
        <w:t xml:space="preserve">Tab 2 has 8 columns capturing entity level, ownership %, structural seniority, ratio consolidation level, intercompany lender, subordination agreement, and cashflow priority rank.</w:t>
      </w:r>
    </w:p>
    <w:p>
      <w:pPr>
        <w:pStyle w:val="ListParagraph"/>
        <w:numPr>
          <w:ilvl w:val="0"/>
          <w:numId w:val="2"/>
        </w:numPr>
        <w:spacing w:after="60"/>
      </w:pPr>
      <w:r>
        <w:rPr>
          <w:rFonts w:ascii="Arial" w:cs="Arial" w:eastAsia="Arial" w:hAnsi="Arial"/>
          <w:sz w:val="22"/>
          <w:szCs w:val="22"/>
        </w:rPr>
        <w:t xml:space="preserve">Tab 7 has 6 columns capturing ownership %, ownership type, control type, consolidation method, within-security-perimeter flag, and ratio level.</w:t>
      </w:r>
    </w:p>
    <w:p>
      <w:pPr>
        <w:pStyle w:val="ListParagraph"/>
        <w:numPr>
          <w:ilvl w:val="0"/>
          <w:numId w:val="2"/>
        </w:numPr>
        <w:spacing w:after="60"/>
      </w:pPr>
      <w:r>
        <w:rPr>
          <w:rFonts w:ascii="Arial" w:cs="Arial" w:eastAsia="Arial" w:hAnsi="Arial"/>
          <w:sz w:val="22"/>
          <w:szCs w:val="22"/>
        </w:rPr>
        <w:t xml:space="preserve">Tab 8 has the ratio_level column so covenants can be tagged to the entity level they’re tested at.</w:t>
      </w:r>
    </w:p>
    <w:p>
      <w:pPr>
        <w:pStyle w:val="ListParagraph"/>
        <w:numPr>
          <w:ilvl w:val="0"/>
          <w:numId w:val="2"/>
        </w:numPr>
        <w:spacing w:after="60"/>
      </w:pPr>
      <w:r>
        <w:rPr>
          <w:rFonts w:ascii="Arial" w:cs="Arial" w:eastAsia="Arial" w:hAnsi="Arial"/>
          <w:sz w:val="22"/>
          <w:szCs w:val="22"/>
        </w:rPr>
        <w:t xml:space="preserve">server/capital_structure_engine.py implements assign_cashflow_priority_ranks() (auto-rank instruments), proportional_consolidation() (apply ownership % to both cashflows and debt), and validate_capital_structure() (cross-checks).</w:t>
      </w:r>
    </w:p>
    <w:p>
      <w:pPr>
        <w:pStyle w:val="ListParagraph"/>
        <w:numPr>
          <w:ilvl w:val="0"/>
          <w:numId w:val="2"/>
        </w:numPr>
        <w:spacing w:after="60"/>
      </w:pPr>
      <w:r>
        <w:rPr>
          <w:rFonts w:ascii="Arial" w:cs="Arial" w:eastAsia="Arial" w:hAnsi="Arial"/>
          <w:sz w:val="22"/>
          <w:szCs w:val="22"/>
        </w:rPr>
        <w:t xml:space="preserve">The engine has been smoke-tested against the 5 spec test cases (A through E).</w:t>
      </w:r>
    </w:p>
    <w:p>
      <w:pPr>
        <w:spacing w:after="120"/>
      </w:pPr>
      <w:r>
        <w:rPr>
          <w:rFonts w:ascii="Arial" w:cs="Arial" w:eastAsia="Arial" w:hAnsi="Arial"/>
          <w:sz w:val="22"/>
          <w:szCs w:val="22"/>
        </w:rPr>
        <w:t xml:space="preserve">What this means: the data model can already represent every structure in the two Gatwick worked examples. The work ahead is to use that data to render a stack, compute the metrics, and surface the result.</w:t>
      </w:r>
    </w:p>
    <w:p>
      <w:pPr>
        <w:pStyle w:val="Heading2"/>
        <w:spacing w:after="140" w:before="240"/>
      </w:pPr>
      <w:r>
        <w:rPr>
          <w:rFonts w:ascii="Arial" w:cs="Arial" w:eastAsia="Arial" w:hAnsi="Arial"/>
          <w:b/>
          <w:bCs/>
          <w:color w:val="1F6FA5"/>
          <w:sz w:val="26"/>
          <w:szCs w:val="26"/>
        </w:rPr>
        <w:t xml:space="preserve">3.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Requirement</w:t>
            </w:r>
          </w:p>
        </w:tc>
        <w:tc>
          <w:tcPr>
            <w:tcW w:type="dxa" w:w="31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Current state (v8)</w:t>
            </w:r>
          </w:p>
        </w:tc>
        <w:tc>
          <w:tcPr>
            <w:tcW w:type="dxa" w:w="31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Gap to close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Multi-level entity structure (OpCo / MidCo / HoldCo)</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Captured. Tab 7 Corporate Entities + entity_level on Tab 2.</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None — v8 already supports.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Cashflow priority rank per instrument</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Captured + auto-assigned by capital_structure_engine.assign_cashflow_priority_ranks().</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None.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Within-security-perimeter flag (CTA in / out)</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Captured. corporate_entities.within_security_perimeter.</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None.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Proportional consolidation engine</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Built. proportional_consolidation() helper.</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None for proportional ratios. NEW: a wrapper that runs it per shareholder for the asymmetric view.</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Validation rules (pari-passu, missing entity_level, HoldCo-at-rank-1)</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validate_capital_structure() exists.</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Add: checks for shareholder-level debt without ownership_pct, missing valuation.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Enterprise Value per deal</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Column exists on deals; populated for 0 / 12 deals.</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(a) Populate. (b) Capture valuation date / method / entity.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Our holding per instrument</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our_holding column exists on capital_structure_instruments.</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Ensure populated on Gatwick + ingestion pipeline writes it.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Two-column display (Total / Our holding)</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Not built. Existing TopSheet block doesn’t render a stack.</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NEW UI block.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Walked stack (bottom-up through entity chain)</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 engine helper.</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NEW: build_capital_stack() in capital_structure_engine.py.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Parallel-claim handling for non-perimeter debt</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NEW: branch the stack visualisation, exclude from CTA leverage.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Grossed-up consolidated-equivalent leverage</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Not computed.</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NEW: gross_up_factor = 1 / ownership_pct_at_debtor; equivalent_debt = face × gross_up_factor.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Change-of-control coverage on pledged shares</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Not computed.</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NEW: when shareholder-level debt exists, output debt / value_of_pledged_stake.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API endpoint for the rendered stack</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None.</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NEW: GET /api/deals/{slug}/capital-stack.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UI block on Deal TopSheet page</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None.</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NEW: visual stack + tables + metrics.</w:t>
            </w:r>
          </w:p>
        </w:tc>
      </w:tr>
    </w:tbl>
    <w:p>
      <w:pPr>
        <w:spacing w:after="120"/>
      </w:pPr>
      <w:r>
        <w:rPr>
          <w:rFonts w:ascii="Arial" w:cs="Arial" w:eastAsia="Arial" w:hAnsi="Arial"/>
          <w:sz w:val="22"/>
          <w:szCs w:val="22"/>
        </w:rPr>
        <w:t xml:space="preserve"/>
      </w:r>
    </w:p>
    <w:p>
      <w:pPr>
        <w:pStyle w:val="Heading2"/>
        <w:spacing w:after="140" w:before="240"/>
      </w:pPr>
      <w:r>
        <w:rPr>
          <w:rFonts w:ascii="Arial" w:cs="Arial" w:eastAsia="Arial" w:hAnsi="Arial"/>
          <w:b/>
          <w:bCs/>
          <w:color w:val="1F6FA5"/>
          <w:sz w:val="26"/>
          <w:szCs w:val="26"/>
        </w:rPr>
        <w:t xml:space="preserve">4. TopSheet additions</w:t>
      </w:r>
    </w:p>
    <w:p>
      <w:pPr>
        <w:pStyle w:val="Heading3"/>
        <w:spacing w:after="100" w:before="200"/>
      </w:pPr>
      <w:r>
        <w:rPr>
          <w:rFonts w:ascii="Arial" w:cs="Arial" w:eastAsia="Arial" w:hAnsi="Arial"/>
          <w:b/>
          <w:bCs/>
          <w:sz w:val="22"/>
          <w:szCs w:val="22"/>
        </w:rPr>
        <w:t xml:space="preserve">4.1  Tab 1 — new VALUATION &amp; EQUITY section (4 fields)</w:t>
      </w:r>
    </w:p>
    <w:p>
      <w:pPr>
        <w:spacing w:after="120"/>
      </w:pPr>
      <w:r>
        <w:rPr>
          <w:rFonts w:ascii="Arial" w:cs="Arial" w:eastAsia="Arial" w:hAnsi="Arial"/>
          <w:sz w:val="22"/>
          <w:szCs w:val="22"/>
        </w:rPr>
        <w:t xml:space="preserve">Insert as a new section on Tab 1, between RATINGS and FACILITY ECONOMICS. All fields are required for the stack to render; the build will degrade gracefully if any are missing but the deal will be flagged in the validation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Field</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Type</w:t>
            </w:r>
          </w:p>
        </w:tc>
        <w:tc>
          <w:tcPr>
            <w:tcW w:type="dxa" w:w="54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Purpose / guidance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Enterprise Value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Currency</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Anchor for the whole stack. Single most important field. Tag with valuation method below.</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Valuation Date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Date</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When the EV was struck. Stacks drift over time — stale dates should warn.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Valuation Method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Enum</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transaction | dcf | multiples | appraisal | mark_to_model | book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Valuation Entity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Text (Tab 7 ref)</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Which entity in Tab 7 the EV is measured at. Defaults to OpCo.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Equity Invested at Origination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Currency</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Initial sponsor cheque. Used for IRR / MOIC tracking. Optional but recommended.</w:t>
            </w:r>
          </w:p>
        </w:tc>
      </w:tr>
    </w:tbl>
    <w:p>
      <w:pPr>
        <w:spacing w:after="120"/>
      </w:pPr>
      <w:r>
        <w:rPr>
          <w:rFonts w:ascii="Arial" w:cs="Arial" w:eastAsia="Arial" w:hAnsi="Arial"/>
          <w:sz w:val="22"/>
          <w:szCs w:val="22"/>
        </w:rPr>
        <w:t xml:space="preserve"/>
      </w:r>
    </w:p>
    <w:p>
      <w:pPr>
        <w:pStyle w:val="Heading3"/>
        <w:spacing w:after="100" w:before="200"/>
      </w:pPr>
      <w:r>
        <w:rPr>
          <w:rFonts w:ascii="Arial" w:cs="Arial" w:eastAsia="Arial" w:hAnsi="Arial"/>
          <w:b/>
          <w:bCs/>
          <w:sz w:val="22"/>
          <w:szCs w:val="22"/>
        </w:rPr>
        <w:t xml:space="preserve">4.2  Tab 2 — two optional fields for shareholder-level debt</w:t>
      </w:r>
    </w:p>
    <w:p>
      <w:pPr>
        <w:spacing w:after="120"/>
      </w:pPr>
      <w:r>
        <w:rPr>
          <w:rFonts w:ascii="Arial" w:cs="Arial" w:eastAsia="Arial" w:hAnsi="Arial"/>
          <w:sz w:val="22"/>
          <w:szCs w:val="22"/>
        </w:rPr>
        <w:t xml:space="preserve">The bulk of Tab 2 is unchanged. Two new columns are added solely to handle the GIP-only NAV scenario class of structure (debt at a shareholder-level vehicle, secured on a specific stake). For deals without this pattern (the majority), both fields stay blank and the engine treats the debt as standard MidCo debt within the consolidated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Field on Tab 2</w:t>
            </w:r>
          </w:p>
        </w:tc>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Status</w:t>
            </w:r>
          </w:p>
        </w:tc>
        <w:tc>
          <w:tcPr>
            <w:tcW w:type="dxa" w:w="4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Action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our_holding (column 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Already exists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Ensure populated when ingesting deals. For Gatwick: set to 125 across the Class A bonds (pro-rata).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entity_level, entity_name, ownership_pct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Already exists (v8)</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Required for the stack walker. Already proven in Rev.2 Gatwick test.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cashflow_priority_rank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Already exists, auto-assigned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Engine fills it in if blank. No extra capture.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pledged_share_entity (NEW)</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Not present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OPTIONAL. Where a debt is secured only on a specific shareholding (e.g. GIP-only NAV facility), this points to the shareholder entity in Tab 7. Drives the parallel-claim treatment.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pledged_share_pct (NEW)</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Not present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OPTIONAL. Percentage of that entity’s ownership pledged (usually 100% of the shareholder’s stake). Drives the gross-up factor.</w:t>
            </w:r>
          </w:p>
        </w:tc>
      </w:tr>
    </w:tbl>
    <w:p>
      <w:pPr>
        <w:spacing w:after="120"/>
      </w:pPr>
      <w:r>
        <w:rPr>
          <w:rFonts w:ascii="Arial" w:cs="Arial" w:eastAsia="Arial" w:hAnsi="Arial"/>
          <w:sz w:val="22"/>
          <w:szCs w:val="22"/>
        </w:rPr>
        <w:t xml:space="preserve"/>
      </w:r>
    </w:p>
    <w:p>
      <w:pPr>
        <w:pStyle w:val="Heading3"/>
        <w:spacing w:after="100" w:before="200"/>
      </w:pPr>
      <w:r>
        <w:rPr>
          <w:rFonts w:ascii="Arial" w:cs="Arial" w:eastAsia="Arial" w:hAnsi="Arial"/>
          <w:b/>
          <w:bCs/>
          <w:sz w:val="22"/>
          <w:szCs w:val="22"/>
        </w:rPr>
        <w:t xml:space="preserve">4.3  Database migration</w:t>
      </w:r>
    </w:p>
    <w:p>
      <w:pPr>
        <w:spacing w:after="120"/>
      </w:pPr>
      <w:r>
        <w:rPr>
          <w:rFonts w:ascii="Arial" w:cs="Arial" w:eastAsia="Arial" w:hAnsi="Arial"/>
          <w:sz w:val="22"/>
          <w:szCs w:val="22"/>
        </w:rPr>
        <w:t xml:space="preserve">All additions are idempotent column adds. No data movement, no breaking changes. Existing 12 deals continue to render with EV / valuation_date NULL until populated.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Table</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Column</w:t>
            </w:r>
          </w:p>
        </w:tc>
        <w:tc>
          <w:tcPr>
            <w:tcW w:type="dxa" w:w="49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Type / notes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deals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valuation_date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DATE NULL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deals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valuation_method</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VARCHAR(20) — CHECK constraint on 6 values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deals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valuation_entity</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TEXT NULL — soft FK to corporate_entities.entity_name (per deal)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deals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equity_invested</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NUMERIC NULL — origination sponsor equity (optional)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capital_structure_instruments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pledged_share_entity</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TEXT NULL — entity name when debt is secured on a specific stake only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capital_structure_instruments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pledged_share_pct</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NUMERIC(5,2) NULL — percentage pledged (drives gross-up)</w:t>
            </w:r>
          </w:p>
        </w:tc>
      </w:tr>
    </w:tbl>
    <w:p>
      <w:pPr>
        <w:spacing w:after="120"/>
      </w:pPr>
      <w:r>
        <w:rPr>
          <w:rFonts w:ascii="Arial" w:cs="Arial" w:eastAsia="Arial" w:hAnsi="Arial"/>
          <w:sz w:val="22"/>
          <w:szCs w:val="22"/>
        </w:rPr>
        <w:t xml:space="preserve"/>
      </w:r>
    </w:p>
    <w:p>
      <w:pPr>
        <w:pStyle w:val="Heading2"/>
        <w:spacing w:after="140" w:before="240"/>
      </w:pPr>
      <w:r>
        <w:rPr>
          <w:rFonts w:ascii="Arial" w:cs="Arial" w:eastAsia="Arial" w:hAnsi="Arial"/>
          <w:b/>
          <w:bCs/>
          <w:color w:val="1F6FA5"/>
          <w:sz w:val="26"/>
          <w:szCs w:val="26"/>
        </w:rPr>
        <w:t xml:space="preserve">5. Engine scope — capital_structure_engine.py extensions</w:t>
      </w:r>
    </w:p>
    <w:p>
      <w:pPr>
        <w:spacing w:after="120"/>
      </w:pPr>
      <w:r>
        <w:rPr>
          <w:rFonts w:ascii="Arial" w:cs="Arial" w:eastAsia="Arial" w:hAnsi="Arial"/>
          <w:sz w:val="22"/>
          <w:szCs w:val="22"/>
        </w:rPr>
        <w:t xml:space="preserve">Build on the existing module. The engine is intentionally pure (no DB access in the helpers themselves) so the same code runs in unit tests, in the API endpoint, and could be invoked from the ingestion pipeline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New function in capital_structure_engine.py</w:t>
            </w:r>
          </w:p>
        </w:tc>
        <w:tc>
          <w:tcPr>
            <w:tcW w:type="dxa" w:w="61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Purpose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build_capital_stack(deal, instruments, entities, ev, our_holdings)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Top-level helper. Returns a structured StackView with: tiered layers (entity → debt rows + equity row), totals, our-holding subset, parallel claims, derived metrics. Walks bottom-up through the ownership chain, subtracts debt at each level.</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walk_ownership_chain(entities)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Returns the ordered chain from the asset (root in security perimeter) up to ultimate parents. Handles branching at shareholder level.</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compute_attributable_equity(entities, instruments, ev)</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For each entity: enterprise value at that level, debt absorbed at that level, residual equity. Pass-through for zero-debt entities.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gross_up_facility(instrument, debtor_ownership_pct)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Returns equivalent_consolidated_face = face / ownership_pct. Used for shareholder-level debt at &lt;100%-owned entities.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build_metrics(stack)</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Produces the multi-lens metrics: senior LTV, CTA-consolidated leverage, sponsor proportional leverage per shareholder, grossed-up consolidated-equivalent.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change_of_control_coverage(instrument, pledged_value)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When a debt is secured on a specific stake: returns LTV on the pledged value. Spike alert flag if &gt; 50% LTV on pledge.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validate_capital_stack(stack)</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Extends existing validate_capital_structure() with: missing EV, stale valuation date (&gt; 12 months), shareholder-level debt with no pledged_share_pct, etc.</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Module layout after this work:</w:t>
      </w:r>
    </w:p>
    <w:p>
      <w:pPr>
        <w:spacing w:after="40"/>
      </w:pPr>
      <w:r>
        <w:rPr>
          <w:rFonts w:ascii="Consolas" w:cs="Consolas" w:eastAsia="Consolas" w:hAnsi="Consolas"/>
          <w:sz w:val="18"/>
          <w:szCs w:val="18"/>
        </w:rPr>
        <w:t xml:space="preserve">server/capital_structure_engine.py</w:t>
      </w:r>
    </w:p>
    <w:p>
      <w:pPr>
        <w:spacing w:after="40"/>
      </w:pPr>
      <w:r>
        <w:rPr>
          <w:rFonts w:ascii="Consolas" w:cs="Consolas" w:eastAsia="Consolas" w:hAnsi="Consolas"/>
          <w:sz w:val="18"/>
          <w:szCs w:val="18"/>
        </w:rPr>
        <w:t xml:space="preserve">  # existing (v8)</w:t>
      </w:r>
    </w:p>
    <w:p>
      <w:pPr>
        <w:spacing w:after="40"/>
      </w:pPr>
      <w:r>
        <w:rPr>
          <w:rFonts w:ascii="Consolas" w:cs="Consolas" w:eastAsia="Consolas" w:hAnsi="Consolas"/>
          <w:sz w:val="18"/>
          <w:szCs w:val="18"/>
        </w:rPr>
        <w:t xml:space="preserve">    assign_cashflow_priority_ranks(instruments)</w:t>
      </w:r>
    </w:p>
    <w:p>
      <w:pPr>
        <w:spacing w:after="40"/>
      </w:pPr>
      <w:r>
        <w:rPr>
          <w:rFonts w:ascii="Consolas" w:cs="Consolas" w:eastAsia="Consolas" w:hAnsi="Consolas"/>
          <w:sz w:val="18"/>
          <w:szCs w:val="18"/>
        </w:rPr>
        <w:t xml:space="preserve">    proportional_consolidation(entities)</w:t>
      </w:r>
    </w:p>
    <w:p>
      <w:pPr>
        <w:spacing w:after="40"/>
      </w:pPr>
      <w:r>
        <w:rPr>
          <w:rFonts w:ascii="Consolas" w:cs="Consolas" w:eastAsia="Consolas" w:hAnsi="Consolas"/>
          <w:sz w:val="18"/>
          <w:szCs w:val="18"/>
        </w:rPr>
        <w:t xml:space="preserve">    validate_capital_structure(instruments, entities)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 new for capital stack</w:t>
      </w:r>
    </w:p>
    <w:p>
      <w:pPr>
        <w:spacing w:after="40"/>
      </w:pPr>
      <w:r>
        <w:rPr>
          <w:rFonts w:ascii="Consolas" w:cs="Consolas" w:eastAsia="Consolas" w:hAnsi="Consolas"/>
          <w:sz w:val="18"/>
          <w:szCs w:val="18"/>
        </w:rPr>
        <w:t xml:space="preserve">    build_capital_stack(deal, instruments, entities, ev, our_holdings)  # top-level</w:t>
      </w:r>
    </w:p>
    <w:p>
      <w:pPr>
        <w:spacing w:after="40"/>
      </w:pPr>
      <w:r>
        <w:rPr>
          <w:rFonts w:ascii="Consolas" w:cs="Consolas" w:eastAsia="Consolas" w:hAnsi="Consolas"/>
          <w:sz w:val="18"/>
          <w:szCs w:val="18"/>
        </w:rPr>
        <w:t xml:space="preserve">    walk_ownership_chain(entities)</w:t>
      </w:r>
    </w:p>
    <w:p>
      <w:pPr>
        <w:spacing w:after="40"/>
      </w:pPr>
      <w:r>
        <w:rPr>
          <w:rFonts w:ascii="Consolas" w:cs="Consolas" w:eastAsia="Consolas" w:hAnsi="Consolas"/>
          <w:sz w:val="18"/>
          <w:szCs w:val="18"/>
        </w:rPr>
        <w:t xml:space="preserve">    compute_attributable_equity(entities, instruments, ev)</w:t>
      </w:r>
    </w:p>
    <w:p>
      <w:pPr>
        <w:spacing w:after="40"/>
      </w:pPr>
      <w:r>
        <w:rPr>
          <w:rFonts w:ascii="Consolas" w:cs="Consolas" w:eastAsia="Consolas" w:hAnsi="Consolas"/>
          <w:sz w:val="18"/>
          <w:szCs w:val="18"/>
        </w:rPr>
        <w:t xml:space="preserve">    gross_up_facility(instrument, debtor_ownership_pct)</w:t>
      </w:r>
    </w:p>
    <w:p>
      <w:pPr>
        <w:spacing w:after="40"/>
      </w:pPr>
      <w:r>
        <w:rPr>
          <w:rFonts w:ascii="Consolas" w:cs="Consolas" w:eastAsia="Consolas" w:hAnsi="Consolas"/>
          <w:sz w:val="18"/>
          <w:szCs w:val="18"/>
        </w:rPr>
        <w:t xml:space="preserve">    build_metrics(stack)</w:t>
      </w:r>
    </w:p>
    <w:p>
      <w:pPr>
        <w:spacing w:after="40"/>
      </w:pPr>
      <w:r>
        <w:rPr>
          <w:rFonts w:ascii="Consolas" w:cs="Consolas" w:eastAsia="Consolas" w:hAnsi="Consolas"/>
          <w:sz w:val="18"/>
          <w:szCs w:val="18"/>
        </w:rPr>
        <w:t xml:space="preserve">    change_of_control_coverage(instrument, pledged_value)</w:t>
      </w:r>
    </w:p>
    <w:p>
      <w:pPr>
        <w:spacing w:after="40"/>
      </w:pPr>
      <w:r>
        <w:rPr>
          <w:rFonts w:ascii="Consolas" w:cs="Consolas" w:eastAsia="Consolas" w:hAnsi="Consolas"/>
          <w:sz w:val="18"/>
          <w:szCs w:val="18"/>
        </w:rPr>
        <w:t xml:space="preserve">    validate_capital_stack(stack)  # extends validate_capital_structure</w:t>
      </w:r>
    </w:p>
    <w:p>
      <w:pPr>
        <w:spacing w:after="120"/>
      </w:pPr>
      <w:r>
        <w:rPr>
          <w:rFonts w:ascii="Arial" w:cs="Arial" w:eastAsia="Arial" w:hAnsi="Arial"/>
          <w:sz w:val="22"/>
          <w:szCs w:val="22"/>
        </w:rPr>
        <w:t xml:space="preserve"/>
      </w:r>
    </w:p>
    <w:p>
      <w:pPr>
        <w:pStyle w:val="Heading2"/>
        <w:spacing w:after="140" w:before="240"/>
      </w:pPr>
      <w:r>
        <w:rPr>
          <w:rFonts w:ascii="Arial" w:cs="Arial" w:eastAsia="Arial" w:hAnsi="Arial"/>
          <w:b/>
          <w:bCs/>
          <w:color w:val="1F6FA5"/>
          <w:sz w:val="26"/>
          <w:szCs w:val="26"/>
        </w:rPr>
        <w:t xml:space="preserve">6. API</w:t>
      </w:r>
    </w:p>
    <w:p>
      <w:pPr>
        <w:spacing w:after="120"/>
      </w:pPr>
      <w:r>
        <w:rPr>
          <w:rFonts w:ascii="Arial" w:cs="Arial" w:eastAsia="Arial" w:hAnsi="Arial"/>
          <w:sz w:val="22"/>
          <w:szCs w:val="22"/>
        </w:rPr>
        <w:t xml:space="preserve">Single endpoint, returns the full StackView for any deal:</w:t>
      </w:r>
    </w:p>
    <w:p>
      <w:pPr>
        <w:spacing w:after="40"/>
      </w:pPr>
      <w:r>
        <w:rPr>
          <w:rFonts w:ascii="Consolas" w:cs="Consolas" w:eastAsia="Consolas" w:hAnsi="Consolas"/>
          <w:sz w:val="18"/>
          <w:szCs w:val="18"/>
        </w:rPr>
        <w:t xml:space="preserve">GET /api/deals/{slug}/capital-stack</w:t>
      </w:r>
    </w:p>
    <w:p>
      <w:pPr>
        <w:spacing w:after="40"/>
      </w:pPr>
      <w:r>
        <w:rPr>
          <w:rFonts w:ascii="Consolas" w:cs="Consolas" w:eastAsia="Consolas" w:hAnsi="Consolas"/>
          <w:sz w:val="18"/>
          <w:szCs w:val="18"/>
        </w:rPr>
        <w:t xml:space="preserve">GET /api/deals/{slug}/capital-stack?reporting_currency=GBP|USD|EUR  # optional</w:t>
      </w:r>
    </w:p>
    <w:p>
      <w:pPr>
        <w:spacing w:after="120"/>
      </w:pPr>
      <w:r>
        <w:rPr>
          <w:rFonts w:ascii="Arial" w:cs="Arial" w:eastAsia="Arial" w:hAnsi="Arial"/>
          <w:sz w:val="22"/>
          <w:szCs w:val="22"/>
        </w:rPr>
        <w:t xml:space="preserve">Response shape (top-level):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Field</w:t>
            </w:r>
          </w:p>
        </w:tc>
        <w:tc>
          <w:tcPr>
            <w:tcW w:type="dxa" w:w="71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Description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deal</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Deal slug, name, currency, EV, valuation date / method / entity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levels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Ordered list (bottom → top): {entity_name, entity_level, debt[], residual_equity_total, residual_equity_our_view, ownership_split[]}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parallel_claims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List of debts at non-perimeter entities (e.g. shareholder-level NAV) with grossed-up equivalent face value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metrics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{senior_ltv, consolidated_leverage, sponsor_proportional[], grossed_up_equivalent_leverage, change_of_control_coverage[]}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our_position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{rank, total_pari_passu, debt_senior_to_us, subordinated_cushion, true_equity_cushion, total_cushion}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warnings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validate_capital_stack() output — missing EV, stale date, shareholder debt without pledged_share_pct, etc.</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Currency handling: the response stays in the deal’s native currency by default (consistent with the rest of the deal-level API surface). The optional ?reporting_currency parameter triggers FX conversion at all monetary fields, reusing the FX engine added with the Market TopSheet feature.</w:t>
      </w:r>
    </w:p>
    <w:p>
      <w:pPr>
        <w:pStyle w:val="Heading2"/>
        <w:spacing w:after="140" w:before="240"/>
      </w:pPr>
      <w:r>
        <w:rPr>
          <w:rFonts w:ascii="Arial" w:cs="Arial" w:eastAsia="Arial" w:hAnsi="Arial"/>
          <w:b/>
          <w:bCs/>
          <w:color w:val="1F6FA5"/>
          <w:sz w:val="26"/>
          <w:szCs w:val="26"/>
        </w:rPr>
        <w:t xml:space="preserve">7. UI — Deal TopSheet page</w:t>
      </w:r>
    </w:p>
    <w:p>
      <w:pPr>
        <w:spacing w:after="120"/>
      </w:pPr>
      <w:r>
        <w:rPr>
          <w:rFonts w:ascii="Arial" w:cs="Arial" w:eastAsia="Arial" w:hAnsi="Arial"/>
          <w:sz w:val="22"/>
          <w:szCs w:val="22"/>
        </w:rPr>
        <w:t xml:space="preserve">New Capital Stack block, anchored between Capital Structure Instruments and Reserves on the Deal TopSheet page. Composed of four parts:</w:t>
      </w:r>
    </w:p>
    <w:p>
      <w:pPr>
        <w:pStyle w:val="ListParagraph"/>
        <w:numPr>
          <w:ilvl w:val="0"/>
          <w:numId w:val="2"/>
        </w:numPr>
        <w:spacing w:after="60"/>
      </w:pPr>
      <w:r>
        <w:rPr>
          <w:rFonts w:ascii="Arial" w:cs="Arial" w:eastAsia="Arial" w:hAnsi="Arial"/>
          <w:sz w:val="22"/>
          <w:szCs w:val="22"/>
        </w:rPr>
        <w:t xml:space="preserve">(a) Two-column layered table — each row is one layer of the stack, with Total (£m) and Our Holding (£m) columns. Mirrors the table in the worked-example documents.</w:t>
      </w:r>
    </w:p>
    <w:p>
      <w:pPr>
        <w:pStyle w:val="ListParagraph"/>
        <w:numPr>
          <w:ilvl w:val="0"/>
          <w:numId w:val="2"/>
        </w:numPr>
        <w:spacing w:after="60"/>
      </w:pPr>
      <w:r>
        <w:rPr>
          <w:rFonts w:ascii="Arial" w:cs="Arial" w:eastAsia="Arial" w:hAnsi="Arial"/>
          <w:sz w:val="22"/>
          <w:szCs w:val="22"/>
        </w:rPr>
        <w:t xml:space="preserve">(b) Visual horizontal-bar stack — each layer rendered as a coloured bar, sized in proportion to its contribution to the EV. Linear by default; branches at the shareholder row when shareholder-level debt is present (parallel claim).</w:t>
      </w:r>
    </w:p>
    <w:p>
      <w:pPr>
        <w:pStyle w:val="ListParagraph"/>
        <w:numPr>
          <w:ilvl w:val="0"/>
          <w:numId w:val="2"/>
        </w:numPr>
        <w:spacing w:after="60"/>
      </w:pPr>
      <w:r>
        <w:rPr>
          <w:rFonts w:ascii="Arial" w:cs="Arial" w:eastAsia="Arial" w:hAnsi="Arial"/>
          <w:sz w:val="22"/>
          <w:szCs w:val="22"/>
        </w:rPr>
        <w:t xml:space="preserve">(c) Metrics panel — four leverage lenses on a single line: CTA-consolidated headline, sponsor-proportional per shareholder, grossed-up equivalent (when applicable), our-view senior LTV. Each lens has a tooltip explaining the formula.</w:t>
      </w:r>
    </w:p>
    <w:p>
      <w:pPr>
        <w:pStyle w:val="ListParagraph"/>
        <w:numPr>
          <w:ilvl w:val="0"/>
          <w:numId w:val="2"/>
        </w:numPr>
        <w:spacing w:after="60"/>
      </w:pPr>
      <w:r>
        <w:rPr>
          <w:rFonts w:ascii="Arial" w:cs="Arial" w:eastAsia="Arial" w:hAnsi="Arial"/>
          <w:sz w:val="22"/>
          <w:szCs w:val="22"/>
        </w:rPr>
        <w:t xml:space="preserve">(d) Our-position summary — a single sentence at the top: “You hold £125m of the £3,365m Class A bonds at OpCo, ranked 1, with £3,135m of cushion below you and £0 senior to you.”</w:t>
      </w:r>
    </w:p>
    <w:p>
      <w:pPr>
        <w:spacing w:after="120"/>
      </w:pPr>
      <w:r>
        <w:rPr>
          <w:rFonts w:ascii="Arial" w:cs="Arial" w:eastAsia="Arial" w:hAnsi="Arial"/>
          <w:sz w:val="22"/>
          <w:szCs w:val="22"/>
        </w:rPr>
        <w:t xml:space="preserve">All four parts derive from the same StackView returned by the API — no client-side computation. The block degrades gracefully if EV is missing (shows the structural side of the stack with no LTV / leverage figures).</w:t>
      </w:r>
    </w:p>
    <w:p>
      <w:pPr>
        <w:pStyle w:val="Heading2"/>
        <w:spacing w:after="140" w:before="240"/>
      </w:pPr>
      <w:r>
        <w:rPr>
          <w:rFonts w:ascii="Arial" w:cs="Arial" w:eastAsia="Arial" w:hAnsi="Arial"/>
          <w:b/>
          <w:bCs/>
          <w:color w:val="1F6FA5"/>
          <w:sz w:val="26"/>
          <w:szCs w:val="26"/>
        </w:rPr>
        <w:t xml:space="preserve">8. Phased delivery plan</w:t>
      </w:r>
    </w:p>
    <w:p>
      <w:pPr>
        <w:spacing w:after="120"/>
      </w:pPr>
      <w:r>
        <w:rPr>
          <w:rFonts w:ascii="Arial" w:cs="Arial" w:eastAsia="Arial" w:hAnsi="Arial"/>
          <w:sz w:val="22"/>
          <w:szCs w:val="22"/>
        </w:rPr>
        <w:t xml:space="preserve">Six phases, each with a demoable result. Sequential dependencies; no parallel work needed except inside a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60"/>
        <w:gridCol w:w="1600"/>
      </w:tblGrid>
      <w:tr>
        <w:trPr>
          <w:tblHeader/>
        </w:trP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Ph</w:t>
            </w:r>
          </w:p>
        </w:tc>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Theme</w:t>
            </w:r>
          </w:p>
        </w:tc>
        <w:tc>
          <w:tcPr>
            <w:tcW w:type="dxa" w:w="47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Deliverables</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Demoable result</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Foundation — data model + template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19"/>
                <w:szCs w:val="19"/>
              </w:rPr>
              <w:t xml:space="preserve">Migration: 4 columns on deals (valuation_date / method / entity / equity_invested), 2 on capital_structure_instruments (pledged_share_entity / pct). Tab 1 VALUATION &amp; EQUITY section. Bump template to v9.</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iCs/>
                <w:color w:val="000000"/>
                <w:sz w:val="19"/>
                <w:szCs w:val="19"/>
              </w:rPr>
              <w:t xml:space="preserve">v9 Excel template in docs/. Migration applied to running DB.</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Seed data — Gatwick + 1 control</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19"/>
                <w:szCs w:val="19"/>
              </w:rPr>
              <w:t xml:space="preserve">Populate Gatwick EV (£6,500m), valuation method, valuation entity. Add the GAF MidCo bond as a Tab 2 row (entity_level=midco, ownership_pct=100). Populate our_holding for the Class A bonds. Pick 1 simpler deal (e.g. Wigmore Solar) as a single-level control case.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iCs/>
                <w:color w:val="000000"/>
                <w:sz w:val="19"/>
                <w:szCs w:val="19"/>
              </w:rPr>
              <w:t xml:space="preserve">psql query returns the populated stack inputs.</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Engine — walked stack + metrics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19"/>
                <w:szCs w:val="19"/>
              </w:rPr>
              <w:t xml:space="preserve">build_capital_stack(), walk_ownership_chain(), compute_attributable_equity(), gross_up_facility(), build_metrics(), change_of_control_coverage(). Unit tests for the 5 spec test cases plus the two Gatwick scenarios.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iCs/>
                <w:color w:val="000000"/>
                <w:sz w:val="19"/>
                <w:szCs w:val="19"/>
              </w:rPr>
              <w:t xml:space="preserve">Python tests pass; engine returns matching numbers to the worked-example docs.</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API — endpoint</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19"/>
                <w:szCs w:val="19"/>
              </w:rPr>
              <w:t xml:space="preserve">GET /api/deals/{slug}/capital-stack. Wires engine output through scope filtering. Reuses existing FX layer if currency conversion needed.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iCs/>
                <w:color w:val="000000"/>
                <w:sz w:val="19"/>
                <w:szCs w:val="19"/>
              </w:rPr>
              <w:t xml:space="preserve">curl returns the StackView JSON for any deal.</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UI — Capital Stack block</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19"/>
                <w:szCs w:val="19"/>
              </w:rPr>
              <w:t xml:space="preserve">New block on /deals/[slug]/topsheet (and /deals/[slug] summary). Renders: (a) two-column layered stack table, (b) visual horizontal-bar stack with branching for parallel claims, (c) metrics panel showing all leverage lenses, (d) our-position summary.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iCs/>
                <w:color w:val="000000"/>
                <w:sz w:val="19"/>
                <w:szCs w:val="19"/>
              </w:rPr>
              <w:t xml:space="preserve">Stack visible on Gatwick deal page in the browser preview.</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6</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Validation, scenarios, docs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19"/>
                <w:szCs w:val="19"/>
              </w:rPr>
              <w:t xml:space="preserve">validate_capital_stack() warnings surface in the UI. Add the GIP-only NAV scenario as a togglable view (illustrative). Update Analytics page rules. Update CLAUDE.md, topsheet-template-instructions.md, topsheet-complete-specification.md.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iCs/>
                <w:color w:val="000000"/>
                <w:sz w:val="19"/>
                <w:szCs w:val="19"/>
              </w:rPr>
              <w:t xml:space="preserve">Analytics page has Capital Stack rule. Docs published.</w:t>
            </w:r>
          </w:p>
        </w:tc>
      </w:tr>
    </w:tbl>
    <w:p>
      <w:pPr>
        <w:spacing w:after="120"/>
      </w:pPr>
      <w:r>
        <w:rPr>
          <w:rFonts w:ascii="Arial" w:cs="Arial" w:eastAsia="Arial" w:hAnsi="Arial"/>
          <w:sz w:val="22"/>
          <w:szCs w:val="22"/>
        </w:rPr>
        <w:t xml:space="preserve"/>
      </w:r>
    </w:p>
    <w:p>
      <w:pPr>
        <w:spacing w:after="120"/>
        <w:rPr>
          <w:i/>
          <w:iCs/>
        </w:rPr>
      </w:pPr>
      <w:r>
        <w:rPr>
          <w:rFonts w:ascii="Arial" w:cs="Arial" w:eastAsia="Arial" w:hAnsi="Arial"/>
          <w:i/>
          <w:iCs/>
          <w:sz w:val="22"/>
          <w:szCs w:val="22"/>
        </w:rPr>
        <w:t xml:space="preserve">Critical path runs through engine work in Phase 3. Phases 1 and 2 unblock it; Phases 4 and 5 are pure consumers; Phase 6 is documentation. The whole sequence can run end-to-end without external dependencies.</w:t>
      </w:r>
    </w:p>
    <w:p>
      <w:pPr>
        <w:pStyle w:val="Heading2"/>
        <w:spacing w:after="140" w:before="240"/>
      </w:pPr>
      <w:r>
        <w:rPr>
          <w:rFonts w:ascii="Arial" w:cs="Arial" w:eastAsia="Arial" w:hAnsi="Arial"/>
          <w:b/>
          <w:bCs/>
          <w:color w:val="1F6FA5"/>
          <w:sz w:val="26"/>
          <w:szCs w:val="26"/>
        </w:rPr>
        <w:t xml:space="preserve">9. Test cases</w:t>
      </w:r>
    </w:p>
    <w:p>
      <w:pPr>
        <w:spacing w:after="120"/>
      </w:pPr>
      <w:r>
        <w:rPr>
          <w:rFonts w:ascii="Arial" w:cs="Arial" w:eastAsia="Arial" w:hAnsi="Arial"/>
          <w:sz w:val="22"/>
          <w:szCs w:val="22"/>
        </w:rPr>
        <w:t xml:space="preserve">Six test cases covering the realistic range of structures plus a negative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Case</w:t>
            </w:r>
          </w:p>
        </w:tc>
        <w:tc>
          <w:tcPr>
            <w:tcW w:type="dxa" w:w="6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What it tests</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Wigmore Solar (single-level OpCo)</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19"/>
                <w:szCs w:val="19"/>
              </w:rPr>
              <w:t xml:space="preserve">Pure OpCo deal with senior debt only. No MidCo, no HoldCo. Verifies the engine handles the simplest case without errors and reports rank 1, no parallel claims, no gross-up needed.</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Gatwick Rev.2 (actual GAF MidCo)</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19"/>
                <w:szCs w:val="19"/>
              </w:rPr>
              <w:t xml:space="preserve">Two external debt levels in the consolidated chain (OpCo Class A + MidCo GAF). Verifies multi-level walk, subordinated cushion calculation, two-column display, consolidated leverage 6.72×.</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Gatwick GIP-only NAV variant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19"/>
                <w:szCs w:val="19"/>
              </w:rPr>
              <w:t xml:space="preserve">Shareholder-level debt outside the CTA ring-fence. Verifies parallel-claim handling, grossed-up consolidated-equivalent leverage 7.56×, asymmetric shareholder positions, change-of-control coverage.</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Project Alpha Port (HoldCo + OpCo with full ownership)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19"/>
                <w:szCs w:val="19"/>
              </w:rPr>
              <w:t xml:space="preserve">MidCo above OpCo with HoldCo debt at 100% ownership. Verifies ranks 1 and 2 assigned correctly, no gross-up needed (ownership 100%).</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Hypothetical: 75% majority HoldCo (Test Case D from v8 spec)</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19"/>
                <w:szCs w:val="19"/>
              </w:rPr>
              <w:t xml:space="preserve">OpCo + MajHoldCo at 75% with both debt levels. Verifies the 75% partial-ownership case without an EV anchor mismatch.</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i w:val="false"/>
                <w:iCs w:val="false"/>
                <w:color w:val="000000"/>
                <w:sz w:val="20"/>
                <w:szCs w:val="20"/>
              </w:rPr>
              <w:t xml:space="preserve">Hypothetical: pari-passu group with mismatched ranks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19"/>
                <w:szCs w:val="19"/>
              </w:rPr>
              <w:t xml:space="preserve">Negative test — should fail validation with an ERROR per the v8 validate_capital_structure() rules.</w:t>
            </w:r>
          </w:p>
        </w:tc>
      </w:tr>
    </w:tbl>
    <w:p>
      <w:pPr>
        <w:spacing w:after="120"/>
      </w:pPr>
      <w:r>
        <w:rPr>
          <w:rFonts w:ascii="Arial" w:cs="Arial" w:eastAsia="Arial" w:hAnsi="Arial"/>
          <w:sz w:val="22"/>
          <w:szCs w:val="22"/>
        </w:rPr>
        <w:t xml:space="preserve"/>
      </w:r>
    </w:p>
    <w:p>
      <w:pPr>
        <w:spacing w:after="120"/>
        <w:rPr>
          <w:i/>
          <w:iCs/>
        </w:rPr>
      </w:pPr>
      <w:r>
        <w:rPr>
          <w:rFonts w:ascii="Arial" w:cs="Arial" w:eastAsia="Arial" w:hAnsi="Arial"/>
          <w:i/>
          <w:iCs/>
          <w:sz w:val="22"/>
          <w:szCs w:val="22"/>
        </w:rPr>
        <w:t xml:space="preserve">Cases 2 and 3 (the two Gatwick scenarios) are the headline tests — their numbers match the worked-example documents already shared, so reviewing the engine output against those documents is the acceptance criterion. Cases 4 and 5 are reused from the v8 capital structure engine smoke tests.</w:t>
      </w:r>
    </w:p>
    <w:p>
      <w:pPr>
        <w:pStyle w:val="Heading2"/>
        <w:spacing w:after="140" w:before="240"/>
      </w:pPr>
      <w:r>
        <w:rPr>
          <w:rFonts w:ascii="Arial" w:cs="Arial" w:eastAsia="Arial" w:hAnsi="Arial"/>
          <w:b/>
          <w:bCs/>
          <w:color w:val="1F6FA5"/>
          <w:sz w:val="26"/>
          <w:szCs w:val="26"/>
        </w:rPr>
        <w:t xml:space="preserve">10. Risks and dependencies</w:t>
      </w:r>
    </w:p>
    <w:p>
      <w:pPr>
        <w:pStyle w:val="Heading3"/>
        <w:spacing w:after="100" w:before="200"/>
      </w:pPr>
      <w:r>
        <w:rPr>
          <w:rFonts w:ascii="Arial" w:cs="Arial" w:eastAsia="Arial" w:hAnsi="Arial"/>
          <w:b/>
          <w:bCs/>
          <w:sz w:val="22"/>
          <w:szCs w:val="22"/>
        </w:rPr>
        <w:t xml:space="preserve">Risks</w:t>
      </w:r>
    </w:p>
    <w:p>
      <w:pPr>
        <w:pStyle w:val="ListParagraph"/>
        <w:numPr>
          <w:ilvl w:val="0"/>
          <w:numId w:val="2"/>
        </w:numPr>
        <w:spacing w:after="60"/>
      </w:pPr>
      <w:r>
        <w:rPr>
          <w:rFonts w:ascii="Arial" w:cs="Arial" w:eastAsia="Arial" w:hAnsi="Arial"/>
          <w:sz w:val="22"/>
          <w:szCs w:val="22"/>
        </w:rPr>
        <w:t xml:space="preserve">Enterprise Value quality. The engine’s output is anchored to a single estimate. We need a clear convention on how often EVs are refreshed (proposed: at IC sign-off, at each annual review, on any restructuring) and how stale dates are flagged. Currently, no deal has an EV at all.</w:t>
      </w:r>
    </w:p>
    <w:p>
      <w:pPr>
        <w:pStyle w:val="ListParagraph"/>
        <w:numPr>
          <w:ilvl w:val="0"/>
          <w:numId w:val="2"/>
        </w:numPr>
        <w:spacing w:after="60"/>
      </w:pPr>
      <w:r>
        <w:rPr>
          <w:rFonts w:ascii="Arial" w:cs="Arial" w:eastAsia="Arial" w:hAnsi="Arial"/>
          <w:sz w:val="22"/>
          <w:szCs w:val="22"/>
        </w:rPr>
        <w:t xml:space="preserve">Cross-deal consistency. Each deal’s EV will be struck on a different methodology (transaction, DCF, multiples, appraisal). The valuation_method field captures this; the UI should make the method visible alongside the EV so users don’t inadvertently compare apples and oranges.</w:t>
      </w:r>
    </w:p>
    <w:p>
      <w:pPr>
        <w:pStyle w:val="ListParagraph"/>
        <w:numPr>
          <w:ilvl w:val="0"/>
          <w:numId w:val="2"/>
        </w:numPr>
        <w:spacing w:after="60"/>
      </w:pPr>
      <w:r>
        <w:rPr>
          <w:rFonts w:ascii="Arial" w:cs="Arial" w:eastAsia="Arial" w:hAnsi="Arial"/>
          <w:sz w:val="22"/>
          <w:szCs w:val="22"/>
        </w:rPr>
        <w:t xml:space="preserve">Multi-level structures at scale. Six of the 12 demo deals have a single-level structure; the others have varying degrees of layering. The Project Alpha Port and Getlink deals are the ones to validate after Gatwick because they have similar HoldCo / MidCo patterns.</w:t>
      </w:r>
    </w:p>
    <w:p>
      <w:pPr>
        <w:pStyle w:val="ListParagraph"/>
        <w:numPr>
          <w:ilvl w:val="0"/>
          <w:numId w:val="2"/>
        </w:numPr>
        <w:spacing w:after="60"/>
      </w:pPr>
      <w:r>
        <w:rPr>
          <w:rFonts w:ascii="Arial" w:cs="Arial" w:eastAsia="Arial" w:hAnsi="Arial"/>
          <w:sz w:val="22"/>
          <w:szCs w:val="22"/>
        </w:rPr>
        <w:t xml:space="preserve">Shareholder-level debt is rare but high-impact. Out of the 12 deals only the (hypothetical) Gatwick GIP variant exhibits it. The feature works without it; the UI will simply show no parallel-claim section. Worth specifying anyway because the moment one such structure appears in the book, the gross-up matters.</w:t>
      </w:r>
    </w:p>
    <w:p>
      <w:pPr>
        <w:pStyle w:val="Heading3"/>
        <w:spacing w:after="100" w:before="200"/>
      </w:pPr>
      <w:r>
        <w:rPr>
          <w:rFonts w:ascii="Arial" w:cs="Arial" w:eastAsia="Arial" w:hAnsi="Arial"/>
          <w:b/>
          <w:bCs/>
          <w:sz w:val="22"/>
          <w:szCs w:val="22"/>
        </w:rPr>
        <w:t xml:space="preserve">Dependencies</w:t>
      </w:r>
    </w:p>
    <w:p>
      <w:pPr>
        <w:pStyle w:val="ListParagraph"/>
        <w:numPr>
          <w:ilvl w:val="0"/>
          <w:numId w:val="2"/>
        </w:numPr>
        <w:spacing w:after="60"/>
      </w:pPr>
      <w:r>
        <w:rPr>
          <w:rFonts w:ascii="Arial" w:cs="Arial" w:eastAsia="Arial" w:hAnsi="Arial"/>
          <w:sz w:val="22"/>
          <w:szCs w:val="22"/>
        </w:rPr>
        <w:t xml:space="preserve">v8 capital structure taxonomy must be in place. It is. (Commit 9881762.)</w:t>
      </w:r>
    </w:p>
    <w:p>
      <w:pPr>
        <w:pStyle w:val="ListParagraph"/>
        <w:numPr>
          <w:ilvl w:val="0"/>
          <w:numId w:val="2"/>
        </w:numPr>
        <w:spacing w:after="60"/>
      </w:pPr>
      <w:r>
        <w:rPr>
          <w:rFonts w:ascii="Arial" w:cs="Arial" w:eastAsia="Arial" w:hAnsi="Arial"/>
          <w:sz w:val="22"/>
          <w:szCs w:val="22"/>
        </w:rPr>
        <w:t xml:space="preserve">FX engine must be in place if the optional reporting_currency parameter is to work on the capital-stack endpoint. It is. (Commit c4b3611.)</w:t>
      </w:r>
    </w:p>
    <w:p>
      <w:pPr>
        <w:pStyle w:val="ListParagraph"/>
        <w:numPr>
          <w:ilvl w:val="0"/>
          <w:numId w:val="2"/>
        </w:numPr>
        <w:spacing w:after="60"/>
      </w:pPr>
      <w:r>
        <w:rPr>
          <w:rFonts w:ascii="Arial" w:cs="Arial" w:eastAsia="Arial" w:hAnsi="Arial"/>
          <w:sz w:val="22"/>
          <w:szCs w:val="22"/>
        </w:rPr>
        <w:t xml:space="preserve">No new external libraries needed. All work uses existing Python (server) and React (client) stacks.</w:t>
      </w:r>
    </w:p>
    <w:p>
      <w:pPr>
        <w:pStyle w:val="Heading2"/>
        <w:spacing w:after="140" w:before="240"/>
      </w:pPr>
      <w:r>
        <w:rPr>
          <w:rFonts w:ascii="Arial" w:cs="Arial" w:eastAsia="Arial" w:hAnsi="Arial"/>
          <w:b/>
          <w:bCs/>
          <w:color w:val="1F6FA5"/>
          <w:sz w:val="26"/>
          <w:szCs w:val="26"/>
        </w:rPr>
        <w:t xml:space="preserve">11. Decisions needed before kick-off</w:t>
      </w:r>
    </w:p>
    <w:p>
      <w:pPr>
        <w:spacing w:after="120"/>
      </w:pPr>
      <w:r>
        <w:rPr>
          <w:rFonts w:ascii="Arial" w:cs="Arial" w:eastAsia="Arial" w:hAnsi="Arial"/>
          <w:sz w:val="22"/>
          <w:szCs w:val="22"/>
        </w:rPr>
        <w:t xml:space="preserve">Each item below blocks at least one phase. Tick to confirm or note a different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w:t>
            </w:r>
          </w:p>
        </w:tc>
        <w:tc>
          <w:tcPr>
            <w:tcW w:type="dxa" w:w="8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i w:val="false"/>
                <w:iCs w:val="false"/>
                <w:color w:val="000000"/>
                <w:sz w:val="19"/>
                <w:szCs w:val="19"/>
              </w:rPr>
              <w:t xml:space="preserve">Decision needed before kick-off</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w:t>
            </w:r>
          </w:p>
        </w:tc>
        <w:tc>
          <w:tcPr>
            <w:tcW w:type="dxa" w:w="8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Approve the four new fields on Tab 1 (Enterprise Value, Valuation Date, Valuation Method, Valuation Entity).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w:t>
            </w:r>
          </w:p>
        </w:tc>
        <w:tc>
          <w:tcPr>
            <w:tcW w:type="dxa" w:w="8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Approve the two new optional fields on Tab 2 (pledged_share_entity, pledged_share_pct) for shareholder-level debt.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w:t>
            </w:r>
          </w:p>
        </w:tc>
        <w:tc>
          <w:tcPr>
            <w:tcW w:type="dxa" w:w="8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Confirm the leverage lenses to publish: (a) CTA-consolidated headline, (b) sponsor proportional, (c) grossed-up consolidated-equivalent. Any others?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w:t>
            </w:r>
          </w:p>
        </w:tc>
        <w:tc>
          <w:tcPr>
            <w:tcW w:type="dxa" w:w="8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Confirm the visual treatment: linear stack for consolidated debt, branched/parallel for shareholder-level debt with a visible gross-up factor.</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w:t>
            </w:r>
          </w:p>
        </w:tc>
        <w:tc>
          <w:tcPr>
            <w:tcW w:type="dxa" w:w="8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Confirm the gating threshold for change-of-control coverage warnings (proposed: amber &gt; 30%, red &gt; 50% LTV on pledged shares).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w:t>
            </w:r>
          </w:p>
        </w:tc>
        <w:tc>
          <w:tcPr>
            <w:tcW w:type="dxa" w:w="8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Confirm Gatwick is the primary demo deal for the build, with Wigmore Solar as the simple-case control.</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center"/>
            </w:pPr>
            <w:r>
              <w:rPr>
                <w:rFonts w:ascii="Arial" w:cs="Arial" w:eastAsia="Arial" w:hAnsi="Arial"/>
                <w:b/>
                <w:bCs/>
                <w:i w:val="false"/>
                <w:iCs w:val="false"/>
                <w:color w:val="000000"/>
                <w:sz w:val="20"/>
                <w:szCs w:val="20"/>
              </w:rPr>
              <w:t xml:space="preserve">☐</w:t>
            </w:r>
          </w:p>
        </w:tc>
        <w:tc>
          <w:tcPr>
            <w:tcW w:type="dxa" w:w="8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0"/>
                <w:szCs w:val="20"/>
              </w:rPr>
              <w:t xml:space="preserve">Confirm the v9 Excel template is the right home for the new Tab 1 section (vs a separate addendum).</w:t>
            </w:r>
          </w:p>
        </w:tc>
      </w:tr>
    </w:tbl>
    <w:p>
      <w:pPr>
        <w:spacing w:after="120"/>
      </w:pPr>
      <w:r>
        <w:rPr>
          <w:rFonts w:ascii="Arial" w:cs="Arial" w:eastAsia="Arial" w:hAnsi="Arial"/>
          <w:sz w:val="22"/>
          <w:szCs w:val="22"/>
        </w:rPr>
        <w:t xml:space="preserve"/>
      </w:r>
    </w:p>
    <w:p>
      <w:pPr>
        <w:pStyle w:val="Heading2"/>
        <w:spacing w:after="140" w:before="240"/>
      </w:pPr>
      <w:r>
        <w:rPr>
          <w:rFonts w:ascii="Arial" w:cs="Arial" w:eastAsia="Arial" w:hAnsi="Arial"/>
          <w:b/>
          <w:bCs/>
          <w:color w:val="1F6FA5"/>
          <w:sz w:val="26"/>
          <w:szCs w:val="26"/>
        </w:rPr>
        <w:t xml:space="preserve">12. Explicitly out of scope for this build</w:t>
      </w:r>
    </w:p>
    <w:p>
      <w:pPr>
        <w:pStyle w:val="ListParagraph"/>
        <w:numPr>
          <w:ilvl w:val="0"/>
          <w:numId w:val="2"/>
        </w:numPr>
        <w:spacing w:after="60"/>
      </w:pPr>
      <w:r>
        <w:rPr>
          <w:rFonts w:ascii="Arial" w:cs="Arial" w:eastAsia="Arial" w:hAnsi="Arial"/>
          <w:sz w:val="22"/>
          <w:szCs w:val="22"/>
        </w:rPr>
        <w:t xml:space="preserve">Live valuation feeds. EVs are entered manually via Tab 1; no integration with appraisal services or DCF models in this build.</w:t>
      </w:r>
    </w:p>
    <w:p>
      <w:pPr>
        <w:pStyle w:val="ListParagraph"/>
        <w:numPr>
          <w:ilvl w:val="0"/>
          <w:numId w:val="2"/>
        </w:numPr>
        <w:spacing w:after="60"/>
      </w:pPr>
      <w:r>
        <w:rPr>
          <w:rFonts w:ascii="Arial" w:cs="Arial" w:eastAsia="Arial" w:hAnsi="Arial"/>
          <w:sz w:val="22"/>
          <w:szCs w:val="22"/>
        </w:rPr>
        <w:t xml:space="preserve">Recovery analysis. The stack shows where claims sit, not how they would be paid in default. Recovery curves, post-default waterfalls, and intercreditor flows are a future feature.</w:t>
      </w:r>
    </w:p>
    <w:p>
      <w:pPr>
        <w:pStyle w:val="ListParagraph"/>
        <w:numPr>
          <w:ilvl w:val="0"/>
          <w:numId w:val="2"/>
        </w:numPr>
        <w:spacing w:after="60"/>
      </w:pPr>
      <w:r>
        <w:rPr>
          <w:rFonts w:ascii="Arial" w:cs="Arial" w:eastAsia="Arial" w:hAnsi="Arial"/>
          <w:sz w:val="22"/>
          <w:szCs w:val="22"/>
        </w:rPr>
        <w:t xml:space="preserve">Scenario / stress versions of the stack. The engine supports it (just re-run with a different EV) but the UI does not yet expose a side-by-side comparison.</w:t>
      </w:r>
    </w:p>
    <w:p>
      <w:pPr>
        <w:pStyle w:val="ListParagraph"/>
        <w:numPr>
          <w:ilvl w:val="0"/>
          <w:numId w:val="2"/>
        </w:numPr>
        <w:spacing w:after="60"/>
      </w:pPr>
      <w:r>
        <w:rPr>
          <w:rFonts w:ascii="Arial" w:cs="Arial" w:eastAsia="Arial" w:hAnsi="Arial"/>
          <w:sz w:val="22"/>
          <w:szCs w:val="22"/>
        </w:rPr>
        <w:t xml:space="preserve">Time-series of stack changes. The stack is a point-in-time view. Historical trend of LTV, equity cushion, gross-up factor over time would be a follow-on.</w:t>
      </w:r>
    </w:p>
    <w:p>
      <w:pPr>
        <w:pStyle w:val="ListParagraph"/>
        <w:numPr>
          <w:ilvl w:val="0"/>
          <w:numId w:val="2"/>
        </w:numPr>
        <w:spacing w:after="60"/>
      </w:pPr>
      <w:r>
        <w:rPr>
          <w:rFonts w:ascii="Arial" w:cs="Arial" w:eastAsia="Arial" w:hAnsi="Arial"/>
          <w:sz w:val="22"/>
          <w:szCs w:val="22"/>
        </w:rPr>
        <w:t xml:space="preserve">Editing capital structure from the UI. All inputs continue to flow through the TopSheet ingestion pipeline (Tab 1 + Tab 2 + Tab 7).</w:t>
      </w:r>
    </w:p>
    <w:p>
      <w:pPr>
        <w:pStyle w:val="Heading2"/>
        <w:spacing w:after="140" w:before="240"/>
      </w:pPr>
      <w:r>
        <w:rPr>
          <w:rFonts w:ascii="Arial" w:cs="Arial" w:eastAsia="Arial" w:hAnsi="Arial"/>
          <w:b/>
          <w:bCs/>
          <w:color w:val="1F6FA5"/>
          <w:sz w:val="26"/>
          <w:szCs w:val="26"/>
        </w:rPr>
        <w:t xml:space="preserve">13. Sign-off</w:t>
      </w:r>
    </w:p>
    <w:p>
      <w:pPr>
        <w:spacing w:after="120"/>
      </w:pPr>
      <w:r>
        <w:rPr>
          <w:rFonts w:ascii="Arial" w:cs="Arial" w:eastAsia="Arial" w:hAnsi="Arial"/>
          <w:sz w:val="22"/>
          <w:szCs w:val="22"/>
        </w:rPr>
        <w:t xml:space="preserve">This plan is final once the decisions in Section 11 are confirmed. Engine work commences in Phase 3 once Phases 1 and 2 are complete. Acceptance criterion is that the engine output for Gatwick matches the figures in the two worked-example documents already shared (gatwick-capital-stack-worked-example.docx and gatwick-capital-stack-gip-financing-scenario.docx).</w:t>
      </w:r>
    </w:p>
    <w:p>
      <w:pPr>
        <w:spacing w:after="120"/>
      </w:pPr>
      <w:r>
        <w:rPr>
          <w:rFonts w:ascii="Arial" w:cs="Arial" w:eastAsia="Arial" w:hAnsi="Arial"/>
          <w:sz w:val="22"/>
          <w:szCs w:val="22"/>
        </w:rPr>
        <w:t xml:space="preserve"/>
      </w:r>
    </w:p>
    <w:p>
      <w:pPr>
        <w:spacing w:after="120"/>
        <w:rPr>
          <w:b/>
          <w:bCs/>
          <w:color w:val="1F6FA5"/>
        </w:rPr>
      </w:pPr>
      <w:r>
        <w:rPr>
          <w:rFonts w:ascii="Arial" w:cs="Arial" w:eastAsia="Arial" w:hAnsi="Arial"/>
          <w:b/>
          <w:bCs/>
          <w:color w:val="1F6FA5"/>
          <w:sz w:val="22"/>
          <w:szCs w:val="22"/>
        </w:rPr>
        <w:t xml:space="preserve">Reviewer notes:</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FA5"/>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F6FA5"/>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Stack — Implementation Plan</dc:title>
  <dc:creator>Sesame Street</dc:creator>
  <cp:lastModifiedBy>Un-named</cp:lastModifiedBy>
  <cp:revision>1</cp:revision>
  <dcterms:created xsi:type="dcterms:W3CDTF">2026-04-14T19:49:33.772Z</dcterms:created>
  <dcterms:modified xsi:type="dcterms:W3CDTF">2026-04-14T19:49:33.773Z</dcterms:modified>
</cp:coreProperties>
</file>

<file path=docProps/custom.xml><?xml version="1.0" encoding="utf-8"?>
<Properties xmlns="http://schemas.openxmlformats.org/officeDocument/2006/custom-properties" xmlns:vt="http://schemas.openxmlformats.org/officeDocument/2006/docPropsVTypes"/>
</file>