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rFonts w:ascii="Arial" w:cs="Arial" w:eastAsia="Arial" w:hAnsi="Arial"/>
          <w:b/>
          <w:bCs/>
          <w:color w:val="1F6FA5"/>
          <w:sz w:val="72"/>
          <w:szCs w:val="72"/>
        </w:rPr>
        <w:t xml:space="preserve">Sesame Street</w:t>
      </w:r>
    </w:p>
    <w:p>
      <w:pPr>
        <w:spacing w:after="200"/>
        <w:jc w:val="center"/>
      </w:pPr>
      <w:r>
        <w:rPr>
          <w:rFonts w:ascii="Arial" w:cs="Arial" w:eastAsia="Arial" w:hAnsi="Arial"/>
          <w:color w:val="263849"/>
          <w:sz w:val="36"/>
          <w:szCs w:val="36"/>
        </w:rPr>
        <w:t xml:space="preserve">Private Credit Monitoring Platform</w:t>
      </w:r>
    </w:p>
    <w:p>
      <w:pPr>
        <w:spacing w:after="1600"/>
        <w:jc w:val="center"/>
      </w:pPr>
      <w:r>
        <w:rPr>
          <w:rFonts w:ascii="Arial" w:cs="Arial" w:eastAsia="Arial" w:hAnsi="Arial"/>
          <w:i/>
          <w:iCs/>
          <w:color w:val="56718A"/>
          <w:sz w:val="30"/>
          <w:szCs w:val="30"/>
        </w:rPr>
        <w:t xml:space="preserve">Requirements Specification</w:t>
      </w:r>
    </w:p>
    <w:p>
      <w:pPr>
        <w:spacing w:after="120"/>
        <w:jc w:val="center"/>
      </w:pPr>
      <w:r>
        <w:rPr>
          <w:rFonts w:ascii="Arial" w:cs="Arial" w:eastAsia="Arial" w:hAnsi="Arial"/>
          <w:color w:val="56718A"/>
          <w:sz w:val="24"/>
          <w:szCs w:val="24"/>
        </w:rPr>
        <w:t xml:space="preserve">Plain-English and Technical Reference</w:t>
      </w:r>
    </w:p>
    <w:p>
      <w:pPr>
        <w:spacing w:after="2000"/>
        <w:jc w:val="center"/>
      </w:pPr>
      <w:r>
        <w:rPr>
          <w:rFonts w:ascii="Arial" w:cs="Arial" w:eastAsia="Arial" w:hAnsi="Arial"/>
          <w:color w:val="56718A"/>
          <w:sz w:val="22"/>
          <w:szCs w:val="22"/>
        </w:rPr>
        <w:t xml:space="preserve">Version 1.0  ·  April 2026</w:t>
      </w:r>
    </w:p>
    <w:p>
      <w:pPr>
        <w:spacing w:after="80"/>
        <w:jc w:val="center"/>
      </w:pPr>
      <w:r>
        <w:rPr>
          <w:rFonts w:ascii="Arial" w:cs="Arial" w:eastAsia="Arial" w:hAnsi="Arial"/>
          <w:i/>
          <w:iCs/>
          <w:color w:val="56718A"/>
          <w:sz w:val="20"/>
          <w:szCs w:val="20"/>
        </w:rPr>
        <w:t xml:space="preserve">Prepared for jontysideburns / Sesame-Street</w:t>
      </w:r>
    </w:p>
    <w:p>
      <w:pPr>
        <w:pStyle w:val="Heading1"/>
        <w:pageBreakBefore/>
        <w:spacing w:after="200"/>
      </w:pPr>
      <w:r>
        <w:rPr>
          <w:rFonts w:ascii="Arial" w:cs="Arial" w:eastAsia="Arial" w:hAnsi="Arial"/>
          <w:b/>
          <w:bCs/>
          <w:color w:val="1F6FA5"/>
          <w:sz w:val="40"/>
          <w:szCs w:val="40"/>
        </w:rPr>
        <w:t xml:space="preserve">How to read this document</w:t>
      </w:r>
    </w:p>
    <w:p>
      <w:pPr>
        <w:spacing w:after="140" w:line="280"/>
        <w:jc w:val="both"/>
      </w:pPr>
      <w:r>
        <w:rPr>
          <w:rFonts w:ascii="Arial" w:cs="Arial" w:eastAsia="Arial" w:hAnsi="Arial"/>
          <w:sz w:val="22"/>
          <w:szCs w:val="22"/>
        </w:rPr>
        <w:t xml:space="preserve">This document describes every capability built into the Sesame Street private credit monitoring platform. It is structured so that two audiences can get what they need from it:</w:t>
      </w:r>
    </w:p>
    <w:p>
      <w:pPr>
        <w:pStyle w:val="ListParagraph"/>
        <w:numPr>
          <w:ilvl w:val="0"/>
          <w:numId w:val="2"/>
        </w:numPr>
        <w:spacing w:after="60"/>
      </w:pPr>
      <w:r>
        <w:rPr>
          <w:rFonts w:ascii="Arial" w:cs="Arial" w:eastAsia="Arial" w:hAnsi="Arial"/>
          <w:b/>
          <w:bCs/>
          <w:sz w:val="22"/>
          <w:szCs w:val="22"/>
        </w:rPr>
        <w:t xml:space="preserve">Plain-English reader  —  </w:t>
      </w:r>
      <w:r>
        <w:rPr>
          <w:rFonts w:ascii="Arial" w:cs="Arial" w:eastAsia="Arial" w:hAnsi="Arial"/>
          <w:sz w:val="22"/>
          <w:szCs w:val="22"/>
        </w:rPr>
        <w:t xml:space="preserve">read the opening paragraph of each section. It describes, without jargon, what the capability is for, why it exists, and how it benefits the analyst or portfolio manager.</w:t>
      </w:r>
    </w:p>
    <w:p>
      <w:pPr>
        <w:pStyle w:val="ListParagraph"/>
        <w:numPr>
          <w:ilvl w:val="0"/>
          <w:numId w:val="2"/>
        </w:numPr>
        <w:spacing w:after="60"/>
      </w:pPr>
      <w:r>
        <w:rPr>
          <w:rFonts w:ascii="Arial" w:cs="Arial" w:eastAsia="Arial" w:hAnsi="Arial"/>
          <w:b/>
          <w:bCs/>
          <w:sz w:val="22"/>
          <w:szCs w:val="22"/>
        </w:rPr>
        <w:t xml:space="preserve">Technical reader  —  </w:t>
      </w:r>
      <w:r>
        <w:rPr>
          <w:rFonts w:ascii="Arial" w:cs="Arial" w:eastAsia="Arial" w:hAnsi="Arial"/>
          <w:sz w:val="22"/>
          <w:szCs w:val="22"/>
        </w:rPr>
        <w:t xml:space="preserve">continue into the 'Technical specification' sub-section. It describes how the capability is implemented: the database tables involved, the API endpoints, the file paths where the code lives, and the engines that compute it.</w:t>
      </w:r>
    </w:p>
    <w:p>
      <w:pPr>
        <w:spacing w:after="140" w:line="280"/>
        <w:jc w:val="both"/>
      </w:pPr>
      <w:r>
        <w:rPr>
          <w:rFonts w:ascii="Arial" w:cs="Arial" w:eastAsia="Arial" w:hAnsi="Arial"/>
          <w:sz w:val="22"/>
          <w:szCs w:val="22"/>
        </w:rPr>
        <w:t xml:space="preserve">The document is organised by capability, not by code directory. If you want to understand how covenant testing works end-to-end, the covenant testing chapter pulls together the schema, the engine, the API, and the UI — rather than asking you to trace through multiple directories.</w:t>
      </w:r>
    </w:p>
    <w:p>
      <w:pPr>
        <w:pStyle w:val="Heading2"/>
        <w:spacing w:after="120" w:before="240"/>
      </w:pPr>
      <w:r>
        <w:rPr>
          <w:rFonts w:ascii="Arial" w:cs="Arial" w:eastAsia="Arial" w:hAnsi="Arial"/>
          <w:b/>
          <w:bCs/>
          <w:color w:val="263849"/>
          <w:sz w:val="30"/>
          <w:szCs w:val="30"/>
        </w:rPr>
        <w:t xml:space="preserve">Conventions</w:t>
      </w:r>
    </w:p>
    <w:p>
      <w:pPr>
        <w:pStyle w:val="ListParagraph"/>
        <w:numPr>
          <w:ilvl w:val="0"/>
          <w:numId w:val="2"/>
        </w:numPr>
        <w:spacing w:after="60"/>
      </w:pPr>
      <w:r>
        <w:rPr>
          <w:rFonts w:ascii="Arial" w:cs="Arial" w:eastAsia="Arial" w:hAnsi="Arial"/>
          <w:b/>
          <w:bCs/>
          <w:sz w:val="22"/>
          <w:szCs w:val="22"/>
        </w:rPr>
        <w:t xml:space="preserve">Tables  —  </w:t>
      </w:r>
      <w:r>
        <w:rPr>
          <w:rFonts w:ascii="Arial" w:cs="Arial" w:eastAsia="Arial" w:hAnsi="Arial"/>
          <w:sz w:val="22"/>
          <w:szCs w:val="22"/>
        </w:rPr>
        <w:t xml:space="preserve">schema and endpoint tables are exhaustive where the field list fits on one page; otherwise they list the representative fields and reference the source code for the complete list.</w:t>
      </w:r>
    </w:p>
    <w:p>
      <w:pPr>
        <w:pStyle w:val="ListParagraph"/>
        <w:numPr>
          <w:ilvl w:val="0"/>
          <w:numId w:val="2"/>
        </w:numPr>
        <w:spacing w:after="60"/>
      </w:pPr>
      <w:r>
        <w:rPr>
          <w:rFonts w:ascii="Arial" w:cs="Arial" w:eastAsia="Arial" w:hAnsi="Arial"/>
          <w:b/>
          <w:bCs/>
          <w:sz w:val="22"/>
          <w:szCs w:val="22"/>
        </w:rPr>
        <w:t xml:space="preserve">Code paths  —  </w:t>
      </w:r>
      <w:r>
        <w:rPr>
          <w:rFonts w:ascii="Arial" w:cs="Arial" w:eastAsia="Arial" w:hAnsi="Arial"/>
          <w:sz w:val="22"/>
          <w:szCs w:val="22"/>
        </w:rPr>
        <w:t xml:space="preserve">written as file.ext:line, e.g. server/main.py:18726. These are clickable in most editors and render as plain references in Word.</w:t>
      </w:r>
    </w:p>
    <w:p>
      <w:pPr>
        <w:pStyle w:val="ListParagraph"/>
        <w:numPr>
          <w:ilvl w:val="0"/>
          <w:numId w:val="2"/>
        </w:numPr>
        <w:spacing w:after="60"/>
      </w:pPr>
      <w:r>
        <w:rPr>
          <w:rFonts w:ascii="Arial" w:cs="Arial" w:eastAsia="Arial" w:hAnsi="Arial"/>
          <w:b/>
          <w:bCs/>
          <w:sz w:val="22"/>
          <w:szCs w:val="22"/>
        </w:rPr>
        <w:t xml:space="preserve">Terminology  —  </w:t>
      </w:r>
      <w:r>
        <w:rPr>
          <w:rFonts w:ascii="Arial" w:cs="Arial" w:eastAsia="Arial" w:hAnsi="Arial"/>
          <w:sz w:val="22"/>
          <w:szCs w:val="22"/>
        </w:rPr>
        <w:t xml:space="preserve">we use 'performance grade' (not 'internal grade') for the 1–4 deal grade. We use 'private debt premium' (not 'illiquidity premium') for the bps captured above a liquid-market comparable.</w:t>
      </w:r>
    </w:p>
    <w:p>
      <w:pPr>
        <w:pStyle w:val="Heading2"/>
        <w:spacing w:after="120" w:before="240"/>
      </w:pPr>
      <w:r>
        <w:rPr>
          <w:rFonts w:ascii="Arial" w:cs="Arial" w:eastAsia="Arial" w:hAnsi="Arial"/>
          <w:b/>
          <w:bCs/>
          <w:color w:val="263849"/>
          <w:sz w:val="30"/>
          <w:szCs w:val="30"/>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Label</w:t>
            </w:r>
          </w:p>
        </w:tc>
        <w:tc>
          <w:tcPr>
            <w:tcW w:type="dxa" w:w="7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Meaning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Implemented, populated with demo data, and visible in the UI</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Scaffolded</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Schema and machinery in place, not yet populated or consumed; ready to switch on at real-client cutover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Deferred</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Designed but not built; parked until a specific trigger</w:t>
            </w:r>
          </w:p>
        </w:tc>
      </w:tr>
    </w:tbl>
    <w:p>
      <w:pPr>
        <w:pStyle w:val="Heading1"/>
        <w:pageBreakBefore/>
        <w:spacing w:after="180" w:before="240"/>
      </w:pPr>
      <w:r>
        <w:rPr>
          <w:rFonts w:ascii="Arial" w:cs="Arial" w:eastAsia="Arial" w:hAnsi="Arial"/>
          <w:b/>
          <w:bCs/>
          <w:color w:val="1F6FA5"/>
          <w:sz w:val="40"/>
          <w:szCs w:val="40"/>
        </w:rPr>
        <w:t xml:space="preserve">1. Overview</w:t>
      </w:r>
    </w:p>
    <w:p>
      <w:pPr>
        <w:pStyle w:val="Heading2"/>
        <w:spacing w:after="120" w:before="240"/>
      </w:pPr>
      <w:r>
        <w:rPr>
          <w:rFonts w:ascii="Arial" w:cs="Arial" w:eastAsia="Arial" w:hAnsi="Arial"/>
          <w:b/>
          <w:bCs/>
          <w:color w:val="263849"/>
          <w:sz w:val="30"/>
          <w:szCs w:val="30"/>
        </w:rPr>
        <w:t xml:space="preserve">1.1 What the platform does</w:t>
      </w:r>
    </w:p>
    <w:p>
      <w:pPr>
        <w:spacing w:after="140" w:line="280"/>
        <w:jc w:val="both"/>
      </w:pPr>
      <w:r>
        <w:rPr>
          <w:rFonts w:ascii="Arial" w:cs="Arial" w:eastAsia="Arial" w:hAnsi="Arial"/>
          <w:sz w:val="22"/>
          <w:szCs w:val="22"/>
        </w:rPr>
        <w:t xml:space="preserve">Sesame Street is a monitoring platform for portfolios of private credit loans and infrastructure-debt investments. Institutional lenders — pension funds, insurance companies, direct-lending funds — hold illiquid debt instruments whose performance has to be tracked over decades. Unlike public bonds, there is no daily mark, no liquid secondary market, and no third-party rating service that covers every name. The monitoring work has to be done in-house, against documents delivered by the borrower on a contractual schedule (compliance certificates, audited financials, management reporting packs).</w:t>
      </w:r>
    </w:p>
    <w:p>
      <w:pPr>
        <w:spacing w:after="140" w:line="280"/>
        <w:jc w:val="both"/>
      </w:pPr>
      <w:r>
        <w:rPr>
          <w:rFonts w:ascii="Arial" w:cs="Arial" w:eastAsia="Arial" w:hAnsi="Arial"/>
          <w:sz w:val="22"/>
          <w:szCs w:val="22"/>
        </w:rPr>
        <w:t xml:space="preserve">The platform brings that work into one place. It ingests those documents, extracts the numbers, tests them against covenant thresholds, compares them against the forecasts that were underwritten at investment committee, flags deterioration, and presents the resulting picture in a format that a portfolio manager can scan in 60 seconds and dig into when needed.</w:t>
      </w:r>
    </w:p>
    <w:p>
      <w:pPr>
        <w:pStyle w:val="Heading2"/>
        <w:spacing w:after="120" w:before="240"/>
      </w:pPr>
      <w:r>
        <w:rPr>
          <w:rFonts w:ascii="Arial" w:cs="Arial" w:eastAsia="Arial" w:hAnsi="Arial"/>
          <w:b/>
          <w:bCs/>
          <w:color w:val="263849"/>
          <w:sz w:val="30"/>
          <w:szCs w:val="30"/>
        </w:rPr>
        <w:t xml:space="preserve">1.2 Who uses it</w:t>
      </w:r>
    </w:p>
    <w:p>
      <w:pPr>
        <w:pStyle w:val="ListParagraph"/>
        <w:numPr>
          <w:ilvl w:val="0"/>
          <w:numId w:val="2"/>
        </w:numPr>
        <w:spacing w:after="60"/>
      </w:pPr>
      <w:r>
        <w:rPr>
          <w:rFonts w:ascii="Arial" w:cs="Arial" w:eastAsia="Arial" w:hAnsi="Arial"/>
          <w:b/>
          <w:bCs/>
          <w:sz w:val="22"/>
          <w:szCs w:val="22"/>
        </w:rPr>
        <w:t xml:space="preserve">Portfolio managers  —  </w:t>
      </w:r>
      <w:r>
        <w:rPr>
          <w:rFonts w:ascii="Arial" w:cs="Arial" w:eastAsia="Arial" w:hAnsi="Arial"/>
          <w:sz w:val="22"/>
          <w:szCs w:val="22"/>
        </w:rPr>
        <w:t xml:space="preserve">open a deal to see performance at a glance, drill into the reasons for any flag, and decide whether to escalate.</w:t>
      </w:r>
    </w:p>
    <w:p>
      <w:pPr>
        <w:pStyle w:val="ListParagraph"/>
        <w:numPr>
          <w:ilvl w:val="0"/>
          <w:numId w:val="2"/>
        </w:numPr>
        <w:spacing w:after="60"/>
      </w:pPr>
      <w:r>
        <w:rPr>
          <w:rFonts w:ascii="Arial" w:cs="Arial" w:eastAsia="Arial" w:hAnsi="Arial"/>
          <w:b/>
          <w:bCs/>
          <w:sz w:val="22"/>
          <w:szCs w:val="22"/>
        </w:rPr>
        <w:t xml:space="preserve">Head of asset management  —  </w:t>
      </w:r>
      <w:r>
        <w:rPr>
          <w:rFonts w:ascii="Arial" w:cs="Arial" w:eastAsia="Arial" w:hAnsi="Arial"/>
          <w:sz w:val="22"/>
          <w:szCs w:val="22"/>
        </w:rPr>
        <w:t xml:space="preserve">scan the portfolio dashboard to see concentration, watchlist exposure, covenant breaches, and aggregate portfolio metrics (weighted-average DSCR, spread, life, rating).</w:t>
      </w:r>
    </w:p>
    <w:p>
      <w:pPr>
        <w:pStyle w:val="ListParagraph"/>
        <w:numPr>
          <w:ilvl w:val="0"/>
          <w:numId w:val="2"/>
        </w:numPr>
        <w:spacing w:after="60"/>
      </w:pPr>
      <w:r>
        <w:rPr>
          <w:rFonts w:ascii="Arial" w:cs="Arial" w:eastAsia="Arial" w:hAnsi="Arial"/>
          <w:b/>
          <w:bCs/>
          <w:sz w:val="22"/>
          <w:szCs w:val="22"/>
        </w:rPr>
        <w:t xml:space="preserve">Analysts  —  </w:t>
      </w:r>
      <w:r>
        <w:rPr>
          <w:rFonts w:ascii="Arial" w:cs="Arial" w:eastAsia="Arial" w:hAnsi="Arial"/>
          <w:sz w:val="22"/>
          <w:szCs w:val="22"/>
        </w:rPr>
        <w:t xml:space="preserve">run covenant tests, write variance commentary, prepare memo packs, respond to borrower consent requests.</w:t>
      </w:r>
    </w:p>
    <w:p>
      <w:pPr>
        <w:pStyle w:val="ListParagraph"/>
        <w:numPr>
          <w:ilvl w:val="0"/>
          <w:numId w:val="2"/>
        </w:numPr>
        <w:spacing w:after="60"/>
      </w:pPr>
      <w:r>
        <w:rPr>
          <w:rFonts w:ascii="Arial" w:cs="Arial" w:eastAsia="Arial" w:hAnsi="Arial"/>
          <w:b/>
          <w:bCs/>
          <w:sz w:val="22"/>
          <w:szCs w:val="22"/>
        </w:rPr>
        <w:t xml:space="preserve">Compliance operations  —  </w:t>
      </w:r>
      <w:r>
        <w:rPr>
          <w:rFonts w:ascii="Arial" w:cs="Arial" w:eastAsia="Arial" w:hAnsi="Arial"/>
          <w:sz w:val="22"/>
          <w:szCs w:val="22"/>
        </w:rPr>
        <w:t xml:space="preserve">process incoming documents, approve extracted data, manage deliverable calendars, capture snapshots for audit.</w:t>
      </w:r>
    </w:p>
    <w:p>
      <w:pPr>
        <w:pStyle w:val="ListParagraph"/>
        <w:numPr>
          <w:ilvl w:val="0"/>
          <w:numId w:val="2"/>
        </w:numPr>
        <w:spacing w:after="60"/>
      </w:pPr>
      <w:r>
        <w:rPr>
          <w:rFonts w:ascii="Arial" w:cs="Arial" w:eastAsia="Arial" w:hAnsi="Arial"/>
          <w:b/>
          <w:bCs/>
          <w:sz w:val="22"/>
          <w:szCs w:val="22"/>
        </w:rPr>
        <w:t xml:space="preserve">Distribution operations  —  </w:t>
      </w:r>
      <w:r>
        <w:rPr>
          <w:rFonts w:ascii="Arial" w:cs="Arial" w:eastAsia="Arial" w:hAnsi="Arial"/>
          <w:sz w:val="22"/>
          <w:szCs w:val="22"/>
        </w:rPr>
        <w:t xml:space="preserve">evaluate lock-up gates before each distribution date, record permitted-capacity decisions.</w:t>
      </w:r>
    </w:p>
    <w:p>
      <w:pPr>
        <w:pStyle w:val="ListParagraph"/>
        <w:numPr>
          <w:ilvl w:val="0"/>
          <w:numId w:val="2"/>
        </w:numPr>
        <w:spacing w:after="60"/>
      </w:pPr>
      <w:r>
        <w:rPr>
          <w:rFonts w:ascii="Arial" w:cs="Arial" w:eastAsia="Arial" w:hAnsi="Arial"/>
          <w:b/>
          <w:bCs/>
          <w:sz w:val="22"/>
          <w:szCs w:val="22"/>
        </w:rPr>
        <w:t xml:space="preserve">External observers  —  </w:t>
      </w:r>
      <w:r>
        <w:rPr>
          <w:rFonts w:ascii="Arial" w:cs="Arial" w:eastAsia="Arial" w:hAnsi="Arial"/>
          <w:sz w:val="22"/>
          <w:szCs w:val="22"/>
        </w:rPr>
        <w:t xml:space="preserve">pension-fund clients and the rare external auditor get read-only visibility into specific holdings.</w:t>
      </w:r>
    </w:p>
    <w:p>
      <w:pPr>
        <w:pStyle w:val="Heading2"/>
        <w:spacing w:after="120" w:before="240"/>
      </w:pPr>
      <w:r>
        <w:rPr>
          <w:rFonts w:ascii="Arial" w:cs="Arial" w:eastAsia="Arial" w:hAnsi="Arial"/>
          <w:b/>
          <w:bCs/>
          <w:color w:val="263849"/>
          <w:sz w:val="30"/>
          <w:szCs w:val="30"/>
        </w:rPr>
        <w:t xml:space="preserve">1.3 The 12-deal demo portfolio</w:t>
      </w:r>
    </w:p>
    <w:p>
      <w:pPr>
        <w:spacing w:after="140" w:line="280"/>
        <w:jc w:val="both"/>
      </w:pPr>
      <w:r>
        <w:rPr>
          <w:rFonts w:ascii="Arial" w:cs="Arial" w:eastAsia="Arial" w:hAnsi="Arial"/>
          <w:sz w:val="22"/>
          <w:szCs w:val="22"/>
        </w:rPr>
        <w:t xml:space="preserve">The platform ships with 12 seeded deals spanning multiple sectors and currencies. Together they exercise every feature of the platform against realistic-looking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800"/>
        <w:gridCol w:w="9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Deal</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Sector</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Currency</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Region</w:t>
            </w:r>
          </w:p>
        </w:tc>
        <w:tc>
          <w:tcPr>
            <w:tcW w:type="dxa" w:w="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Grade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Gatwick Airport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Airport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GBP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M6 Toll (Midland Expressway)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Toll Road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GBP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Getlink SE (Eurotunnel)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Toll Road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EUR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North Sea OWF</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Offshore Wind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GBP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Wigmore Solar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Solar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GBP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Aurora Prime Data Campus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Centre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Americas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Granite Switchyard Campus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Centre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Americas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Ion Harbor Campus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Centre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Americas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Apollo Edge Campus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Centre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USD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Americas</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Project Alpha (Port)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EUR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Beta PRS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Real Estate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EUR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Delta PRS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Real Estate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EUR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EMEA</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r>
    </w:tbl>
    <w:p>
      <w:pPr>
        <w:spacing w:after="160"/>
      </w:pPr>
      <w:r>
        <w:t xml:space="preserve"/>
      </w:r>
    </w:p>
    <w:p>
      <w:pPr>
        <w:pBdr>
          <w:left w:val="single" w:color="1F6FA5" w:sz="16" w:space="10"/>
        </w:pBdr>
        <w:spacing w:after="160" w:before="80"/>
        <w:ind w:left="200"/>
      </w:pPr>
      <w:r>
        <w:rPr>
          <w:rFonts w:ascii="Arial" w:cs="Arial" w:eastAsia="Arial" w:hAnsi="Arial"/>
          <w:i/>
          <w:iCs/>
          <w:color w:val="56718A"/>
          <w:sz w:val="22"/>
          <w:szCs w:val="22"/>
        </w:rPr>
        <w:t xml:space="preserve">Status of the portfolio is 'dummy demo'. Every field in every row was hand-seeded. No audit-trail or provenance requirements are enforced; all source_document_id FKs are NULL. The discipline of full audit trail is deferred until the first real client — see Chapter 14 for the audit-trail architecture that is ready to be switched on.</w:t>
      </w:r>
    </w:p>
    <w:p>
      <w:pPr>
        <w:pStyle w:val="Heading1"/>
        <w:pageBreakBefore/>
        <w:spacing w:after="180" w:before="240"/>
      </w:pPr>
      <w:r>
        <w:rPr>
          <w:rFonts w:ascii="Arial" w:cs="Arial" w:eastAsia="Arial" w:hAnsi="Arial"/>
          <w:b/>
          <w:bCs/>
          <w:color w:val="1F6FA5"/>
          <w:sz w:val="40"/>
          <w:szCs w:val="40"/>
        </w:rPr>
        <w:t xml:space="preserve">2. System architecture</w:t>
      </w:r>
    </w:p>
    <w:p>
      <w:pPr>
        <w:pStyle w:val="Heading2"/>
        <w:spacing w:after="120" w:before="240"/>
      </w:pPr>
      <w:r>
        <w:rPr>
          <w:rFonts w:ascii="Arial" w:cs="Arial" w:eastAsia="Arial" w:hAnsi="Arial"/>
          <w:b/>
          <w:bCs/>
          <w:color w:val="263849"/>
          <w:sz w:val="30"/>
          <w:szCs w:val="30"/>
        </w:rPr>
        <w:t xml:space="preserve">2.1 What runs where</w:t>
      </w:r>
    </w:p>
    <w:p>
      <w:pPr>
        <w:spacing w:after="140" w:line="280"/>
        <w:jc w:val="both"/>
      </w:pPr>
      <w:r>
        <w:rPr>
          <w:rFonts w:ascii="Arial" w:cs="Arial" w:eastAsia="Arial" w:hAnsi="Arial"/>
          <w:sz w:val="22"/>
          <w:szCs w:val="22"/>
        </w:rPr>
        <w:t xml:space="preserve">The platform is a three-tier web application. A user opens a browser, the browser talks to a Next.js web server, and the Next.js server talks to a Python API which talks to a PostgreSQL database. All three tiers run in Docker containers on the same machine during development; in production they would sit on a cloud server with separate containers per tier and an Nginx or equivalent in front of them for TLS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Tier</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Technology</w:t>
            </w:r>
          </w:p>
        </w:tc>
        <w:tc>
          <w:tcPr>
            <w:tcW w:type="dxa" w:w="4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What it does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Web UI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Next.js 15.5 (App Router), React 19, TypeScript</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Server-rendered pages, deal workspace, portfolio dashboard, analytics and template reference pages, plus the document intake and compliance workflows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Python 3.12, Starlette/FastAPI, psycopg</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All business logic, engines, ingestion, topsheet endpoint, portfolio aggregation, FX, covenant testing, capital stack, KPI scenarios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Database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PostgreSQL 16 (Alpine)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Schema in postgres/init.sql (first-time setup) plus postgres/migrations.sql (idempotent evolutionary changes). 60+ tables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Reverse proxy (prod only)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Nginx / cloud load balancer</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TLS, routing, optional WAF. Not in the dev compose file</w:t>
            </w:r>
          </w:p>
        </w:tc>
      </w:tr>
    </w:tbl>
    <w:p>
      <w:pPr>
        <w:pStyle w:val="Heading2"/>
        <w:spacing w:after="120" w:before="240"/>
      </w:pPr>
      <w:r>
        <w:rPr>
          <w:rFonts w:ascii="Arial" w:cs="Arial" w:eastAsia="Arial" w:hAnsi="Arial"/>
          <w:b/>
          <w:bCs/>
          <w:color w:val="263849"/>
          <w:sz w:val="30"/>
          <w:szCs w:val="30"/>
        </w:rPr>
        <w:t xml:space="preserve">2.2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Directory</w:t>
            </w:r>
          </w:p>
        </w:tc>
        <w:tc>
          <w:tcPr>
            <w:tcW w:type="dxa" w:w="6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Contents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Next.js app (App Router). Routes under client/app/..., shared React components under client/components/..., API SDK under client/api/...</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server/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Python API. Single large main.py (~26k lines) plus focused modules: grade_engine.py, capital_structure_engine.py, topsheet_importer.py, analytics.py, artifacts/service.py, extraction/* (ingestion pipeline)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Schema. init.sql runs once on first DB creation. migrations.sql is idempotent and can be re-applied to evolve an existing DB</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scripts/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 population: ingest-gatwick.sql, ingest-wigmore-solar.py, etc. Also the TopSheet Excel template generator: create-topsheet-template.py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tests/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Python test harness. test_capital_stack.py, test_kpi_scenarios.py, test_instrument_economics.py. No pytest framework; simple [PASS]/[FAIL] runner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Architecture documentation, topsheet specifications, demo guide, template instructions, gap analyses. Includes the generated TopSheet Excel template (v9)</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docker/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docker-compose.yml plus one Dockerfile per tier (client, server, postgres). Single-command setup: docker compose up</w:t>
            </w:r>
          </w:p>
        </w:tc>
      </w:tr>
    </w:tbl>
    <w:p>
      <w:pPr>
        <w:pStyle w:val="Heading2"/>
        <w:spacing w:after="120" w:before="240"/>
      </w:pPr>
      <w:r>
        <w:rPr>
          <w:rFonts w:ascii="Arial" w:cs="Arial" w:eastAsia="Arial" w:hAnsi="Arial"/>
          <w:b/>
          <w:bCs/>
          <w:color w:val="263849"/>
          <w:sz w:val="30"/>
          <w:szCs w:val="30"/>
        </w:rPr>
        <w:t xml:space="preserve">2.3 Development workflow</w:t>
      </w:r>
    </w:p>
    <w:p>
      <w:pPr>
        <w:pStyle w:val="ListParagraph"/>
        <w:numPr>
          <w:ilvl w:val="0"/>
          <w:numId w:val="2"/>
        </w:numPr>
        <w:spacing w:after="60"/>
      </w:pPr>
      <w:r>
        <w:rPr>
          <w:rFonts w:ascii="Arial" w:cs="Arial" w:eastAsia="Arial" w:hAnsi="Arial"/>
          <w:b/>
          <w:bCs/>
          <w:sz w:val="22"/>
          <w:szCs w:val="22"/>
        </w:rPr>
        <w:t xml:space="preserve">Start the stack  —  </w:t>
      </w:r>
      <w:r>
        <w:rPr>
          <w:rFonts w:ascii="Arial" w:cs="Arial" w:eastAsia="Arial" w:hAnsi="Arial"/>
          <w:sz w:val="22"/>
          <w:szCs w:val="22"/>
        </w:rPr>
        <w:t xml:space="preserve">from docker/ run docker compose up -d. Database comes up first, then the API, then the web UI.</w:t>
      </w:r>
    </w:p>
    <w:p>
      <w:pPr>
        <w:pStyle w:val="ListParagraph"/>
        <w:numPr>
          <w:ilvl w:val="0"/>
          <w:numId w:val="2"/>
        </w:numPr>
        <w:spacing w:after="60"/>
      </w:pPr>
      <w:r>
        <w:rPr>
          <w:rFonts w:ascii="Arial" w:cs="Arial" w:eastAsia="Arial" w:hAnsi="Arial"/>
          <w:b/>
          <w:bCs/>
          <w:sz w:val="22"/>
          <w:szCs w:val="22"/>
        </w:rPr>
        <w:t xml:space="preserve">Rebuild an image  —  </w:t>
      </w:r>
      <w:r>
        <w:rPr>
          <w:rFonts w:ascii="Arial" w:cs="Arial" w:eastAsia="Arial" w:hAnsi="Arial"/>
          <w:sz w:val="22"/>
          <w:szCs w:val="22"/>
        </w:rPr>
        <w:t xml:space="preserve">from the repo root: docker build -f docker/server.Dockerfile -t sesamestreet-server:latest . — then docker compose up -d server to restart only that tier.</w:t>
      </w:r>
    </w:p>
    <w:p>
      <w:pPr>
        <w:pStyle w:val="ListParagraph"/>
        <w:numPr>
          <w:ilvl w:val="0"/>
          <w:numId w:val="2"/>
        </w:numPr>
        <w:spacing w:after="60"/>
      </w:pPr>
      <w:r>
        <w:rPr>
          <w:rFonts w:ascii="Arial" w:cs="Arial" w:eastAsia="Arial" w:hAnsi="Arial"/>
          <w:b/>
          <w:bCs/>
          <w:sz w:val="22"/>
          <w:szCs w:val="22"/>
        </w:rPr>
        <w:t xml:space="preserve">Apply a schema migration  —  </w:t>
      </w:r>
      <w:r>
        <w:rPr>
          <w:rFonts w:ascii="Arial" w:cs="Arial" w:eastAsia="Arial" w:hAnsi="Arial"/>
          <w:sz w:val="22"/>
          <w:szCs w:val="22"/>
        </w:rPr>
        <w:t xml:space="preserve">docker exec docker-postgres-1 psql -U sesame -d sesamestreet -f /migrations/migrations.sql. Idempotent: safe to re-run.</w:t>
      </w:r>
    </w:p>
    <w:p>
      <w:pPr>
        <w:pStyle w:val="ListParagraph"/>
        <w:numPr>
          <w:ilvl w:val="0"/>
          <w:numId w:val="2"/>
        </w:numPr>
        <w:spacing w:after="60"/>
      </w:pPr>
      <w:r>
        <w:rPr>
          <w:rFonts w:ascii="Arial" w:cs="Arial" w:eastAsia="Arial" w:hAnsi="Arial"/>
          <w:b/>
          <w:bCs/>
          <w:sz w:val="22"/>
          <w:szCs w:val="22"/>
        </w:rPr>
        <w:t xml:space="preserve">Safe rebuild  —  </w:t>
      </w:r>
      <w:r>
        <w:rPr>
          <w:rFonts w:ascii="Arial" w:cs="Arial" w:eastAsia="Arial" w:hAnsi="Arial"/>
          <w:sz w:val="22"/>
          <w:szCs w:val="22"/>
        </w:rPr>
        <w:t xml:space="preserve">bin/db-rebuild.sh preserves data. bin/db-rebuild.sh --reset WIPES the data directory (backup first; the existing guard is documented in CLAUDE.md).</w:t>
      </w:r>
    </w:p>
    <w:p>
      <w:pPr>
        <w:pStyle w:val="ListParagraph"/>
        <w:numPr>
          <w:ilvl w:val="0"/>
          <w:numId w:val="2"/>
        </w:numPr>
        <w:spacing w:after="60"/>
      </w:pPr>
      <w:r>
        <w:rPr>
          <w:rFonts w:ascii="Arial" w:cs="Arial" w:eastAsia="Arial" w:hAnsi="Arial"/>
          <w:b/>
          <w:bCs/>
          <w:sz w:val="22"/>
          <w:szCs w:val="22"/>
        </w:rPr>
        <w:t xml:space="preserve">Backup  —  </w:t>
      </w:r>
      <w:r>
        <w:rPr>
          <w:rFonts w:ascii="Arial" w:cs="Arial" w:eastAsia="Arial" w:hAnsi="Arial"/>
          <w:sz w:val="22"/>
          <w:szCs w:val="22"/>
        </w:rPr>
        <w:t xml:space="preserve">bin/db-backup.sh dumps to ./backups.</w:t>
      </w:r>
    </w:p>
    <w:p>
      <w:pPr>
        <w:pStyle w:val="Heading1"/>
        <w:pageBreakBefore/>
        <w:spacing w:after="180" w:before="240"/>
      </w:pPr>
      <w:r>
        <w:rPr>
          <w:rFonts w:ascii="Arial" w:cs="Arial" w:eastAsia="Arial" w:hAnsi="Arial"/>
          <w:b/>
          <w:bCs/>
          <w:color w:val="1F6FA5"/>
          <w:sz w:val="40"/>
          <w:szCs w:val="40"/>
        </w:rPr>
        <w:t xml:space="preserve">3. Data architecture</w:t>
      </w:r>
    </w:p>
    <w:p>
      <w:pPr>
        <w:pStyle w:val="Heading2"/>
        <w:spacing w:after="120" w:before="240"/>
      </w:pPr>
      <w:r>
        <w:rPr>
          <w:rFonts w:ascii="Arial" w:cs="Arial" w:eastAsia="Arial" w:hAnsi="Arial"/>
          <w:b/>
          <w:bCs/>
          <w:color w:val="263849"/>
          <w:sz w:val="30"/>
          <w:szCs w:val="30"/>
        </w:rPr>
        <w:t xml:space="preserve">3.1 How we model a deal</w:t>
      </w:r>
    </w:p>
    <w:p>
      <w:pPr>
        <w:spacing w:after="140" w:line="280"/>
        <w:jc w:val="both"/>
      </w:pPr>
      <w:r>
        <w:rPr>
          <w:rFonts w:ascii="Arial" w:cs="Arial" w:eastAsia="Arial" w:hAnsi="Arial"/>
          <w:sz w:val="22"/>
          <w:szCs w:val="22"/>
        </w:rPr>
        <w:t xml:space="preserve">Every deal is a row in the deals table. Around it sit about thirty child tables that record structural, financial, operational, and analytical facts. Some are one-to-one (a single onboarding snapshot per deal); most are one-to-many (a deal has many covenant thresholds, many capital structure instruments, many reporting periods, many risk register entries, many forecast cases, and so on).</w:t>
      </w:r>
    </w:p>
    <w:p>
      <w:pPr>
        <w:spacing w:after="140" w:line="280"/>
        <w:jc w:val="both"/>
      </w:pPr>
      <w:r>
        <w:rPr>
          <w:rFonts w:ascii="Arial" w:cs="Arial" w:eastAsia="Arial" w:hAnsi="Arial"/>
          <w:sz w:val="22"/>
          <w:szCs w:val="22"/>
        </w:rPr>
        <w:t xml:space="preserve">The schema was designed to separate three layers cleanly: the deal identity and its structural facts (entities, instruments, counterparties, covenants, obligations); the financial reporting grid (reporting periods, line items, actual values, forecast values); and the analytical outputs (covenant test results, variance records, performance assessments, trend records, distribution assessments). Each layer can evolve and be queried independently.</w:t>
      </w:r>
    </w:p>
    <w:p>
      <w:pPr>
        <w:pStyle w:val="Heading2"/>
        <w:spacing w:after="120" w:before="240"/>
      </w:pPr>
      <w:r>
        <w:rPr>
          <w:rFonts w:ascii="Arial" w:cs="Arial" w:eastAsia="Arial" w:hAnsi="Arial"/>
          <w:b/>
          <w:bCs/>
          <w:color w:val="263849"/>
          <w:sz w:val="30"/>
          <w:szCs w:val="30"/>
        </w:rPr>
        <w:t xml:space="preserve">3.2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Table</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Master record per deal. 170+ columns covering identity, sector, currency, dates, ratings, status, overview narrative, valuation and equity fields for the capital stack, and pointers to selected aggregates (grade, overall covenant status, distribution status).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capital_structure_instruments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row per debt instrument. Instrument type, committed/drawn amounts, maturity, pricing (coupon / base / spread / benchmark / fees), entity level and cashflow priority ranking, shareholder pledge, our-holding amount and %.</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capital_structure_margin_ratchets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Child of instrument. One row per ratchet tier. Holds base-margin step-downs (time- or covenant-triggered) AND ESG SPT adjustments (additive bps deltas linked to sustainability targets).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corporate_entities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Entity map per deal: OpCo, MidCo, HoldCo, TopCo, Issuer, BidCo, majority- and minority-HoldCo. Ownership %, jurisdiction, ring-fencing, consolidation method, security-perimeter flag.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deal_jurisdiction_splits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Multi-country revenue/operations proportions (e.g. Getlink 50% France / 50% UK).</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deal_counterparties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Sponsors, arrangers, servicers, offtakers, rating agencies, insurers.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deal_reserve_accounts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DSRA, MRA, working capital facilities, liquidity facilities. Required balance, current funding, funding source (cash/LC/PCG), provider, underfunded-periods counter.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hedge_portfolio</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Derivative instruments — swaps, caps, floors — with notional, reference rate, fixed leg, tenor, coverage %.</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covenant_thresholds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Three-tier thresholds per covenant: lockup, trigger, default. Ratio definition, direction (min/max), test type (hard covenant / distribution condition), testing frequency, step-down schedule, ratio level.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deal_risk_register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IC-identified risks. Likelihood, severity, score, mitigation scoring (party + capital), trend, commentary, next review date. May link to sensitivities and monitoring KPI.</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deal_kpi_observations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Reported KPI values per period, with deviation-to-stress banding.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deal_distribution_conditions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 full lock-up register: every gate that must pass before equity can be distributed.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deal_obligation_register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 reporting obligation in the finance docs (frequency, deadline, grace window, source reference).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deal_development_phases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Construction → COD → stabilisation → operating phases with milestone dates.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deal_amendments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Amendment history with status, effective dates, summary, rule-versioning.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deal_consent_mechanics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Consent framework: majority and supermajority thresholds, voting basis, all-lender matters, snooze-you-lose, disenfranchisement triggers.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deal_eod_register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Catalogued events of default per deal.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deal_trigger_events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Catalogued trigger events per deal.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deal_onboarding_snapshots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Write-once capture at IC approval. Structural position, financial metrics, stress parameters, governance, economics, market context, initial risk. Immutable via trigger. Re-underwriting creates a new snapshot; old one marked superseded.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deal_topsheet_snapshots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Periodic TopSheet captures (IC pack, covenant-test pack, waiver record). References are copied into topsheet_snapshot_field_citations at capture time for reproducibility even if underlying documents are later superseded.</w:t>
            </w:r>
          </w:p>
        </w:tc>
      </w:tr>
    </w:tbl>
    <w:p>
      <w:pPr>
        <w:pStyle w:val="Heading2"/>
        <w:spacing w:after="120" w:before="240"/>
      </w:pPr>
      <w:r>
        <w:rPr>
          <w:rFonts w:ascii="Arial" w:cs="Arial" w:eastAsia="Arial" w:hAnsi="Arial"/>
          <w:b/>
          <w:bCs/>
          <w:color w:val="263849"/>
          <w:sz w:val="30"/>
          <w:szCs w:val="30"/>
        </w:rPr>
        <w:t xml:space="preserve">3.3 Financial-reporting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Table</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deal_reporting_schedule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row per deal. Periodicity (annual, semi-annual, quarterly), reporting lag days, first-period start, final-period end, fiscal year end month. Drives automatic period generation.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deal_reporting_periods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row per (deal, period). Period_flag (e.g. FY2026, 2026Q1), period_label, start/end dates, ordinal, period_type (historical / current / forecast), data_status.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line_item_definitions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Chart of accounts. 181 rows across sections: cashflow, balance sheet, covenant ratios, annualised metrics, Moody's ratios, sector KPIs. Each with line_key, section, display_label, row_order, unit, parent_line_key.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deal_line_item_labels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Per-deal override of display labels for generic line_items. E.g. Gatwick's sector_kpi_1 becomes 'Passengers (millions)'; Aurora's sector_kpi_1 becomes 'Contracted Capacity (MW)'.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period_financial_items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Actuals grid. One row per (deal, period, line_key). reported_value, approved_value, computed_value, variance_to_forecast, value_origin, item_status. The primary store for everything the borrower has reported.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forecast_cases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Per-deal scenarios: management_case, credit_case/lender_case, combined_downside, single_variant_stress, custom. scenario_kind column. Single-variant stresses link back to their motivating risk via driving_risk_id.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forecast_case_versions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Version history within a case. Frozen at IC approval; reforecast creates a new version, old version marked is_active=FALSE.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forecast_period_items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Forecast grid. (version × period × line_key) → value. Holds financial-line AND KPI forecasts (line_keys like 'total_revenue' plus line_keys like 'sector_kpi_1'). This is the single source of truth for every expected value across every scenario.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forecast_model_metadata</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Model provenance: model name, date, source, currency, periodicity, assumptions (base rate, inflation), prepared_by, approved_by/at, source_document_id.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actual_periods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Legacy/parallel structure used by earlier engines. actual_metrics + borrower_reported_ratios + platform_computed_ratios JSONB, with source_hierarchy + extraction confidence.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financial_periods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Reported financial periods with expected vs reported metric JSONBs (also legacy, kept for existing engines).</w:t>
            </w:r>
          </w:p>
        </w:tc>
      </w:tr>
    </w:tbl>
    <w:p>
      <w:pPr>
        <w:pStyle w:val="Heading2"/>
        <w:spacing w:after="120" w:before="240"/>
      </w:pPr>
      <w:r>
        <w:rPr>
          <w:rFonts w:ascii="Arial" w:cs="Arial" w:eastAsia="Arial" w:hAnsi="Arial"/>
          <w:b/>
          <w:bCs/>
          <w:color w:val="263849"/>
          <w:sz w:val="30"/>
          <w:szCs w:val="30"/>
        </w:rPr>
        <w:t xml:space="preserve">3.4 Analytics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Table</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covenant_tests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Per-period, per-covenant test result. Ratio value used, tier status, three headroom values, component breakdown, borrower-reported override.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financial_variances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Per-metric actual vs forecast comparison. Variance value and %, direction (favourable/adverse), materiality band (critical/material/notable/minor).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deal_assessments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 grade history. Grade 1-4, overall score, covenant/variance/trend/compliance components, watchlist status, escalation level, summary narrative.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distribution_assessments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Result of running the Distribution Engine. Status (allowed/review_required/restricted/blocked), blocker count, lockup state, failed/passed conditions, distribution capacity, next test date.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trend_records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Output of the Plan Variance Trend Engine. Per-metric trend direction, severity, periods observed, total change %, summary.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evidence_citations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Universal column-level citation store. field_key convention (e.g. 'deals.enterprise_value:26'), page, snippet, canonical_document_id.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documents, incoming_documents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 management. Canonical processed record + raw-intake record (SHA-256, mime, sender, source_channel).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document_supersessions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Audit history: audited replaces unaudited, amendment replaces original.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ai_audit_logs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AI model provenance: prompt, tool calls, model version, confidence, token counts.</w:t>
            </w:r>
          </w:p>
        </w:tc>
      </w:tr>
    </w:tbl>
    <w:p>
      <w:pPr>
        <w:pStyle w:val="Heading1"/>
        <w:pageBreakBefore/>
        <w:spacing w:after="180" w:before="240"/>
      </w:pPr>
      <w:r>
        <w:rPr>
          <w:rFonts w:ascii="Arial" w:cs="Arial" w:eastAsia="Arial" w:hAnsi="Arial"/>
          <w:b/>
          <w:bCs/>
          <w:color w:val="1F6FA5"/>
          <w:sz w:val="40"/>
          <w:szCs w:val="40"/>
        </w:rPr>
        <w:t xml:space="preserve">4. Deal Overview page</w:t>
      </w:r>
    </w:p>
    <w:p>
      <w:pPr>
        <w:pStyle w:val="Heading2"/>
        <w:spacing w:after="120" w:before="240"/>
      </w:pPr>
      <w:r>
        <w:rPr>
          <w:rFonts w:ascii="Arial" w:cs="Arial" w:eastAsia="Arial" w:hAnsi="Arial"/>
          <w:b/>
          <w:bCs/>
          <w:color w:val="263849"/>
          <w:sz w:val="30"/>
          <w:szCs w:val="30"/>
        </w:rPr>
        <w:t xml:space="preserve">4.1 What it is</w:t>
      </w:r>
    </w:p>
    <w:p>
      <w:pPr>
        <w:spacing w:after="140" w:line="280"/>
        <w:jc w:val="both"/>
      </w:pPr>
      <w:r>
        <w:rPr>
          <w:rFonts w:ascii="Arial" w:cs="Arial" w:eastAsia="Arial" w:hAnsi="Arial"/>
          <w:sz w:val="22"/>
          <w:szCs w:val="22"/>
        </w:rPr>
        <w:t xml:space="preserve">The Deal Overview page is the single-screen summary that a portfolio manager lands on when they click a deal from the dashboard. It answers the question 'should I be worried about this deal, and if so why?' in under a minute. Everything else on the platform (the full TopSheet, forecasts, risk register, distribution detail, etc.) is reachable from links within it.</w:t>
      </w:r>
    </w:p>
    <w:p>
      <w:pPr>
        <w:spacing w:after="140" w:line="280"/>
        <w:jc w:val="both"/>
      </w:pPr>
      <w:r>
        <w:rPr>
          <w:rFonts w:ascii="Arial" w:cs="Arial" w:eastAsia="Arial" w:hAnsi="Arial"/>
          <w:sz w:val="22"/>
          <w:szCs w:val="22"/>
        </w:rPr>
        <w:t xml:space="preserve">The page is divided into eight numbered sections. The Deal Snapshot at the top uses a three-column structure so the most important facts fit above the fold: structural characteristics on the left, credit metrics in the middle, and performance status on the right. Below the snapshot come the workflow panels (compliance, risk, borrower requests), the AI-produced business update, financial performance charts with stress-band overlays on sector KPIs, and a forecast/risk register pair. The page ends with snapshot history and reserve account detail.</w:t>
      </w:r>
    </w:p>
    <w:p>
      <w:pPr>
        <w:pStyle w:val="Heading2"/>
        <w:spacing w:after="120" w:before="240"/>
      </w:pPr>
      <w:r>
        <w:rPr>
          <w:rFonts w:ascii="Arial" w:cs="Arial" w:eastAsia="Arial" w:hAnsi="Arial"/>
          <w:b/>
          <w:bCs/>
          <w:color w:val="263849"/>
          <w:sz w:val="30"/>
          <w:szCs w:val="30"/>
        </w:rPr>
        <w:t xml:space="preserve">4.2 Section structure</w:t>
      </w:r>
    </w:p>
    <w:p>
      <w:pPr>
        <w:pStyle w:val="ListParagraph"/>
        <w:numPr>
          <w:ilvl w:val="0"/>
          <w:numId w:val="2"/>
        </w:numPr>
        <w:spacing w:after="60"/>
      </w:pPr>
      <w:r>
        <w:rPr>
          <w:rFonts w:ascii="Arial" w:cs="Arial" w:eastAsia="Arial" w:hAnsi="Arial"/>
          <w:b/>
          <w:bCs/>
          <w:sz w:val="22"/>
          <w:szCs w:val="22"/>
        </w:rPr>
        <w:t xml:space="preserve">1. Investment Description  —  </w:t>
      </w:r>
      <w:r>
        <w:rPr>
          <w:rFonts w:ascii="Arial" w:cs="Arial" w:eastAsia="Arial" w:hAnsi="Arial"/>
          <w:sz w:val="22"/>
          <w:szCs w:val="22"/>
        </w:rPr>
        <w:t xml:space="preserve">full-width narrative, drawn from deals.deal_overview. This is the analyst's one-paragraph summary of what the borrower is and how the deal is structured.</w:t>
      </w:r>
    </w:p>
    <w:p>
      <w:pPr>
        <w:pStyle w:val="ListParagraph"/>
        <w:numPr>
          <w:ilvl w:val="0"/>
          <w:numId w:val="2"/>
        </w:numPr>
        <w:spacing w:after="60"/>
      </w:pPr>
      <w:r>
        <w:rPr>
          <w:rFonts w:ascii="Arial" w:cs="Arial" w:eastAsia="Arial" w:hAnsi="Arial"/>
          <w:b/>
          <w:bCs/>
          <w:sz w:val="22"/>
          <w:szCs w:val="22"/>
        </w:rPr>
        <w:t xml:space="preserve">2. Deal Snapshot  —  </w:t>
      </w:r>
      <w:r>
        <w:rPr>
          <w:rFonts w:ascii="Arial" w:cs="Arial" w:eastAsia="Arial" w:hAnsi="Arial"/>
          <w:sz w:val="22"/>
          <w:szCs w:val="22"/>
        </w:rPr>
        <w:t xml:space="preserve">three-column grid: Characteristics · Credit metrics · Performance. Six rows each. See detail below.</w:t>
      </w:r>
    </w:p>
    <w:p>
      <w:pPr>
        <w:pStyle w:val="ListParagraph"/>
        <w:numPr>
          <w:ilvl w:val="0"/>
          <w:numId w:val="2"/>
        </w:numPr>
        <w:spacing w:after="60"/>
      </w:pPr>
      <w:r>
        <w:rPr>
          <w:rFonts w:ascii="Arial" w:cs="Arial" w:eastAsia="Arial" w:hAnsi="Arial"/>
          <w:b/>
          <w:bCs/>
          <w:sz w:val="22"/>
          <w:szCs w:val="22"/>
        </w:rPr>
        <w:t xml:space="preserve">3. Compliance · Risk · Borrower Requests  —  </w:t>
      </w:r>
      <w:r>
        <w:rPr>
          <w:rFonts w:ascii="Arial" w:cs="Arial" w:eastAsia="Arial" w:hAnsi="Arial"/>
          <w:sz w:val="22"/>
          <w:szCs w:val="22"/>
        </w:rPr>
        <w:t xml:space="preserve">three cards. Compliance shows primary covenant status plus headroom and pending obligations; Risk shows the top three risks by score; Borrower Requests shows active consent/waiver requests.</w:t>
      </w:r>
    </w:p>
    <w:p>
      <w:pPr>
        <w:pStyle w:val="ListParagraph"/>
        <w:numPr>
          <w:ilvl w:val="0"/>
          <w:numId w:val="2"/>
        </w:numPr>
        <w:spacing w:after="60"/>
      </w:pPr>
      <w:r>
        <w:rPr>
          <w:rFonts w:ascii="Arial" w:cs="Arial" w:eastAsia="Arial" w:hAnsi="Arial"/>
          <w:b/>
          <w:bCs/>
          <w:sz w:val="22"/>
          <w:szCs w:val="22"/>
        </w:rPr>
        <w:t xml:space="preserve">4. Investment Update  —  </w:t>
      </w:r>
      <w:r>
        <w:rPr>
          <w:rFonts w:ascii="Arial" w:cs="Arial" w:eastAsia="Arial" w:hAnsi="Arial"/>
          <w:sz w:val="22"/>
          <w:szCs w:val="22"/>
        </w:rPr>
        <w:t xml:space="preserve">AI-produced 12-month business summary (currently a deterministic placeholder that interpolates trend, covenant status, grade, and top risks into template sentences). A real engine using a retrieval-augmented LLM is the intended replacement.</w:t>
      </w:r>
    </w:p>
    <w:p>
      <w:pPr>
        <w:pStyle w:val="ListParagraph"/>
        <w:numPr>
          <w:ilvl w:val="0"/>
          <w:numId w:val="2"/>
        </w:numPr>
        <w:spacing w:after="60"/>
      </w:pPr>
      <w:r>
        <w:rPr>
          <w:rFonts w:ascii="Arial" w:cs="Arial" w:eastAsia="Arial" w:hAnsi="Arial"/>
          <w:b/>
          <w:bCs/>
          <w:sz w:val="22"/>
          <w:szCs w:val="22"/>
        </w:rPr>
        <w:t xml:space="preserve">5. Financial Performance Charts + Sector KPI chart  —  </w:t>
      </w:r>
      <w:r>
        <w:rPr>
          <w:rFonts w:ascii="Arial" w:cs="Arial" w:eastAsia="Arial" w:hAnsi="Arial"/>
          <w:sz w:val="22"/>
          <w:szCs w:val="22"/>
        </w:rPr>
        <w:t xml:space="preserve">four-series cashflow chart (revenue, opex, CFADS, debt service; actuals solid, forecasts dashed), key financial ratios chart with DSCR and ND:EBITDA on a dual Y-axis, plus a small-multiples grid of sector KPI charts with stress-band overlays.</w:t>
      </w:r>
    </w:p>
    <w:p>
      <w:pPr>
        <w:pStyle w:val="ListParagraph"/>
        <w:numPr>
          <w:ilvl w:val="0"/>
          <w:numId w:val="2"/>
        </w:numPr>
        <w:spacing w:after="60"/>
      </w:pPr>
      <w:r>
        <w:rPr>
          <w:rFonts w:ascii="Arial" w:cs="Arial" w:eastAsia="Arial" w:hAnsi="Arial"/>
          <w:b/>
          <w:bCs/>
          <w:sz w:val="22"/>
          <w:szCs w:val="22"/>
        </w:rPr>
        <w:t xml:space="preserve">6. Forecast · Risk Register  —  </w:t>
      </w:r>
      <w:r>
        <w:rPr>
          <w:rFonts w:ascii="Arial" w:cs="Arial" w:eastAsia="Arial" w:hAnsi="Arial"/>
          <w:sz w:val="22"/>
          <w:szCs w:val="22"/>
        </w:rPr>
        <w:t xml:space="preserve">two-column summary. Forecast card lists monitoring-case + next two scenarios with revenue and DSCR deltas. Risk Register lists the top three active risks with generated narratives.</w:t>
      </w:r>
    </w:p>
    <w:p>
      <w:pPr>
        <w:pStyle w:val="ListParagraph"/>
        <w:numPr>
          <w:ilvl w:val="0"/>
          <w:numId w:val="2"/>
        </w:numPr>
        <w:spacing w:after="60"/>
      </w:pPr>
      <w:r>
        <w:rPr>
          <w:rFonts w:ascii="Arial" w:cs="Arial" w:eastAsia="Arial" w:hAnsi="Arial"/>
          <w:b/>
          <w:bCs/>
          <w:sz w:val="22"/>
          <w:szCs w:val="22"/>
        </w:rPr>
        <w:t xml:space="preserve">7. Snapshot history · Term change management  —  </w:t>
      </w:r>
      <w:r>
        <w:rPr>
          <w:rFonts w:ascii="Arial" w:cs="Arial" w:eastAsia="Arial" w:hAnsi="Arial"/>
          <w:sz w:val="22"/>
          <w:szCs w:val="22"/>
        </w:rPr>
        <w:t xml:space="preserve">two-column summary. Snapshot history lists recent TopSheet captures; Term change management lists amendment activity, with a 'Capture current TopSheet' button for users with permission.</w:t>
      </w:r>
    </w:p>
    <w:p>
      <w:pPr>
        <w:pStyle w:val="ListParagraph"/>
        <w:numPr>
          <w:ilvl w:val="0"/>
          <w:numId w:val="2"/>
        </w:numPr>
        <w:spacing w:after="60"/>
      </w:pPr>
      <w:r>
        <w:rPr>
          <w:rFonts w:ascii="Arial" w:cs="Arial" w:eastAsia="Arial" w:hAnsi="Arial"/>
          <w:b/>
          <w:bCs/>
          <w:sz w:val="22"/>
          <w:szCs w:val="22"/>
        </w:rPr>
        <w:t xml:space="preserve">8. Liquidity &amp; Reserve Accounts  —  </w:t>
      </w:r>
      <w:r>
        <w:rPr>
          <w:rFonts w:ascii="Arial" w:cs="Arial" w:eastAsia="Arial" w:hAnsi="Arial"/>
          <w:sz w:val="22"/>
          <w:szCs w:val="22"/>
        </w:rPr>
        <w:t xml:space="preserve">full detail table (conditional on reserve_accounts being populated). Account name, required vs funded, funding source (cash/LC/PCG with provider), status, shortfall.</w:t>
      </w:r>
    </w:p>
    <w:p>
      <w:pPr>
        <w:pStyle w:val="Heading2"/>
        <w:spacing w:after="120" w:before="240"/>
      </w:pPr>
      <w:r>
        <w:rPr>
          <w:rFonts w:ascii="Arial" w:cs="Arial" w:eastAsia="Arial" w:hAnsi="Arial"/>
          <w:b/>
          <w:bCs/>
          <w:color w:val="263849"/>
          <w:sz w:val="30"/>
          <w:szCs w:val="30"/>
        </w:rPr>
        <w:t xml:space="preserve">4.3 Deal Snapshot — three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Column</w:t>
            </w:r>
          </w:p>
        </w:tc>
        <w:tc>
          <w:tcPr>
            <w:tcW w:type="dxa" w:w="2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Content</w:t>
            </w:r>
          </w:p>
        </w:tc>
        <w:tc>
          <w:tcPr>
            <w:tcW w:type="dxa" w:w="2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c>
          <w:tcPr>
            <w:tcW w:type="dxa" w:w="24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Characteristics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Exposure · Sector · Country · Security &amp; format · Currency · Facility amount</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deals table + portfolio aggregator for richer fields</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Security ranking and instrument format merged into one row (e.g. 'Senior Secured bond')</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Credit metrics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Spread · WA Life · DSCR · DSCR headroom to lockup · Collateral ratio · Collateral headroom to lockup</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Portfolio aggregator + covenant_thresholds + covenant_tests</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Both coverage (DSCR) and collateral headrooms shown. Collateral ratio is deal-specific: Gatwick → Senior RAR; Aurora → Net Debt/EBITDA; North Sea OWF → LLCR</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Credit rating (Moody's/S&amp;P/Fitch + Assigned pill) · Performance grade · Trend · Covenant status · Watchlist · Escalation</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deals (ratings), deal_assessments, portfolio aggregator</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 Credit rating row has a pill on the far right showing the Assigned rating (median of three externals, or internal credit score fallback)</w:t>
            </w:r>
          </w:p>
        </w:tc>
      </w:tr>
    </w:tbl>
    <w:p>
      <w:pPr>
        <w:pStyle w:val="Heading2"/>
        <w:spacing w:after="120" w:before="240"/>
      </w:pPr>
      <w:r>
        <w:rPr>
          <w:rFonts w:ascii="Arial" w:cs="Arial" w:eastAsia="Arial" w:hAnsi="Arial"/>
          <w:b/>
          <w:bCs/>
          <w:color w:val="263849"/>
          <w:sz w:val="30"/>
          <w:szCs w:val="30"/>
        </w:rPr>
        <w:t xml:space="preserve">4.4 Technical specification</w:t>
      </w:r>
    </w:p>
    <w:p>
      <w:pPr>
        <w:pStyle w:val="Heading3"/>
        <w:spacing w:after="80" w:before="180"/>
      </w:pPr>
      <w:r>
        <w:rPr>
          <w:rFonts w:ascii="Arial" w:cs="Arial" w:eastAsia="Arial" w:hAnsi="Arial"/>
          <w:b/>
          <w:bCs/>
          <w:color w:val="263849"/>
          <w:sz w:val="26"/>
          <w:szCs w:val="26"/>
        </w:rPr>
        <w:t xml:space="preserve">File</w:t>
      </w:r>
    </w:p>
    <w:p>
      <w:pPr>
        <w:spacing w:after="80"/>
      </w:pPr>
      <w:r>
        <w:rPr>
          <w:rFonts w:ascii="Consolas" w:cs="Consolas" w:eastAsia="Consolas" w:hAnsi="Consolas"/>
          <w:color w:val="444444"/>
          <w:sz w:val="20"/>
          <w:szCs w:val="20"/>
        </w:rPr>
        <w:t xml:space="preserve">client/app/deals/[slug]/page.tsx  (~900 lines, server component)</w:t>
      </w:r>
    </w:p>
    <w:p>
      <w:pPr>
        <w:pStyle w:val="Heading3"/>
        <w:spacing w:after="80" w:before="180"/>
      </w:pPr>
      <w:r>
        <w:rPr>
          <w:rFonts w:ascii="Arial" w:cs="Arial" w:eastAsia="Arial" w:hAnsi="Arial"/>
          <w:b/>
          <w:bCs/>
          <w:color w:val="263849"/>
          <w:sz w:val="26"/>
          <w:szCs w:val="26"/>
        </w:rPr>
        <w:t xml:space="preserve">Data sources</w:t>
      </w:r>
    </w:p>
    <w:p>
      <w:pPr>
        <w:pStyle w:val="ListParagraph"/>
        <w:numPr>
          <w:ilvl w:val="0"/>
          <w:numId w:val="2"/>
        </w:numPr>
        <w:spacing w:after="60"/>
      </w:pPr>
      <w:r>
        <w:rPr>
          <w:rFonts w:ascii="Arial" w:cs="Arial" w:eastAsia="Arial" w:hAnsi="Arial"/>
          <w:sz w:val="22"/>
          <w:szCs w:val="22"/>
        </w:rPr>
        <w:t xml:space="preserve">getDeal(slug) → /api/deals/{slug} — full deal payload including covenant, risk snapshot, reserve accounts, amendment history, forecast summary, etc.</w:t>
      </w:r>
    </w:p>
    <w:p>
      <w:pPr>
        <w:pStyle w:val="ListParagraph"/>
        <w:numPr>
          <w:ilvl w:val="0"/>
          <w:numId w:val="2"/>
        </w:numPr>
        <w:spacing w:after="60"/>
      </w:pPr>
      <w:r>
        <w:rPr>
          <w:rFonts w:ascii="Arial" w:cs="Arial" w:eastAsia="Arial" w:hAnsi="Arial"/>
          <w:sz w:val="22"/>
          <w:szCs w:val="22"/>
        </w:rPr>
        <w:t xml:space="preserve">getDealAssessment(slug) → /api/deals/{slug}/assessment — performance grade, active trends, escalation level.</w:t>
      </w:r>
    </w:p>
    <w:p>
      <w:pPr>
        <w:pStyle w:val="ListParagraph"/>
        <w:numPr>
          <w:ilvl w:val="0"/>
          <w:numId w:val="2"/>
        </w:numPr>
        <w:spacing w:after="60"/>
      </w:pPr>
      <w:r>
        <w:rPr>
          <w:rFonts w:ascii="Arial" w:cs="Arial" w:eastAsia="Arial" w:hAnsi="Arial"/>
          <w:sz w:val="22"/>
          <w:szCs w:val="22"/>
        </w:rPr>
        <w:t xml:space="preserve">getPortfolio({reportingCurrency}) — used to enrich the single-deal data with spread_bps, walYears, ndEbitda, securityRanking, instrumentFormat, which the single-deal endpoint does not expose today.</w:t>
      </w:r>
    </w:p>
    <w:p>
      <w:pPr>
        <w:pStyle w:val="ListParagraph"/>
        <w:numPr>
          <w:ilvl w:val="0"/>
          <w:numId w:val="2"/>
        </w:numPr>
        <w:spacing w:after="60"/>
      </w:pPr>
      <w:r>
        <w:rPr>
          <w:rFonts w:ascii="Arial" w:cs="Arial" w:eastAsia="Arial" w:hAnsi="Arial"/>
          <w:sz w:val="22"/>
          <w:szCs w:val="22"/>
        </w:rPr>
        <w:t xml:space="preserve">getDealFinancialPeriod(slug, 'latest') — retained for the collateral-ratio detection on reported metrics.</w:t>
      </w:r>
    </w:p>
    <w:p>
      <w:pPr>
        <w:pStyle w:val="Heading3"/>
        <w:spacing w:after="80" w:before="180"/>
      </w:pPr>
      <w:r>
        <w:rPr>
          <w:rFonts w:ascii="Arial" w:cs="Arial" w:eastAsia="Arial" w:hAnsi="Arial"/>
          <w:b/>
          <w:bCs/>
          <w:color w:val="263849"/>
          <w:sz w:val="26"/>
          <w:szCs w:val="26"/>
        </w:rPr>
        <w:t xml:space="preserve">Child components</w:t>
      </w:r>
    </w:p>
    <w:p>
      <w:pPr>
        <w:pStyle w:val="ListParagraph"/>
        <w:numPr>
          <w:ilvl w:val="0"/>
          <w:numId w:val="2"/>
        </w:numPr>
        <w:spacing w:after="60"/>
      </w:pPr>
      <w:r>
        <w:rPr>
          <w:rFonts w:ascii="Arial" w:cs="Arial" w:eastAsia="Arial" w:hAnsi="Arial"/>
          <w:sz w:val="22"/>
          <w:szCs w:val="22"/>
        </w:rPr>
        <w:t xml:space="preserve">DealCharts — client/app/deals/[slug]/deal-charts.tsx — the Financial Performance + Key Financial Ratios charts.</w:t>
      </w:r>
    </w:p>
    <w:p>
      <w:pPr>
        <w:pStyle w:val="ListParagraph"/>
        <w:numPr>
          <w:ilvl w:val="0"/>
          <w:numId w:val="2"/>
        </w:numPr>
        <w:spacing w:after="60"/>
      </w:pPr>
      <w:r>
        <w:rPr>
          <w:rFonts w:ascii="Arial" w:cs="Arial" w:eastAsia="Arial" w:hAnsi="Arial"/>
          <w:sz w:val="22"/>
          <w:szCs w:val="22"/>
        </w:rPr>
        <w:t xml:space="preserve">KpiChart — client/app/deals/[slug]/kpi-chart.tsx — the small-multiples KPI chart with scenario band + single-variant stress lines.</w:t>
      </w:r>
    </w:p>
    <w:p>
      <w:pPr>
        <w:pStyle w:val="Heading3"/>
        <w:spacing w:after="80" w:before="180"/>
      </w:pPr>
      <w:r>
        <w:rPr>
          <w:rFonts w:ascii="Arial" w:cs="Arial" w:eastAsia="Arial" w:hAnsi="Arial"/>
          <w:b/>
          <w:bCs/>
          <w:color w:val="263849"/>
          <w:sz w:val="26"/>
          <w:szCs w:val="26"/>
        </w:rPr>
        <w:t xml:space="preserve">Gap rules</w:t>
      </w:r>
    </w:p>
    <w:p>
      <w:pPr>
        <w:spacing w:after="140" w:line="280"/>
        <w:jc w:val="both"/>
      </w:pPr>
      <w:r>
        <w:rPr>
          <w:rFonts w:ascii="Arial" w:cs="Arial" w:eastAsia="Arial" w:hAnsi="Arial"/>
          <w:sz w:val="22"/>
          <w:szCs w:val="22"/>
        </w:rPr>
        <w:t xml:space="preserve">All horizontal and vertical gaps between panels are 16px. The .section-panel CSS class carries margin-bottom: 16px to match the inline gap used in multi-column grid rows.</w:t>
      </w:r>
    </w:p>
    <w:p>
      <w:pPr>
        <w:pStyle w:val="Heading1"/>
        <w:pageBreakBefore/>
        <w:spacing w:after="180" w:before="240"/>
      </w:pPr>
      <w:r>
        <w:rPr>
          <w:rFonts w:ascii="Arial" w:cs="Arial" w:eastAsia="Arial" w:hAnsi="Arial"/>
          <w:b/>
          <w:bCs/>
          <w:color w:val="1F6FA5"/>
          <w:sz w:val="40"/>
          <w:szCs w:val="40"/>
        </w:rPr>
        <w:t xml:space="preserve">5. Analytical engines</w:t>
      </w:r>
    </w:p>
    <w:p>
      <w:pPr>
        <w:pStyle w:val="Heading2"/>
        <w:spacing w:after="120" w:before="240"/>
      </w:pPr>
      <w:r>
        <w:rPr>
          <w:rFonts w:ascii="Arial" w:cs="Arial" w:eastAsia="Arial" w:hAnsi="Arial"/>
          <w:b/>
          <w:bCs/>
          <w:color w:val="263849"/>
          <w:sz w:val="30"/>
          <w:szCs w:val="30"/>
        </w:rPr>
        <w:t xml:space="preserve">5.1 Why engines</w:t>
      </w:r>
    </w:p>
    <w:p>
      <w:pPr>
        <w:spacing w:after="140" w:line="280"/>
        <w:jc w:val="both"/>
      </w:pPr>
      <w:r>
        <w:rPr>
          <w:rFonts w:ascii="Arial" w:cs="Arial" w:eastAsia="Arial" w:hAnsi="Arial"/>
          <w:sz w:val="22"/>
          <w:szCs w:val="22"/>
        </w:rPr>
        <w:t xml:space="preserve">Monitoring a private credit portfolio is mostly about applying the same analytical lens to every deal, every period, consistently. We have written eight deterministic engines that run these analyses. Each one takes structured inputs, applies a well-defined algorithm, and writes structured outputs that feed the UI, the grading, and the watchlist. Because they are deterministic and auditable, the answer they produce can be reproduced by anyone from the inputs; they do not rely on an LLM.</w:t>
      </w:r>
    </w:p>
    <w:p>
      <w:pPr>
        <w:spacing w:after="140" w:line="280"/>
        <w:jc w:val="both"/>
      </w:pPr>
      <w:r>
        <w:rPr>
          <w:rFonts w:ascii="Arial" w:cs="Arial" w:eastAsia="Arial" w:hAnsi="Arial"/>
          <w:sz w:val="22"/>
          <w:szCs w:val="22"/>
        </w:rPr>
        <w:t xml:space="preserve">This chapter describes each engine in plain English first, then in technical detail. The engines are triggered in two ways: some run automatically when a new financial period is committed; others are run on demand from the UI or via an API call.</w:t>
      </w:r>
    </w:p>
    <w:p>
      <w:pPr>
        <w:pStyle w:val="Heading2"/>
        <w:spacing w:after="120" w:before="240"/>
      </w:pPr>
      <w:r>
        <w:rPr>
          <w:rFonts w:ascii="Arial" w:cs="Arial" w:eastAsia="Arial" w:hAnsi="Arial"/>
          <w:b/>
          <w:bCs/>
          <w:color w:val="263849"/>
          <w:sz w:val="30"/>
          <w:szCs w:val="30"/>
        </w:rPr>
        <w:t xml:space="preserve">5.2 Performance Grade Engine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Answers the question 'how is this deal doing relative to the plan underwritten at IC?'. Produces a grade from 1 to 4, where 1 = outperforming, 2 = in line, 3 = underperforming, 4 = watchlist. Separately scores DSCR and collateral ratio and takes the worse of the two as the overall grade.</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For each of DSCR and collateral ratio, compute 'relative headroom %' = (actual − default level) ÷ (management-case value − default level) × 100. 100% means performing at plan; 0% means at the default threshold.</w:t>
      </w:r>
    </w:p>
    <w:p>
      <w:pPr>
        <w:pStyle w:val="ListParagraph"/>
        <w:numPr>
          <w:ilvl w:val="0"/>
          <w:numId w:val="2"/>
        </w:numPr>
        <w:spacing w:after="60"/>
      </w:pPr>
      <w:r>
        <w:rPr>
          <w:rFonts w:ascii="Arial" w:cs="Arial" w:eastAsia="Arial" w:hAnsi="Arial"/>
          <w:sz w:val="22"/>
          <w:szCs w:val="22"/>
        </w:rPr>
        <w:t xml:space="preserve">Map the relative headroom to a grade: ≥80% → 1, 50–80% → 2, 20–50% → 3, &lt;20% or breached → 4.</w:t>
      </w:r>
    </w:p>
    <w:p>
      <w:pPr>
        <w:pStyle w:val="ListParagraph"/>
        <w:numPr>
          <w:ilvl w:val="0"/>
          <w:numId w:val="2"/>
        </w:numPr>
        <w:spacing w:after="60"/>
      </w:pPr>
      <w:r>
        <w:rPr>
          <w:rFonts w:ascii="Arial" w:cs="Arial" w:eastAsia="Arial" w:hAnsi="Arial"/>
          <w:sz w:val="22"/>
          <w:szCs w:val="22"/>
        </w:rPr>
        <w:t xml:space="preserve">Overall grade = worst of DSCR grade and collateral grade.</w:t>
      </w:r>
    </w:p>
    <w:p>
      <w:pPr>
        <w:pStyle w:val="ListParagraph"/>
        <w:numPr>
          <w:ilvl w:val="0"/>
          <w:numId w:val="2"/>
        </w:numPr>
        <w:spacing w:after="60"/>
      </w:pPr>
      <w:r>
        <w:rPr>
          <w:rFonts w:ascii="Arial" w:cs="Arial" w:eastAsia="Arial" w:hAnsi="Arial"/>
          <w:sz w:val="22"/>
          <w:szCs w:val="22"/>
        </w:rPr>
        <w:t xml:space="preserve">Also records which ratio was determinative, so the UI can highlight the driver.</w:t>
      </w:r>
    </w:p>
    <w:p>
      <w:pPr>
        <w:spacing w:after="80"/>
      </w:pPr>
      <w:r>
        <w:rPr>
          <w:rFonts w:ascii="Arial" w:cs="Arial" w:eastAsia="Arial" w:hAnsi="Arial"/>
          <w:b/>
          <w:bCs/>
          <w:sz w:val="22"/>
          <w:szCs w:val="22"/>
        </w:rPr>
        <w:t xml:space="preserve">Technical specification</w:t>
      </w:r>
    </w:p>
    <w:p>
      <w:pPr>
        <w:pStyle w:val="ListParagraph"/>
        <w:numPr>
          <w:ilvl w:val="0"/>
          <w:numId w:val="2"/>
        </w:numPr>
        <w:spacing w:after="60"/>
      </w:pPr>
      <w:r>
        <w:rPr>
          <w:rFonts w:ascii="Arial" w:cs="Arial" w:eastAsia="Arial" w:hAnsi="Arial"/>
          <w:sz w:val="22"/>
          <w:szCs w:val="22"/>
        </w:rPr>
        <w:t xml:space="preserve">Code: server/grade_engine.py — functions compute_headroom(), compute_component_grade(), compute_overall_grade().</w:t>
      </w:r>
    </w:p>
    <w:p>
      <w:pPr>
        <w:pStyle w:val="ListParagraph"/>
        <w:numPr>
          <w:ilvl w:val="0"/>
          <w:numId w:val="2"/>
        </w:numPr>
        <w:spacing w:after="60"/>
      </w:pPr>
      <w:r>
        <w:rPr>
          <w:rFonts w:ascii="Arial" w:cs="Arial" w:eastAsia="Arial" w:hAnsi="Arial"/>
          <w:sz w:val="22"/>
          <w:szCs w:val="22"/>
        </w:rPr>
        <w:t xml:space="preserve">Reads: deals (thresholds), actual_periods or period_financial_items (actuals), forecast_period_items (management case).</w:t>
      </w:r>
    </w:p>
    <w:p>
      <w:pPr>
        <w:pStyle w:val="ListParagraph"/>
        <w:numPr>
          <w:ilvl w:val="0"/>
          <w:numId w:val="2"/>
        </w:numPr>
        <w:spacing w:after="60"/>
      </w:pPr>
      <w:r>
        <w:rPr>
          <w:rFonts w:ascii="Arial" w:cs="Arial" w:eastAsia="Arial" w:hAnsi="Arial"/>
          <w:sz w:val="22"/>
          <w:szCs w:val="22"/>
        </w:rPr>
        <w:t xml:space="preserve">Writes: deal_assessments (grade, components, overall score, escalation level, watchlist status).</w:t>
      </w:r>
    </w:p>
    <w:p>
      <w:pPr>
        <w:pStyle w:val="ListParagraph"/>
        <w:numPr>
          <w:ilvl w:val="0"/>
          <w:numId w:val="2"/>
        </w:numPr>
        <w:spacing w:after="60"/>
      </w:pPr>
      <w:r>
        <w:rPr>
          <w:rFonts w:ascii="Arial" w:cs="Arial" w:eastAsia="Arial" w:hAnsi="Arial"/>
          <w:sz w:val="22"/>
          <w:szCs w:val="22"/>
        </w:rPr>
        <w:t xml:space="preserve">Trigger: automatically at commit_document_proposal() in server/main.py when a financial-period document is committed.</w:t>
      </w:r>
    </w:p>
    <w:p>
      <w:pPr>
        <w:pStyle w:val="Heading2"/>
        <w:spacing w:after="120" w:before="240"/>
      </w:pPr>
      <w:r>
        <w:rPr>
          <w:rFonts w:ascii="Arial" w:cs="Arial" w:eastAsia="Arial" w:hAnsi="Arial"/>
          <w:b/>
          <w:bCs/>
          <w:color w:val="263849"/>
          <w:sz w:val="30"/>
          <w:szCs w:val="30"/>
        </w:rPr>
        <w:t xml:space="preserve">5.3 Plan Variance Trend Engine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Looks at how each of two selected ratios (Senior DSCR + the primary collateral ratio) has moved over the last several periods and classifies the trajectory into one of seven bands: from 'rapid improvement' through 'flat' to 'rapid deterioration'. Persistent drift across three consecutive worse periods triggers the auto-watchlist.</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For each ratio, build a time series of (period, headroom %) going back as far as available actuals allow.</w:t>
      </w:r>
    </w:p>
    <w:p>
      <w:pPr>
        <w:pStyle w:val="ListParagraph"/>
        <w:numPr>
          <w:ilvl w:val="0"/>
          <w:numId w:val="2"/>
        </w:numPr>
        <w:spacing w:after="60"/>
      </w:pPr>
      <w:r>
        <w:rPr>
          <w:rFonts w:ascii="Arial" w:cs="Arial" w:eastAsia="Arial" w:hAnsi="Arial"/>
          <w:sz w:val="22"/>
          <w:szCs w:val="22"/>
        </w:rPr>
        <w:t xml:space="preserve">Compute period-on-period headroom deltas.</w:t>
      </w:r>
    </w:p>
    <w:p>
      <w:pPr>
        <w:pStyle w:val="ListParagraph"/>
        <w:numPr>
          <w:ilvl w:val="0"/>
          <w:numId w:val="2"/>
        </w:numPr>
        <w:spacing w:after="60"/>
      </w:pPr>
      <w:r>
        <w:rPr>
          <w:rFonts w:ascii="Arial" w:cs="Arial" w:eastAsia="Arial" w:hAnsi="Arial"/>
          <w:sz w:val="22"/>
          <w:szCs w:val="22"/>
        </w:rPr>
        <w:t xml:space="preserve">Classify each delta into one of 7 bands using fixed thresholds.</w:t>
      </w:r>
    </w:p>
    <w:p>
      <w:pPr>
        <w:pStyle w:val="ListParagraph"/>
        <w:numPr>
          <w:ilvl w:val="0"/>
          <w:numId w:val="2"/>
        </w:numPr>
        <w:spacing w:after="60"/>
      </w:pPr>
      <w:r>
        <w:rPr>
          <w:rFonts w:ascii="Arial" w:cs="Arial" w:eastAsia="Arial" w:hAnsi="Arial"/>
          <w:sz w:val="22"/>
          <w:szCs w:val="22"/>
        </w:rPr>
        <w:t xml:space="preserve">Apply a 12-row direction matrix that factors in the sequence of deltas to decide the overall trend.</w:t>
      </w:r>
    </w:p>
    <w:p>
      <w:pPr>
        <w:pStyle w:val="ListParagraph"/>
        <w:numPr>
          <w:ilvl w:val="0"/>
          <w:numId w:val="2"/>
        </w:numPr>
        <w:spacing w:after="60"/>
      </w:pPr>
      <w:r>
        <w:rPr>
          <w:rFonts w:ascii="Arial" w:cs="Arial" w:eastAsia="Arial" w:hAnsi="Arial"/>
          <w:sz w:val="22"/>
          <w:szCs w:val="22"/>
        </w:rPr>
        <w:t xml:space="preserve">Deal-level trend = worst of the two ratios' trends.</w:t>
      </w:r>
    </w:p>
    <w:p>
      <w:pPr>
        <w:spacing w:after="80"/>
      </w:pPr>
      <w:r>
        <w:rPr>
          <w:rFonts w:ascii="Arial" w:cs="Arial" w:eastAsia="Arial" w:hAnsi="Arial"/>
          <w:b/>
          <w:bCs/>
          <w:sz w:val="22"/>
          <w:szCs w:val="22"/>
        </w:rPr>
        <w:t xml:space="preserve">Technical specification</w:t>
      </w:r>
    </w:p>
    <w:p>
      <w:pPr>
        <w:pStyle w:val="ListParagraph"/>
        <w:numPr>
          <w:ilvl w:val="0"/>
          <w:numId w:val="2"/>
        </w:numPr>
        <w:spacing w:after="60"/>
      </w:pPr>
      <w:r>
        <w:rPr>
          <w:rFonts w:ascii="Arial" w:cs="Arial" w:eastAsia="Arial" w:hAnsi="Arial"/>
          <w:sz w:val="22"/>
          <w:szCs w:val="22"/>
        </w:rPr>
        <w:t xml:space="preserve">Code: server/grade_engine.py — detect_trends() function (also imported into server/main.py).</w:t>
      </w:r>
    </w:p>
    <w:p>
      <w:pPr>
        <w:pStyle w:val="ListParagraph"/>
        <w:numPr>
          <w:ilvl w:val="0"/>
          <w:numId w:val="2"/>
        </w:numPr>
        <w:spacing w:after="60"/>
      </w:pPr>
      <w:r>
        <w:rPr>
          <w:rFonts w:ascii="Arial" w:cs="Arial" w:eastAsia="Arial" w:hAnsi="Arial"/>
          <w:sz w:val="22"/>
          <w:szCs w:val="22"/>
        </w:rPr>
        <w:t xml:space="preserve">Reads: actual_periods.actual_metrics JSONB; forecast_period_items (management case) for the reference.</w:t>
      </w:r>
    </w:p>
    <w:p>
      <w:pPr>
        <w:pStyle w:val="ListParagraph"/>
        <w:numPr>
          <w:ilvl w:val="0"/>
          <w:numId w:val="2"/>
        </w:numPr>
        <w:spacing w:after="60"/>
      </w:pPr>
      <w:r>
        <w:rPr>
          <w:rFonts w:ascii="Arial" w:cs="Arial" w:eastAsia="Arial" w:hAnsi="Arial"/>
          <w:sz w:val="22"/>
          <w:szCs w:val="22"/>
        </w:rPr>
        <w:t xml:space="preserve">Writes: trend_records.</w:t>
      </w:r>
    </w:p>
    <w:p>
      <w:pPr>
        <w:pStyle w:val="ListParagraph"/>
        <w:numPr>
          <w:ilvl w:val="0"/>
          <w:numId w:val="2"/>
        </w:numPr>
        <w:spacing w:after="60"/>
      </w:pPr>
      <w:r>
        <w:rPr>
          <w:rFonts w:ascii="Arial" w:cs="Arial" w:eastAsia="Arial" w:hAnsi="Arial"/>
          <w:sz w:val="22"/>
          <w:szCs w:val="22"/>
        </w:rPr>
        <w:t xml:space="preserve">Worked examples from demo portfolio: Gatwick → 'improving rapidly' (post-Covid recovery); North Sea OWF → 'flat'; Getlink → 'deteriorating'; Delta PRS → 'improving rapidly'.</w:t>
      </w:r>
    </w:p>
    <w:p>
      <w:pPr>
        <w:pStyle w:val="Heading2"/>
        <w:spacing w:after="120" w:before="240"/>
      </w:pPr>
      <w:r>
        <w:rPr>
          <w:rFonts w:ascii="Arial" w:cs="Arial" w:eastAsia="Arial" w:hAnsi="Arial"/>
          <w:b/>
          <w:bCs/>
          <w:color w:val="263849"/>
          <w:sz w:val="30"/>
          <w:szCs w:val="30"/>
        </w:rPr>
        <w:t xml:space="preserve">5.4 Covenant Testing Engine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Takes the covenant thresholds configured for a deal and, for each one, tests the latest reported value against the three-tier thresholds (lockup, trigger, default). Writes the result — a tier status and three headrooms — into covenant_tests. Tracks consecutive lockup periods for escalation logic.</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Load every row of covenant_thresholds for the deal.</w:t>
      </w:r>
    </w:p>
    <w:p>
      <w:pPr>
        <w:pStyle w:val="ListParagraph"/>
        <w:numPr>
          <w:ilvl w:val="0"/>
          <w:numId w:val="2"/>
        </w:numPr>
        <w:spacing w:after="60"/>
      </w:pPr>
      <w:r>
        <w:rPr>
          <w:rFonts w:ascii="Arial" w:cs="Arial" w:eastAsia="Arial" w:hAnsi="Arial"/>
          <w:sz w:val="22"/>
          <w:szCs w:val="22"/>
        </w:rPr>
        <w:t xml:space="preserve">For each, read the actual value. Source hierarchy: platform-computed ratios → borrower-reported → metric-from-actual_periods. First non-null wins.</w:t>
      </w:r>
    </w:p>
    <w:p>
      <w:pPr>
        <w:pStyle w:val="ListParagraph"/>
        <w:numPr>
          <w:ilvl w:val="0"/>
          <w:numId w:val="2"/>
        </w:numPr>
        <w:spacing w:after="60"/>
      </w:pPr>
      <w:r>
        <w:rPr>
          <w:rFonts w:ascii="Arial" w:cs="Arial" w:eastAsia="Arial" w:hAnsi="Arial"/>
          <w:sz w:val="22"/>
          <w:szCs w:val="22"/>
        </w:rPr>
        <w:t xml:space="preserve">Compare to thresholds honouring the direction (min for DSCR/ICR/LLCR; max for leverage/LTV/RAR).</w:t>
      </w:r>
    </w:p>
    <w:p>
      <w:pPr>
        <w:pStyle w:val="ListParagraph"/>
        <w:numPr>
          <w:ilvl w:val="0"/>
          <w:numId w:val="2"/>
        </w:numPr>
        <w:spacing w:after="60"/>
      </w:pPr>
      <w:r>
        <w:rPr>
          <w:rFonts w:ascii="Arial" w:cs="Arial" w:eastAsia="Arial" w:hAnsi="Arial"/>
          <w:sz w:val="22"/>
          <w:szCs w:val="22"/>
        </w:rPr>
        <w:t xml:space="preserve">Assign tier status: performing / distribution_lockup / trigger_event / event_of_default.</w:t>
      </w:r>
    </w:p>
    <w:p>
      <w:pPr>
        <w:pStyle w:val="ListParagraph"/>
        <w:numPr>
          <w:ilvl w:val="0"/>
          <w:numId w:val="2"/>
        </w:numPr>
        <w:spacing w:after="60"/>
      </w:pPr>
      <w:r>
        <w:rPr>
          <w:rFonts w:ascii="Arial" w:cs="Arial" w:eastAsia="Arial" w:hAnsi="Arial"/>
          <w:sz w:val="22"/>
          <w:szCs w:val="22"/>
        </w:rPr>
        <w:t xml:space="preserve">Compute headroom to lockup, trigger, default for display.</w:t>
      </w:r>
    </w:p>
    <w:p>
      <w:pPr>
        <w:pStyle w:val="ListParagraph"/>
        <w:numPr>
          <w:ilvl w:val="0"/>
          <w:numId w:val="2"/>
        </w:numPr>
        <w:spacing w:after="60"/>
      </w:pPr>
      <w:r>
        <w:rPr>
          <w:rFonts w:ascii="Arial" w:cs="Arial" w:eastAsia="Arial" w:hAnsi="Arial"/>
          <w:sz w:val="22"/>
          <w:szCs w:val="22"/>
        </w:rPr>
        <w:t xml:space="preserve">Upsert into covenant_tests; update deals.overall_covenant_status (worst tier) and deals.consecutive_lockup_periods.</w:t>
      </w:r>
    </w:p>
    <w:p>
      <w:pPr>
        <w:spacing w:after="80"/>
      </w:pPr>
      <w:r>
        <w:rPr>
          <w:rFonts w:ascii="Arial" w:cs="Arial" w:eastAsia="Arial" w:hAnsi="Arial"/>
          <w:b/>
          <w:bCs/>
          <w:sz w:val="22"/>
          <w:szCs w:val="22"/>
        </w:rPr>
        <w:t xml:space="preserve">Technical specification</w:t>
      </w:r>
    </w:p>
    <w:p>
      <w:pPr>
        <w:pStyle w:val="ListParagraph"/>
        <w:numPr>
          <w:ilvl w:val="0"/>
          <w:numId w:val="2"/>
        </w:numPr>
        <w:spacing w:after="60"/>
      </w:pPr>
      <w:r>
        <w:rPr>
          <w:rFonts w:ascii="Arial" w:cs="Arial" w:eastAsia="Arial" w:hAnsi="Arial"/>
          <w:sz w:val="22"/>
          <w:szCs w:val="22"/>
        </w:rPr>
        <w:t xml:space="preserve">Code: server/analytics.py — run_covenant_tests(), _covenant_tier(), _headroom().</w:t>
      </w:r>
    </w:p>
    <w:p>
      <w:pPr>
        <w:pStyle w:val="ListParagraph"/>
        <w:numPr>
          <w:ilvl w:val="0"/>
          <w:numId w:val="2"/>
        </w:numPr>
        <w:spacing w:after="60"/>
      </w:pPr>
      <w:r>
        <w:rPr>
          <w:rFonts w:ascii="Arial" w:cs="Arial" w:eastAsia="Arial" w:hAnsi="Arial"/>
          <w:sz w:val="22"/>
          <w:szCs w:val="22"/>
        </w:rPr>
        <w:t xml:space="preserve">Endpoint: POST /api/deals/{slug}/analytics/run-covenant-tests, optionally with a body {'periodFlag': '2026Q1'}.</w:t>
      </w:r>
    </w:p>
    <w:p>
      <w:pPr>
        <w:pStyle w:val="ListParagraph"/>
        <w:numPr>
          <w:ilvl w:val="0"/>
          <w:numId w:val="2"/>
        </w:numPr>
        <w:spacing w:after="60"/>
      </w:pPr>
      <w:r>
        <w:rPr>
          <w:rFonts w:ascii="Arial" w:cs="Arial" w:eastAsia="Arial" w:hAnsi="Arial"/>
          <w:sz w:val="22"/>
          <w:szCs w:val="22"/>
        </w:rPr>
        <w:t xml:space="preserve">Direction-aware: 'min' direction → headroom = actual − threshold; 'max' direction → headroom = threshold − actual.</w:t>
      </w:r>
    </w:p>
    <w:p>
      <w:pPr>
        <w:pStyle w:val="Heading2"/>
        <w:spacing w:after="120" w:before="240"/>
      </w:pPr>
      <w:r>
        <w:rPr>
          <w:rFonts w:ascii="Arial" w:cs="Arial" w:eastAsia="Arial" w:hAnsi="Arial"/>
          <w:b/>
          <w:bCs/>
          <w:color w:val="263849"/>
          <w:sz w:val="30"/>
          <w:szCs w:val="30"/>
        </w:rPr>
        <w:t xml:space="preserve">5.5 Distribution Assessment Engine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Before a scheduled distribution date, the engine checks every condition in the deal's lock-up register — covenants, reserve funding, overdue obligations, consent-mechanic timers, cash-sweep mechanics — and returns whether distribution is allowed, needs review, is restricted, or is blocked. This is the part of the platform that, in production, would gate cash actually leaving the borrower.</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Load deal_distribution_conditions for the deal. This is the authoritative lock-up register (populated from Tab 22 of the TopSheet Excel template).</w:t>
      </w:r>
    </w:p>
    <w:p>
      <w:pPr>
        <w:pStyle w:val="ListParagraph"/>
        <w:numPr>
          <w:ilvl w:val="0"/>
          <w:numId w:val="2"/>
        </w:numPr>
        <w:spacing w:after="60"/>
      </w:pPr>
      <w:r>
        <w:rPr>
          <w:rFonts w:ascii="Arial" w:cs="Arial" w:eastAsia="Arial" w:hAnsi="Arial"/>
          <w:sz w:val="22"/>
          <w:szCs w:val="22"/>
        </w:rPr>
        <w:t xml:space="preserve">For each condition, evaluate by category: ratio (test vs threshold), reserve (check funding), compliance (check defaults), revolving_facility, credit_support, structural, timing, behavioural, cash_sweep, sweep_mechanic, incurrence_test.</w:t>
      </w:r>
    </w:p>
    <w:p>
      <w:pPr>
        <w:pStyle w:val="ListParagraph"/>
        <w:numPr>
          <w:ilvl w:val="0"/>
          <w:numId w:val="2"/>
        </w:numPr>
        <w:spacing w:after="60"/>
      </w:pPr>
      <w:r>
        <w:rPr>
          <w:rFonts w:ascii="Arial" w:cs="Arial" w:eastAsia="Arial" w:hAnsi="Arial"/>
          <w:sz w:val="22"/>
          <w:szCs w:val="22"/>
        </w:rPr>
        <w:t xml:space="preserve">Also run escalation check: if lockup_escalation_periods is configured and consecutive_lockup_periods ≥ that count, flag escalation.</w:t>
      </w:r>
    </w:p>
    <w:p>
      <w:pPr>
        <w:pStyle w:val="ListParagraph"/>
        <w:numPr>
          <w:ilvl w:val="0"/>
          <w:numId w:val="2"/>
        </w:numPr>
        <w:spacing w:after="60"/>
      </w:pPr>
      <w:r>
        <w:rPr>
          <w:rFonts w:ascii="Arial" w:cs="Arial" w:eastAsia="Arial" w:hAnsi="Arial"/>
          <w:sz w:val="22"/>
          <w:szCs w:val="22"/>
        </w:rPr>
        <w:t xml:space="preserve">Aggregate to a status: allowed (no blockers), review_required (soft breaches), restricted (partial), blocked (hard breach). Return blocker count + failed conditions[] + passed conditions[].</w:t>
      </w:r>
    </w:p>
    <w:p>
      <w:pPr>
        <w:pStyle w:val="ListParagraph"/>
        <w:numPr>
          <w:ilvl w:val="0"/>
          <w:numId w:val="2"/>
        </w:numPr>
        <w:spacing w:after="60"/>
      </w:pPr>
      <w:r>
        <w:rPr>
          <w:rFonts w:ascii="Arial" w:cs="Arial" w:eastAsia="Arial" w:hAnsi="Arial"/>
          <w:sz w:val="22"/>
          <w:szCs w:val="22"/>
        </w:rPr>
        <w:t xml:space="preserve">Legacy fallback for deals without Tab 22 populated: a 4-blocker check (covenant status, consecutive lockup, reserves, overdue obligations).</w:t>
      </w:r>
    </w:p>
    <w:p>
      <w:pPr>
        <w:spacing w:after="80"/>
      </w:pPr>
      <w:r>
        <w:rPr>
          <w:rFonts w:ascii="Arial" w:cs="Arial" w:eastAsia="Arial" w:hAnsi="Arial"/>
          <w:b/>
          <w:bCs/>
          <w:sz w:val="22"/>
          <w:szCs w:val="22"/>
        </w:rPr>
        <w:t xml:space="preserve">Technical specification</w:t>
      </w:r>
    </w:p>
    <w:p>
      <w:pPr>
        <w:pStyle w:val="ListParagraph"/>
        <w:numPr>
          <w:ilvl w:val="0"/>
          <w:numId w:val="2"/>
        </w:numPr>
        <w:spacing w:after="60"/>
      </w:pPr>
      <w:r>
        <w:rPr>
          <w:rFonts w:ascii="Arial" w:cs="Arial" w:eastAsia="Arial" w:hAnsi="Arial"/>
          <w:sz w:val="22"/>
          <w:szCs w:val="22"/>
        </w:rPr>
        <w:t xml:space="preserve">Code: server/main.py — assess_distribution().</w:t>
      </w:r>
    </w:p>
    <w:p>
      <w:pPr>
        <w:pStyle w:val="ListParagraph"/>
        <w:numPr>
          <w:ilvl w:val="0"/>
          <w:numId w:val="2"/>
        </w:numPr>
        <w:spacing w:after="60"/>
      </w:pPr>
      <w:r>
        <w:rPr>
          <w:rFonts w:ascii="Arial" w:cs="Arial" w:eastAsia="Arial" w:hAnsi="Arial"/>
          <w:sz w:val="22"/>
          <w:szCs w:val="22"/>
        </w:rPr>
        <w:t xml:space="preserve">14 condition categories. 7 consequence tiers: distribution_condition, trigger_event, cash_trap, remedial_plan, incurrence_test, event_of_default, sweep_mechanic.</w:t>
      </w:r>
    </w:p>
    <w:p>
      <w:pPr>
        <w:pStyle w:val="ListParagraph"/>
        <w:numPr>
          <w:ilvl w:val="0"/>
          <w:numId w:val="2"/>
        </w:numPr>
        <w:spacing w:after="60"/>
      </w:pPr>
      <w:r>
        <w:rPr>
          <w:rFonts w:ascii="Arial" w:cs="Arial" w:eastAsia="Arial" w:hAnsi="Arial"/>
          <w:sz w:val="22"/>
          <w:szCs w:val="22"/>
        </w:rPr>
        <w:t xml:space="preserve">Output: distribution_assessments row with status, lockup state, blocker count, failed/passed counts, distribution capacity, next test date.</w:t>
      </w:r>
    </w:p>
    <w:p>
      <w:pPr>
        <w:pStyle w:val="Heading2"/>
        <w:spacing w:after="120" w:before="240"/>
      </w:pPr>
      <w:r>
        <w:rPr>
          <w:rFonts w:ascii="Arial" w:cs="Arial" w:eastAsia="Arial" w:hAnsi="Arial"/>
          <w:b/>
          <w:bCs/>
          <w:color w:val="263849"/>
          <w:sz w:val="30"/>
          <w:szCs w:val="30"/>
        </w:rPr>
        <w:t xml:space="preserve">5.6 Variance Engine (actuals vs management case)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For each tracked metric on the latest reported period, compares the reported value to the management-case forecast, classifies the direction (favourable / adverse), and classifies the materiality (critical / material / notable / minor). Writes one financial_variances row per metric. Feeds into the performance score.</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Resolve the actual period. Match to the corresponding forecast period under the active management-case version (fallback: any scenario with drives_monitoring=TRUE).</w:t>
      </w:r>
    </w:p>
    <w:p>
      <w:pPr>
        <w:pStyle w:val="ListParagraph"/>
        <w:numPr>
          <w:ilvl w:val="0"/>
          <w:numId w:val="2"/>
        </w:numPr>
        <w:spacing w:after="60"/>
      </w:pPr>
      <w:r>
        <w:rPr>
          <w:rFonts w:ascii="Arial" w:cs="Arial" w:eastAsia="Arial" w:hAnsi="Arial"/>
          <w:sz w:val="22"/>
          <w:szCs w:val="22"/>
        </w:rPr>
        <w:t xml:space="preserve">Compute variance_value = actual − forecast, direction = favourable (≥0) or adverse (&lt;0).</w:t>
      </w:r>
    </w:p>
    <w:p>
      <w:pPr>
        <w:pStyle w:val="ListParagraph"/>
        <w:numPr>
          <w:ilvl w:val="0"/>
          <w:numId w:val="2"/>
        </w:numPr>
        <w:spacing w:after="60"/>
      </w:pPr>
      <w:r>
        <w:rPr>
          <w:rFonts w:ascii="Arial" w:cs="Arial" w:eastAsia="Arial" w:hAnsi="Arial"/>
          <w:sz w:val="22"/>
          <w:szCs w:val="22"/>
        </w:rPr>
        <w:t xml:space="preserve">Classify materiality by metric type. DSCR: |variance| ≥ 0.10x = critical, ≥ 0.05x = material, ≥ 0.02x = notable, else minor. Percentage metrics: ≥6pp = critical, ≥3pp = material, ≥1pp = notable, else minor. Other metrics: ≥10% = critical, ≥5% = material, ≥2% = notable, else minor.</w:t>
      </w:r>
    </w:p>
    <w:p>
      <w:pPr>
        <w:spacing w:after="80"/>
      </w:pPr>
      <w:r>
        <w:rPr>
          <w:rFonts w:ascii="Arial" w:cs="Arial" w:eastAsia="Arial" w:hAnsi="Arial"/>
          <w:b/>
          <w:bCs/>
          <w:sz w:val="22"/>
          <w:szCs w:val="22"/>
        </w:rPr>
        <w:t xml:space="preserve">Technical specification</w:t>
      </w:r>
    </w:p>
    <w:p>
      <w:pPr>
        <w:pStyle w:val="ListParagraph"/>
        <w:numPr>
          <w:ilvl w:val="0"/>
          <w:numId w:val="2"/>
        </w:numPr>
        <w:spacing w:after="60"/>
      </w:pPr>
      <w:r>
        <w:rPr>
          <w:rFonts w:ascii="Arial" w:cs="Arial" w:eastAsia="Arial" w:hAnsi="Arial"/>
          <w:sz w:val="22"/>
          <w:szCs w:val="22"/>
        </w:rPr>
        <w:t xml:space="preserve">Endpoint: POST /api/deals/{slug}/analytics/run-variance.</w:t>
      </w:r>
    </w:p>
    <w:p>
      <w:pPr>
        <w:pStyle w:val="ListParagraph"/>
        <w:numPr>
          <w:ilvl w:val="0"/>
          <w:numId w:val="2"/>
        </w:numPr>
        <w:spacing w:after="60"/>
      </w:pPr>
      <w:r>
        <w:rPr>
          <w:rFonts w:ascii="Arial" w:cs="Arial" w:eastAsia="Arial" w:hAnsi="Arial"/>
          <w:sz w:val="22"/>
          <w:szCs w:val="22"/>
        </w:rPr>
        <w:t xml:space="preserve">Known limitation: today treats variance ≥ 0 as favourable across all metrics, which is wrong for metrics where lower-is-better (PUE, carbon intensity). Scheduled fix: add a direction-preference map that flips the sign for lower-is-better metrics.</w:t>
      </w:r>
    </w:p>
    <w:p>
      <w:pPr>
        <w:pStyle w:val="Heading2"/>
        <w:spacing w:after="120" w:before="240"/>
      </w:pPr>
      <w:r>
        <w:rPr>
          <w:rFonts w:ascii="Arial" w:cs="Arial" w:eastAsia="Arial" w:hAnsi="Arial"/>
          <w:b/>
          <w:bCs/>
          <w:color w:val="263849"/>
          <w:sz w:val="30"/>
          <w:szCs w:val="30"/>
        </w:rPr>
        <w:t xml:space="preserve">5.7 Three-Case Comparison Engine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Runs the actual value against all three forecast cases (management, credit/lender, combined-downside) at the same time. For each case, records variance value and materiality plus whether the actual is still 'within the underwriting envelope' that the IC approved. Distinct from the Variance Engine in that it answers 'are we still within what we underwrote' rather than 'how are we doing vs plan'.</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Endpoint: POST /api/deals/{slug}/analytics/three-case-comparison.</w:t>
      </w:r>
    </w:p>
    <w:p>
      <w:pPr>
        <w:pStyle w:val="ListParagraph"/>
        <w:numPr>
          <w:ilvl w:val="0"/>
          <w:numId w:val="2"/>
        </w:numPr>
        <w:spacing w:after="60"/>
      </w:pPr>
      <w:r>
        <w:rPr>
          <w:rFonts w:ascii="Arial" w:cs="Arial" w:eastAsia="Arial" w:hAnsi="Arial"/>
          <w:sz w:val="22"/>
          <w:szCs w:val="22"/>
        </w:rPr>
        <w:t xml:space="preserve">For each case (in comparison_priority order 1/2/3): compute variance vs actual, direction, materiality.</w:t>
      </w:r>
    </w:p>
    <w:p>
      <w:pPr>
        <w:pStyle w:val="ListParagraph"/>
        <w:numPr>
          <w:ilvl w:val="0"/>
          <w:numId w:val="2"/>
        </w:numPr>
        <w:spacing w:after="60"/>
      </w:pPr>
      <w:r>
        <w:rPr>
          <w:rFonts w:ascii="Arial" w:cs="Arial" w:eastAsia="Arial" w:hAnsi="Arial"/>
          <w:sz w:val="22"/>
          <w:szCs w:val="22"/>
        </w:rPr>
        <w:t xml:space="preserve">Downside breach tracking: any actual that is adverse-and-material vs the combined_downside case is flagged as a breach of the underwriting envelope.</w:t>
      </w:r>
    </w:p>
    <w:p>
      <w:pPr>
        <w:pStyle w:val="ListParagraph"/>
        <w:numPr>
          <w:ilvl w:val="0"/>
          <w:numId w:val="2"/>
        </w:numPr>
        <w:spacing w:after="60"/>
      </w:pPr>
      <w:r>
        <w:rPr>
          <w:rFonts w:ascii="Arial" w:cs="Arial" w:eastAsia="Arial" w:hAnsi="Arial"/>
          <w:sz w:val="22"/>
          <w:szCs w:val="22"/>
        </w:rPr>
        <w:t xml:space="preserve">Overall signal escalation: alarm &gt; warning &gt; monitor &gt; clear. Alarm = any downside breach; warning = material adverse vs management case; monitor = minor adverse; clear = at or above all cases.</w:t>
      </w:r>
    </w:p>
    <w:p>
      <w:pPr>
        <w:pStyle w:val="Heading2"/>
        <w:spacing w:after="120" w:before="240"/>
      </w:pPr>
      <w:r>
        <w:rPr>
          <w:rFonts w:ascii="Arial" w:cs="Arial" w:eastAsia="Arial" w:hAnsi="Arial"/>
          <w:b/>
          <w:bCs/>
          <w:color w:val="263849"/>
          <w:sz w:val="30"/>
          <w:szCs w:val="30"/>
        </w:rPr>
        <w:t xml:space="preserve">5.8 Ratio Reconciliation Engine</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Borrowers compute their own covenant ratios in the compliance certificate. We also compute them from raw line items. The reconciliation engine compares the two and writes a ratio_reconciliations row so an analyst can spot when the borrower's arithmetic disagrees with ours — which matters for catching cure calculations, off-balance-sheet leases, and similar.</w:t>
      </w:r>
    </w:p>
    <w:p>
      <w:pPr>
        <w:pStyle w:val="ListParagraph"/>
        <w:numPr>
          <w:ilvl w:val="0"/>
          <w:numId w:val="2"/>
        </w:numPr>
        <w:spacing w:after="60"/>
      </w:pPr>
      <w:r>
        <w:rPr>
          <w:rFonts w:ascii="Arial" w:cs="Arial" w:eastAsia="Arial" w:hAnsi="Arial"/>
          <w:sz w:val="22"/>
          <w:szCs w:val="22"/>
        </w:rPr>
        <w:t xml:space="preserve">Reads: borrower_reported_ratios and platform_computed_ratios JSONBs on actual_periods.</w:t>
      </w:r>
    </w:p>
    <w:p>
      <w:pPr>
        <w:pStyle w:val="ListParagraph"/>
        <w:numPr>
          <w:ilvl w:val="0"/>
          <w:numId w:val="2"/>
        </w:numPr>
        <w:spacing w:after="60"/>
      </w:pPr>
      <w:r>
        <w:rPr>
          <w:rFonts w:ascii="Arial" w:cs="Arial" w:eastAsia="Arial" w:hAnsi="Arial"/>
          <w:sz w:val="22"/>
          <w:szCs w:val="22"/>
        </w:rPr>
        <w:t xml:space="preserve">Writes: ratio_reconciliations with difference, materiality, narrative flags.</w:t>
      </w:r>
    </w:p>
    <w:p>
      <w:pPr>
        <w:pStyle w:val="Heading2"/>
        <w:spacing w:after="120" w:before="240"/>
      </w:pPr>
      <w:r>
        <w:rPr>
          <w:rFonts w:ascii="Arial" w:cs="Arial" w:eastAsia="Arial" w:hAnsi="Arial"/>
          <w:b/>
          <w:bCs/>
          <w:color w:val="263849"/>
          <w:sz w:val="30"/>
          <w:szCs w:val="30"/>
        </w:rPr>
        <w:t xml:space="preserve">5.9 Risk Narrative Generator</w:t>
      </w:r>
    </w:p>
    <w:p>
      <w:pPr>
        <w:spacing w:after="80"/>
      </w:pPr>
      <w:r>
        <w:rPr>
          <w:rFonts w:ascii="Arial" w:cs="Arial" w:eastAsia="Arial" w:hAnsi="Arial"/>
          <w:b/>
          <w:bCs/>
          <w:sz w:val="22"/>
          <w:szCs w:val="22"/>
        </w:rPr>
        <w:t xml:space="preserve">What it does</w:t>
      </w:r>
    </w:p>
    <w:p>
      <w:pPr>
        <w:spacing w:after="140" w:line="280"/>
        <w:jc w:val="both"/>
      </w:pPr>
      <w:r>
        <w:rPr>
          <w:rFonts w:ascii="Arial" w:cs="Arial" w:eastAsia="Arial" w:hAnsi="Arial"/>
          <w:sz w:val="22"/>
          <w:szCs w:val="22"/>
        </w:rPr>
        <w:t xml:space="preserve">Takes the structured fields on a deal_risk_register row (likelihood, severity, trend, monitoring KPI, mitigant, owner) and generates a six-sentence prose narrative deterministically from template fragments. Replaces the old free-text 'summary' field, which was inconsistent across deals and across analysts.</w:t>
      </w:r>
    </w:p>
    <w:p>
      <w:pPr>
        <w:spacing w:after="80"/>
      </w:pPr>
      <w:r>
        <w:rPr>
          <w:rFonts w:ascii="Arial" w:cs="Arial" w:eastAsia="Arial" w:hAnsi="Arial"/>
          <w:b/>
          <w:bCs/>
          <w:sz w:val="22"/>
          <w:szCs w:val="22"/>
        </w:rPr>
        <w:t xml:space="preserve">How it works</w:t>
      </w:r>
    </w:p>
    <w:p>
      <w:pPr>
        <w:pStyle w:val="ListParagraph"/>
        <w:numPr>
          <w:ilvl w:val="0"/>
          <w:numId w:val="2"/>
        </w:numPr>
        <w:spacing w:after="60"/>
      </w:pPr>
      <w:r>
        <w:rPr>
          <w:rFonts w:ascii="Arial" w:cs="Arial" w:eastAsia="Arial" w:hAnsi="Arial"/>
          <w:sz w:val="22"/>
          <w:szCs w:val="22"/>
        </w:rPr>
        <w:t xml:space="preserve">Six sentence templates: classification (with score band), likelihood/severity, trend, monitoring KPI, mitigant, owner/review.</w:t>
      </w:r>
    </w:p>
    <w:p>
      <w:pPr>
        <w:pStyle w:val="ListParagraph"/>
        <w:numPr>
          <w:ilvl w:val="0"/>
          <w:numId w:val="2"/>
        </w:numPr>
        <w:spacing w:after="60"/>
      </w:pPr>
      <w:r>
        <w:rPr>
          <w:rFonts w:ascii="Arial" w:cs="Arial" w:eastAsia="Arial" w:hAnsi="Arial"/>
          <w:sz w:val="22"/>
          <w:szCs w:val="22"/>
        </w:rPr>
        <w:t xml:space="preserve">Words-or-numbers coercion: legacy rows have likelihood/severity as text labels ('likely', 'high') OR numeric strings ('4'). _coerce_score() handles both plus unknown values without crashing.</w:t>
      </w:r>
    </w:p>
    <w:p>
      <w:pPr>
        <w:pStyle w:val="ListParagraph"/>
        <w:numPr>
          <w:ilvl w:val="0"/>
          <w:numId w:val="2"/>
        </w:numPr>
        <w:spacing w:after="60"/>
      </w:pPr>
      <w:r>
        <w:rPr>
          <w:rFonts w:ascii="Arial" w:cs="Arial" w:eastAsia="Arial" w:hAnsi="Arial"/>
          <w:sz w:val="22"/>
          <w:szCs w:val="22"/>
        </w:rPr>
        <w:t xml:space="preserve">No LLM involvement. Fully auditable.</w:t>
      </w:r>
    </w:p>
    <w:p>
      <w:pPr>
        <w:pStyle w:val="ListParagraph"/>
        <w:numPr>
          <w:ilvl w:val="0"/>
          <w:numId w:val="2"/>
        </w:numPr>
        <w:spacing w:after="60"/>
      </w:pPr>
      <w:r>
        <w:rPr>
          <w:rFonts w:ascii="Arial" w:cs="Arial" w:eastAsia="Arial" w:hAnsi="Arial"/>
          <w:sz w:val="22"/>
          <w:szCs w:val="22"/>
        </w:rPr>
        <w:t xml:space="preserve">Code: server/main.py — generate_risk_narrative(), _coerce_score(), _LIKELIHOOD_WORD_MAP, _SEVERITY_WORD_MAP.</w:t>
      </w:r>
    </w:p>
    <w:p>
      <w:pPr>
        <w:pStyle w:val="Heading1"/>
        <w:pageBreakBefore/>
        <w:spacing w:after="180" w:before="240"/>
      </w:pPr>
      <w:r>
        <w:rPr>
          <w:rFonts w:ascii="Arial" w:cs="Arial" w:eastAsia="Arial" w:hAnsi="Arial"/>
          <w:b/>
          <w:bCs/>
          <w:color w:val="1F6FA5"/>
          <w:sz w:val="40"/>
          <w:szCs w:val="40"/>
        </w:rPr>
        <w:t xml:space="preserve">6. IC Memo KPI Monitoring</w:t>
      </w:r>
    </w:p>
    <w:p>
      <w:pPr>
        <w:pStyle w:val="Heading2"/>
        <w:spacing w:after="120" w:before="240"/>
      </w:pPr>
      <w:r>
        <w:rPr>
          <w:rFonts w:ascii="Arial" w:cs="Arial" w:eastAsia="Arial" w:hAnsi="Arial"/>
          <w:b/>
          <w:bCs/>
          <w:color w:val="263849"/>
          <w:sz w:val="30"/>
          <w:szCs w:val="30"/>
        </w:rPr>
        <w:t xml:space="preserve">6.1 What it is</w:t>
      </w:r>
    </w:p>
    <w:p>
      <w:pPr>
        <w:spacing w:after="140" w:line="280"/>
        <w:jc w:val="both"/>
      </w:pPr>
      <w:r>
        <w:rPr>
          <w:rFonts w:ascii="Arial" w:cs="Arial" w:eastAsia="Arial" w:hAnsi="Arial"/>
          <w:sz w:val="22"/>
          <w:szCs w:val="22"/>
        </w:rPr>
        <w:t xml:space="preserve">At investment committee, each deal has an underwritten baseline — the management case — plus a set of stress scenarios the IC wanted to test. These cover both financial lines (revenue, EBITDA, CFADS, DSCR) and operational KPIs (passengers, capacity factor, occupancy, carbon intensity). After investment, we monitor actual performance against those expectations period by period and track how far the deal has drifted toward its stress cases.</w:t>
      </w:r>
    </w:p>
    <w:p>
      <w:pPr>
        <w:spacing w:after="140" w:line="280"/>
        <w:jc w:val="both"/>
      </w:pPr>
      <w:r>
        <w:rPr>
          <w:rFonts w:ascii="Arial" w:cs="Arial" w:eastAsia="Arial" w:hAnsi="Arial"/>
          <w:sz w:val="22"/>
          <w:szCs w:val="22"/>
        </w:rPr>
        <w:t xml:space="preserve">Until recently, KPI expectations were stored as single scalar values per scenario ('base case passengers = 45m'). This is incorrect: expectations vary over time (passengers grow year by year), and stresses are risk-linked (a pandemic-shock stress on passengers is a specific downside, not the same as a combined-downside stress across all KPIs). In April 2026 the platform moved to a time-series architecture: every expected value for every period lives in forecast_period_items, under a scenario version tracked in forecast_cases.</w:t>
      </w:r>
    </w:p>
    <w:p>
      <w:pPr>
        <w:pStyle w:val="Heading2"/>
        <w:spacing w:after="120" w:before="240"/>
      </w:pPr>
      <w:r>
        <w:rPr>
          <w:rFonts w:ascii="Arial" w:cs="Arial" w:eastAsia="Arial" w:hAnsi="Arial"/>
          <w:b/>
          <w:bCs/>
          <w:color w:val="263849"/>
          <w:sz w:val="30"/>
          <w:szCs w:val="30"/>
        </w:rPr>
        <w:t xml:space="preserve">6.2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Scenario kind</w:t>
            </w:r>
          </w:p>
        </w:tc>
        <w:tc>
          <w:tcPr>
            <w:tcW w:type="dxa" w:w="7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Meaning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management_case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IC-memo baseline. Every actively monitored KPI should have one. This is the primary trajectory the portfolio manager compares actuals against.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combined_downside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Aggregate stress bundling several risks together. One per deal. This is 'the' stress case the dashboard treats as the floor.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single_variant_stress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Individual sensitivity on one IC-identified risk (e.g. pandemic passenger shock on Gatwick's sector_kpi_1). Sparse: only the KPIs actually stressed by that specific risk. Zero, one, or many per deal. Always links to a deal_risk_register row via driving_risk_id.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credit_case / lender_case</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Lender-adjusted expected case. Typically modelled on financials rather than KPIs, but supported for completeness.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Escape hatch for bespoke scenarios the IC has asked for.</w:t>
            </w:r>
          </w:p>
        </w:tc>
      </w:tr>
    </w:tbl>
    <w:p>
      <w:pPr>
        <w:pStyle w:val="Heading2"/>
        <w:spacing w:after="120" w:before="240"/>
      </w:pPr>
      <w:r>
        <w:rPr>
          <w:rFonts w:ascii="Arial" w:cs="Arial" w:eastAsia="Arial" w:hAnsi="Arial"/>
          <w:b/>
          <w:bCs/>
          <w:color w:val="263849"/>
          <w:sz w:val="30"/>
          <w:szCs w:val="30"/>
        </w:rPr>
        <w:t xml:space="preserve">6.3 Observations and deviation-to-stress</w:t>
      </w:r>
    </w:p>
    <w:p>
      <w:pPr>
        <w:spacing w:after="140" w:line="280"/>
        <w:jc w:val="both"/>
      </w:pPr>
      <w:r>
        <w:rPr>
          <w:rFonts w:ascii="Arial" w:cs="Arial" w:eastAsia="Arial" w:hAnsi="Arial"/>
          <w:sz w:val="22"/>
          <w:szCs w:val="22"/>
        </w:rPr>
        <w:t xml:space="preserve">As actuals arrive, each observation lands in deal_kpi_observations with a computed deviation_to_stress metric. This is the signed distance from the management case toward the combined downside, expressed as a percentage.</w:t>
      </w:r>
    </w:p>
    <w:p>
      <w:pPr>
        <w:spacing w:after="80"/>
      </w:pPr>
      <w:r>
        <w:rPr>
          <w:rFonts w:ascii="Arial" w:cs="Arial" w:eastAsia="Arial" w:hAnsi="Arial"/>
          <w:b/>
          <w:bCs/>
          <w:sz w:val="22"/>
          <w:szCs w:val="22"/>
        </w:rPr>
        <w:t xml:space="preserve">Formula (higher is better)</w:t>
      </w:r>
    </w:p>
    <w:p>
      <w:pPr>
        <w:spacing w:after="80"/>
      </w:pPr>
      <w:r>
        <w:rPr>
          <w:rFonts w:ascii="Consolas" w:cs="Consolas" w:eastAsia="Consolas" w:hAnsi="Consolas"/>
          <w:color w:val="444444"/>
          <w:sz w:val="20"/>
          <w:szCs w:val="20"/>
        </w:rPr>
        <w:t xml:space="preserve">deviation_to_stress = (management_case_value_period − observed_value) / (management_case_value_period − combined_downside_value_period) × 100</w:t>
      </w:r>
    </w:p>
    <w:p>
      <w:pPr>
        <w:spacing w:after="140" w:line="280"/>
        <w:jc w:val="both"/>
      </w:pPr>
      <w:r>
        <w:rPr>
          <w:rFonts w:ascii="Arial" w:cs="Arial" w:eastAsia="Arial" w:hAnsi="Arial"/>
          <w:sz w:val="22"/>
          <w:szCs w:val="22"/>
        </w:rPr>
        <w:t xml:space="preserve">0% = performing at the management case. 50% = halfway to the combined downside. 100% = at the combined downside. &gt;100% = worse than combined downside. For lower-is-better KPIs (PUE, carbon intensity), the formula is sign-flipped.</w:t>
      </w:r>
    </w:p>
    <w:p>
      <w:pPr>
        <w:spacing w:after="80"/>
      </w:pPr>
      <w:r>
        <w:rPr>
          <w:rFonts w:ascii="Arial" w:cs="Arial" w:eastAsia="Arial" w:hAnsi="Arial"/>
          <w:b/>
          <w:bCs/>
          <w:sz w:val="22"/>
          <w:szCs w:val="22"/>
        </w:rPr>
        <w:t xml:space="preserve">Status bands</w:t>
      </w:r>
    </w:p>
    <w:p>
      <w:pPr>
        <w:pStyle w:val="ListParagraph"/>
        <w:numPr>
          <w:ilvl w:val="0"/>
          <w:numId w:val="2"/>
        </w:numPr>
        <w:spacing w:after="60"/>
      </w:pPr>
      <w:r>
        <w:rPr>
          <w:rFonts w:ascii="Arial" w:cs="Arial" w:eastAsia="Arial" w:hAnsi="Arial"/>
          <w:sz w:val="22"/>
          <w:szCs w:val="22"/>
        </w:rPr>
        <w:t xml:space="preserve">on_track: deviation ≤ 50%</w:t>
      </w:r>
    </w:p>
    <w:p>
      <w:pPr>
        <w:pStyle w:val="ListParagraph"/>
        <w:numPr>
          <w:ilvl w:val="0"/>
          <w:numId w:val="2"/>
        </w:numPr>
        <w:spacing w:after="60"/>
      </w:pPr>
      <w:r>
        <w:rPr>
          <w:rFonts w:ascii="Arial" w:cs="Arial" w:eastAsia="Arial" w:hAnsi="Arial"/>
          <w:sz w:val="22"/>
          <w:szCs w:val="22"/>
        </w:rPr>
        <w:t xml:space="preserve">watch: 50% &lt; deviation ≤ 90%</w:t>
      </w:r>
    </w:p>
    <w:p>
      <w:pPr>
        <w:pStyle w:val="ListParagraph"/>
        <w:numPr>
          <w:ilvl w:val="0"/>
          <w:numId w:val="2"/>
        </w:numPr>
        <w:spacing w:after="60"/>
      </w:pPr>
      <w:r>
        <w:rPr>
          <w:rFonts w:ascii="Arial" w:cs="Arial" w:eastAsia="Arial" w:hAnsi="Arial"/>
          <w:sz w:val="22"/>
          <w:szCs w:val="22"/>
        </w:rPr>
        <w:t xml:space="preserve">approaching_stress: 90% &lt; deviation &lt; 100%</w:t>
      </w:r>
    </w:p>
    <w:p>
      <w:pPr>
        <w:pStyle w:val="ListParagraph"/>
        <w:numPr>
          <w:ilvl w:val="0"/>
          <w:numId w:val="2"/>
        </w:numPr>
        <w:spacing w:after="60"/>
      </w:pPr>
      <w:r>
        <w:rPr>
          <w:rFonts w:ascii="Arial" w:cs="Arial" w:eastAsia="Arial" w:hAnsi="Arial"/>
          <w:sz w:val="22"/>
          <w:szCs w:val="22"/>
        </w:rPr>
        <w:t xml:space="preserve">breached_stress: deviation ≥ 100%</w:t>
      </w:r>
    </w:p>
    <w:p>
      <w:pPr>
        <w:pStyle w:val="Heading2"/>
        <w:spacing w:after="120" w:before="240"/>
      </w:pPr>
      <w:r>
        <w:rPr>
          <w:rFonts w:ascii="Arial" w:cs="Arial" w:eastAsia="Arial" w:hAnsi="Arial"/>
          <w:b/>
          <w:bCs/>
          <w:color w:val="263849"/>
          <w:sz w:val="30"/>
          <w:szCs w:val="30"/>
        </w:rPr>
        <w:t xml:space="preserve">6.4 Worked example — Gatwick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300"/>
        <w:gridCol w:w="2460"/>
      </w:tblGrid>
      <w:tr>
        <w:trPr>
          <w:tblHeader/>
        </w:trPr>
        <w:tc>
          <w:tcPr>
            <w:tcW w:type="dxa" w:w="25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Scenario</w:t>
            </w:r>
          </w:p>
        </w:tc>
        <w:tc>
          <w:tcPr>
            <w:tcW w:type="dxa" w:w="21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scenario_kind</w:t>
            </w:r>
          </w:p>
        </w:tc>
        <w:tc>
          <w:tcPr>
            <w:tcW w:type="dxa" w:w="2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Driving risk</w:t>
            </w:r>
          </w:p>
        </w:tc>
        <w:tc>
          <w:tcPr>
            <w:tcW w:type="dxa" w:w="24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KPIs covered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Original Management Case (April 2019)</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management_case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(none)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All 5 Gatwick KPIs, FY2025–FY2033</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Combined downside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combined_downside</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(none)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All 5 KPIs: passengers, retail, margin, ICR, RAR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Stress — pandemic passenger shock</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single_variant_stress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RISK-AP-001 (Passenger Volume Risk)</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sector_kpi_1 only — 15m passengers FY2025, recovery to 50m by FY2030</w:t>
            </w:r>
          </w:p>
        </w:tc>
      </w:tr>
    </w:tbl>
    <w:p>
      <w:pPr>
        <w:pStyle w:val="Heading2"/>
        <w:spacing w:after="120" w:before="240"/>
      </w:pPr>
      <w:r>
        <w:rPr>
          <w:rFonts w:ascii="Arial" w:cs="Arial" w:eastAsia="Arial" w:hAnsi="Arial"/>
          <w:b/>
          <w:bCs/>
          <w:color w:val="263849"/>
          <w:sz w:val="30"/>
          <w:szCs w:val="30"/>
        </w:rPr>
        <w:t xml:space="preserve">6.5 Technical specification</w:t>
      </w:r>
    </w:p>
    <w:p>
      <w:pPr>
        <w:pStyle w:val="ListParagraph"/>
        <w:numPr>
          <w:ilvl w:val="0"/>
          <w:numId w:val="2"/>
        </w:numPr>
        <w:spacing w:after="60"/>
      </w:pPr>
      <w:r>
        <w:rPr>
          <w:rFonts w:ascii="Arial" w:cs="Arial" w:eastAsia="Arial" w:hAnsi="Arial"/>
          <w:sz w:val="22"/>
          <w:szCs w:val="22"/>
        </w:rPr>
        <w:t xml:space="preserve">Schema: forecast_period_items (the grid), forecast_cases (with scenario_kind, driving_risk_id, stress_label columns), forecast_case_versions (version history with immutability).</w:t>
      </w:r>
    </w:p>
    <w:p>
      <w:pPr>
        <w:pStyle w:val="ListParagraph"/>
        <w:numPr>
          <w:ilvl w:val="0"/>
          <w:numId w:val="2"/>
        </w:numPr>
        <w:spacing w:after="60"/>
      </w:pPr>
      <w:r>
        <w:rPr>
          <w:rFonts w:ascii="Arial" w:cs="Arial" w:eastAsia="Arial" w:hAnsi="Arial"/>
          <w:sz w:val="22"/>
          <w:szCs w:val="22"/>
        </w:rPr>
        <w:t xml:space="preserve">API: /api/deals/{slug}/topsheet returns a kpiScenarios block — per-KPI with management_case series + stress_cases array carrying driving_risk_id + driving_risk_code + stress_label.</w:t>
      </w:r>
    </w:p>
    <w:p>
      <w:pPr>
        <w:pStyle w:val="ListParagraph"/>
        <w:numPr>
          <w:ilvl w:val="0"/>
          <w:numId w:val="2"/>
        </w:numPr>
        <w:spacing w:after="60"/>
      </w:pPr>
      <w:r>
        <w:rPr>
          <w:rFonts w:ascii="Arial" w:cs="Arial" w:eastAsia="Arial" w:hAnsi="Arial"/>
          <w:sz w:val="22"/>
          <w:szCs w:val="22"/>
        </w:rPr>
        <w:t xml:space="preserve">UI: client/app/deals/[slug]/kpi-chart.tsx renders small-multiples charts. Each chart overlays: management case (dashed blue), combined downside (dashed red) with a red-tinted shaded band between them, individual single-variant stresses (thin dashed, risk-attributed), and actuals (solid bold blue) on top.</w:t>
      </w:r>
    </w:p>
    <w:p>
      <w:pPr>
        <w:pStyle w:val="ListParagraph"/>
        <w:numPr>
          <w:ilvl w:val="0"/>
          <w:numId w:val="2"/>
        </w:numPr>
        <w:spacing w:after="60"/>
      </w:pPr>
      <w:r>
        <w:rPr>
          <w:rFonts w:ascii="Arial" w:cs="Arial" w:eastAsia="Arial" w:hAnsi="Arial"/>
          <w:sz w:val="22"/>
          <w:szCs w:val="22"/>
        </w:rPr>
        <w:t xml:space="preserve">Writer: topsheet Excel Tab 9 'KPI Scenario Series' (columns: kpi_key, kpi_label, scenario_kind, stress_label, driving_risk_ref, period_flag, value) is parsed by server/topsheet_importer.py:parse_kpi_scenario_series_sheet() and written via _upsert_kpi_scenario_series().</w:t>
      </w:r>
    </w:p>
    <w:p>
      <w:pPr>
        <w:pStyle w:val="ListParagraph"/>
        <w:numPr>
          <w:ilvl w:val="0"/>
          <w:numId w:val="2"/>
        </w:numPr>
        <w:spacing w:after="60"/>
      </w:pPr>
      <w:r>
        <w:rPr>
          <w:rFonts w:ascii="Arial" w:cs="Arial" w:eastAsia="Arial" w:hAnsi="Arial"/>
          <w:sz w:val="22"/>
          <w:szCs w:val="22"/>
        </w:rPr>
        <w:t xml:space="preserve">Retired: deal_kpi_targets table (scalar storage) was dropped in the April migration after its data was copied into forecast_period_items as constant-across-periods values for backward compatibility.</w:t>
      </w:r>
    </w:p>
    <w:p>
      <w:pPr>
        <w:pStyle w:val="ListParagraph"/>
        <w:numPr>
          <w:ilvl w:val="0"/>
          <w:numId w:val="2"/>
        </w:numPr>
        <w:spacing w:after="60"/>
      </w:pPr>
      <w:r>
        <w:rPr>
          <w:rFonts w:ascii="Arial" w:cs="Arial" w:eastAsia="Arial" w:hAnsi="Arial"/>
          <w:sz w:val="22"/>
          <w:szCs w:val="22"/>
        </w:rPr>
        <w:t xml:space="preserve">Doc: docs/architecture/kpi-scenarios.md covers the full pattern.</w:t>
      </w:r>
    </w:p>
    <w:p>
      <w:pPr>
        <w:pStyle w:val="Heading1"/>
        <w:pageBreakBefore/>
        <w:spacing w:after="180" w:before="240"/>
      </w:pPr>
      <w:r>
        <w:rPr>
          <w:rFonts w:ascii="Arial" w:cs="Arial" w:eastAsia="Arial" w:hAnsi="Arial"/>
          <w:b/>
          <w:bCs/>
          <w:color w:val="1F6FA5"/>
          <w:sz w:val="40"/>
          <w:szCs w:val="40"/>
        </w:rPr>
        <w:t xml:space="preserve">7. Instrument economics</w:t>
      </w:r>
    </w:p>
    <w:p>
      <w:pPr>
        <w:pStyle w:val="Heading2"/>
        <w:spacing w:after="120" w:before="240"/>
      </w:pPr>
      <w:r>
        <w:rPr>
          <w:rFonts w:ascii="Arial" w:cs="Arial" w:eastAsia="Arial" w:hAnsi="Arial"/>
          <w:b/>
          <w:bCs/>
          <w:color w:val="263849"/>
          <w:sz w:val="30"/>
          <w:szCs w:val="30"/>
        </w:rPr>
        <w:t xml:space="preserve">7.1 What it is</w:t>
      </w:r>
    </w:p>
    <w:p>
      <w:pPr>
        <w:spacing w:after="140" w:line="280"/>
        <w:jc w:val="both"/>
      </w:pPr>
      <w:r>
        <w:rPr>
          <w:rFonts w:ascii="Arial" w:cs="Arial" w:eastAsia="Arial" w:hAnsi="Arial"/>
          <w:sz w:val="22"/>
          <w:szCs w:val="22"/>
        </w:rPr>
        <w:t xml:space="preserve">Every debt instrument in a capital structure has a pricing structure (coupon, base rate, spread), a fee structure (upfront, commitment, ticking, utilisation, agent, exit), often a time-varying margin (step-downs as leverage falls post-COD, step-ups on covenant breach), and sometimes an ESG component (margin reward or penalty linked to sustainability targets). In private credit, this is where the platform captures most of its alpha — the gap between what the instrument actually pays and what a liquid-market comparable would have priced at is the 'private debt premium' the manager has earned.</w:t>
      </w:r>
    </w:p>
    <w:p>
      <w:pPr>
        <w:spacing w:after="140" w:line="280"/>
        <w:jc w:val="both"/>
      </w:pPr>
      <w:r>
        <w:rPr>
          <w:rFonts w:ascii="Arial" w:cs="Arial" w:eastAsia="Arial" w:hAnsi="Arial"/>
          <w:sz w:val="22"/>
          <w:szCs w:val="22"/>
        </w:rPr>
        <w:t xml:space="preserve">The platform models all of this as first-class fields. Until April 2026 the single field margin_bps was doing too much work — for fixed-rate bonds it stored the full coupon, for floating-rate loans the credit spread, leading to overstated weighted-average spread calculations on the dashboard. The decomposition separates coupon, base rate, credit spread, and benchmark spread into distinct columns, with private_debt_premium_bps computed as a generated column.</w:t>
      </w:r>
    </w:p>
    <w:p>
      <w:pPr>
        <w:pStyle w:val="Heading2"/>
        <w:spacing w:after="120" w:before="240"/>
      </w:pPr>
      <w:r>
        <w:rPr>
          <w:rFonts w:ascii="Arial" w:cs="Arial" w:eastAsia="Arial" w:hAnsi="Arial"/>
          <w:b/>
          <w:bCs/>
          <w:color w:val="263849"/>
          <w:sz w:val="30"/>
          <w:szCs w:val="30"/>
        </w:rPr>
        <w:t xml:space="preserve">7.2 Pricing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Field</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coupon_bps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coupon at issuance. E.g. 612 for Gatwick's 6.125% 2026 Class A bond. Populated for fixed-rate bonds and notes; null for floating-rate loans.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base_rate_at_issuance_bps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Snapshot of the risk-free benchmark rate at pricing (gilt, bund, SOFR fix).</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spread_bps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Credit spread at issuance = coupon − base rate for fixed-rate; = margin for floating-rate. This is now the canonical field used for the portfolio WA Spread aggregation.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benchmark_spread_bps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 IC memo author's view of the comparable new-issue spread for a peer deal at pricing. Entered manually from the IC memo.</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private_debt_premium_bps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GENERATED column: spread_bps − benchmark_spread_bps. What was captured above the liquid-market comp.</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floor_bps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Base-rate floor (common in modern leveraged loans post-2020).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payment_frequency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monthly / quarterly / semi_annual / annual.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day_count_convention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act_360 / act_365 / 30_360.</w:t>
            </w:r>
          </w:p>
        </w:tc>
      </w:tr>
    </w:tbl>
    <w:p>
      <w:pPr>
        <w:pStyle w:val="Heading2"/>
        <w:spacing w:after="120" w:before="240"/>
      </w:pPr>
      <w:r>
        <w:rPr>
          <w:rFonts w:ascii="Arial" w:cs="Arial" w:eastAsia="Arial" w:hAnsi="Arial"/>
          <w:b/>
          <w:bCs/>
          <w:color w:val="263849"/>
          <w:sz w:val="30"/>
          <w:szCs w:val="30"/>
        </w:rPr>
        <w:t xml:space="preserve">7.3 Loan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Field</w:t>
            </w:r>
          </w:p>
        </w:tc>
        <w:tc>
          <w:tcPr>
            <w:tcW w:type="dxa" w:w="6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upfront_fee_bps + upfront_fee_basis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Arrangement / OID fee paid at drawdown. basis is 'committed' or 'drawn'.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commitment_fee_pct_of_margin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Fee on undrawn portion expressed as % of margin (e.g. 35.00 means 35% of margin paid on undrawn).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commitment_fee_bps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Alternative absolute bps representation when quoted that way.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utilisation_fee_tiers (JSONB)</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Tiered schedule: [{threshold_pct, fee_bps}, ...].</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ticking_fee_bps + ticking_fee_start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Delayed-draw ticking fee before the main commitment period.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agent_fee_annual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Flat annual agent fee in native currency.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extension_fee_bps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Fee to exercise extension option.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exit_fee_bps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Back-end fee at repayment (common in unitranche / direct lending).</w:t>
            </w:r>
          </w:p>
        </w:tc>
      </w:tr>
    </w:tbl>
    <w:p>
      <w:pPr>
        <w:pStyle w:val="Heading2"/>
        <w:spacing w:after="120" w:before="240"/>
      </w:pPr>
      <w:r>
        <w:rPr>
          <w:rFonts w:ascii="Arial" w:cs="Arial" w:eastAsia="Arial" w:hAnsi="Arial"/>
          <w:b/>
          <w:bCs/>
          <w:color w:val="263849"/>
          <w:sz w:val="30"/>
          <w:szCs w:val="30"/>
        </w:rPr>
        <w:t xml:space="preserve">7.4 Prepayment / call protection</w:t>
      </w:r>
    </w:p>
    <w:p>
      <w:pPr>
        <w:pStyle w:val="ListParagraph"/>
        <w:numPr>
          <w:ilvl w:val="0"/>
          <w:numId w:val="2"/>
        </w:numPr>
        <w:spacing w:after="60"/>
      </w:pPr>
      <w:r>
        <w:rPr>
          <w:rFonts w:ascii="Arial" w:cs="Arial" w:eastAsia="Arial" w:hAnsi="Arial"/>
          <w:sz w:val="22"/>
          <w:szCs w:val="22"/>
        </w:rPr>
        <w:t xml:space="preserve">prepayment_protection_type: make_whole / hard_call / soft_call / none.</w:t>
      </w:r>
    </w:p>
    <w:p>
      <w:pPr>
        <w:pStyle w:val="ListParagraph"/>
        <w:numPr>
          <w:ilvl w:val="0"/>
          <w:numId w:val="2"/>
        </w:numPr>
        <w:spacing w:after="60"/>
      </w:pPr>
      <w:r>
        <w:rPr>
          <w:rFonts w:ascii="Arial" w:cs="Arial" w:eastAsia="Arial" w:hAnsi="Arial"/>
          <w:sz w:val="22"/>
          <w:szCs w:val="22"/>
        </w:rPr>
        <w:t xml:space="preserve">prepayment_schedule (JSONB): declining premium, e.g. [{from_year: 1, premium_pct: 103}, {from_year: 2, premium_pct: 102}, ...].</w:t>
      </w:r>
    </w:p>
    <w:p>
      <w:pPr>
        <w:pStyle w:val="ListParagraph"/>
        <w:numPr>
          <w:ilvl w:val="0"/>
          <w:numId w:val="2"/>
        </w:numPr>
        <w:spacing w:after="60"/>
      </w:pPr>
      <w:r>
        <w:rPr>
          <w:rFonts w:ascii="Arial" w:cs="Arial" w:eastAsia="Arial" w:hAnsi="Arial"/>
          <w:sz w:val="22"/>
          <w:szCs w:val="22"/>
        </w:rPr>
        <w:t xml:space="preserve">soft_call_until: date until soft call applies (e.g. '101 soft call for 12 months').</w:t>
      </w:r>
    </w:p>
    <w:p>
      <w:pPr>
        <w:pStyle w:val="ListParagraph"/>
        <w:numPr>
          <w:ilvl w:val="0"/>
          <w:numId w:val="2"/>
        </w:numPr>
        <w:spacing w:after="60"/>
      </w:pPr>
      <w:r>
        <w:rPr>
          <w:rFonts w:ascii="Arial" w:cs="Arial" w:eastAsia="Arial" w:hAnsi="Arial"/>
          <w:sz w:val="22"/>
          <w:szCs w:val="22"/>
        </w:rPr>
        <w:t xml:space="preserve">mfn_sunset_months: MFN pricing-protection sunset.</w:t>
      </w:r>
    </w:p>
    <w:p>
      <w:pPr>
        <w:pStyle w:val="ListParagraph"/>
        <w:numPr>
          <w:ilvl w:val="0"/>
          <w:numId w:val="2"/>
        </w:numPr>
        <w:spacing w:after="60"/>
      </w:pPr>
      <w:r>
        <w:rPr>
          <w:rFonts w:ascii="Arial" w:cs="Arial" w:eastAsia="Arial" w:hAnsi="Arial"/>
          <w:sz w:val="22"/>
          <w:szCs w:val="22"/>
        </w:rPr>
        <w:t xml:space="preserve">Legacy call_protection TEXT retained for freeform notes.</w:t>
      </w:r>
    </w:p>
    <w:p>
      <w:pPr>
        <w:pStyle w:val="Heading2"/>
        <w:spacing w:after="120" w:before="240"/>
      </w:pPr>
      <w:r>
        <w:rPr>
          <w:rFonts w:ascii="Arial" w:cs="Arial" w:eastAsia="Arial" w:hAnsi="Arial"/>
          <w:b/>
          <w:bCs/>
          <w:color w:val="263849"/>
          <w:sz w:val="30"/>
          <w:szCs w:val="30"/>
        </w:rPr>
        <w:t xml:space="preserve">7.5 Yield / acquisition economics (our holding)</w:t>
      </w:r>
    </w:p>
    <w:p>
      <w:pPr>
        <w:pStyle w:val="ListParagraph"/>
        <w:numPr>
          <w:ilvl w:val="0"/>
          <w:numId w:val="2"/>
        </w:numPr>
        <w:spacing w:after="60"/>
      </w:pPr>
      <w:r>
        <w:rPr>
          <w:rFonts w:ascii="Arial" w:cs="Arial" w:eastAsia="Arial" w:hAnsi="Arial"/>
          <w:sz w:val="22"/>
          <w:szCs w:val="22"/>
        </w:rPr>
        <w:t xml:space="preserve">acquisition_channel: primary / secondary_purchase.</w:t>
      </w:r>
    </w:p>
    <w:p>
      <w:pPr>
        <w:pStyle w:val="ListParagraph"/>
        <w:numPr>
          <w:ilvl w:val="0"/>
          <w:numId w:val="2"/>
        </w:numPr>
        <w:spacing w:after="60"/>
      </w:pPr>
      <w:r>
        <w:rPr>
          <w:rFonts w:ascii="Arial" w:cs="Arial" w:eastAsia="Arial" w:hAnsi="Arial"/>
          <w:sz w:val="22"/>
          <w:szCs w:val="22"/>
        </w:rPr>
        <w:t xml:space="preserve">purchase_price, original_issue_price: par = 100.00.</w:t>
      </w:r>
    </w:p>
    <w:p>
      <w:pPr>
        <w:pStyle w:val="ListParagraph"/>
        <w:numPr>
          <w:ilvl w:val="0"/>
          <w:numId w:val="2"/>
        </w:numPr>
        <w:spacing w:after="60"/>
      </w:pPr>
      <w:r>
        <w:rPr>
          <w:rFonts w:ascii="Arial" w:cs="Arial" w:eastAsia="Arial" w:hAnsi="Arial"/>
          <w:sz w:val="22"/>
          <w:szCs w:val="22"/>
        </w:rPr>
        <w:t xml:space="preserve">ytm_bps, ytw_bps: yield-to-maturity and yield-to-worst at our acquisition.</w:t>
      </w:r>
    </w:p>
    <w:p>
      <w:pPr>
        <w:pStyle w:val="ListParagraph"/>
        <w:numPr>
          <w:ilvl w:val="0"/>
          <w:numId w:val="2"/>
        </w:numPr>
        <w:spacing w:after="60"/>
      </w:pPr>
      <w:r>
        <w:rPr>
          <w:rFonts w:ascii="Arial" w:cs="Arial" w:eastAsia="Arial" w:hAnsi="Arial"/>
          <w:sz w:val="22"/>
          <w:szCs w:val="22"/>
        </w:rPr>
        <w:t xml:space="preserve">has_pik, pik_margin_bps, pik_toggle: payment-in-kind component.</w:t>
      </w:r>
    </w:p>
    <w:p>
      <w:pPr>
        <w:pStyle w:val="Heading2"/>
        <w:spacing w:after="120" w:before="240"/>
      </w:pPr>
      <w:r>
        <w:rPr>
          <w:rFonts w:ascii="Arial" w:cs="Arial" w:eastAsia="Arial" w:hAnsi="Arial"/>
          <w:b/>
          <w:bCs/>
          <w:color w:val="263849"/>
          <w:sz w:val="30"/>
          <w:szCs w:val="30"/>
        </w:rPr>
        <w:t xml:space="preserve">7.6 Margin ratchets</w:t>
      </w:r>
    </w:p>
    <w:p>
      <w:pPr>
        <w:spacing w:after="140" w:line="280"/>
        <w:jc w:val="both"/>
      </w:pPr>
      <w:r>
        <w:rPr>
          <w:rFonts w:ascii="Arial" w:cs="Arial" w:eastAsia="Arial" w:hAnsi="Arial"/>
          <w:sz w:val="22"/>
          <w:szCs w:val="22"/>
        </w:rPr>
        <w:t xml:space="preserve">Time-varying and event-triggered margin changes live in a dedicated child table, capital_structure_margin_ratchets. Two kinds of rows:</w:t>
      </w:r>
    </w:p>
    <w:p>
      <w:pPr>
        <w:spacing w:after="80"/>
      </w:pPr>
      <w:r>
        <w:rPr>
          <w:rFonts w:ascii="Arial" w:cs="Arial" w:eastAsia="Arial" w:hAnsi="Arial"/>
          <w:b/>
          <w:bCs/>
          <w:sz w:val="22"/>
          <w:szCs w:val="22"/>
        </w:rPr>
        <w:t xml:space="preserve">Base margin tiers (ratchet_kind = 'base_margin')</w:t>
      </w:r>
    </w:p>
    <w:p>
      <w:pPr>
        <w:spacing w:after="140" w:line="280"/>
        <w:jc w:val="both"/>
      </w:pPr>
      <w:r>
        <w:rPr>
          <w:rFonts w:ascii="Arial" w:cs="Arial" w:eastAsia="Arial" w:hAnsi="Arial"/>
          <w:sz w:val="22"/>
          <w:szCs w:val="22"/>
        </w:rPr>
        <w:t xml:space="preserve">Absolute-margin tiers active during a specific period or when a covenant threshold is met. Triggered by time_based / leverage / dscr / icr / coverage_ratio / event_based / pik_toggle.</w:t>
      </w:r>
    </w:p>
    <w:p>
      <w:pPr>
        <w:spacing w:after="80"/>
      </w:pPr>
      <w:r>
        <w:rPr>
          <w:rFonts w:ascii="Arial" w:cs="Arial" w:eastAsia="Arial" w:hAnsi="Arial"/>
          <w:b/>
          <w:bCs/>
          <w:sz w:val="22"/>
          <w:szCs w:val="22"/>
        </w:rPr>
        <w:t xml:space="preserve">ESG SPT adjustments (ratchet_kind = 'esg_adjustment')</w:t>
      </w:r>
    </w:p>
    <w:p>
      <w:pPr>
        <w:spacing w:after="140" w:line="280"/>
        <w:jc w:val="both"/>
      </w:pPr>
      <w:r>
        <w:rPr>
          <w:rFonts w:ascii="Arial" w:cs="Arial" w:eastAsia="Arial" w:hAnsi="Arial"/>
          <w:sz w:val="22"/>
          <w:szCs w:val="22"/>
        </w:rPr>
        <w:t xml:space="preserve">Signed bps deltas applied on top of the active base-margin tier when a linked sustainability SPT is met or missed. The classic Sustainability-Linked Loan / Sustainability-Linked Bond pattern. Each row can reference a sector_kpi_N slot from Tab 9 so the SPT is tracked in the same KPI observation stream as everything else.</w:t>
      </w:r>
    </w:p>
    <w:p>
      <w:pPr>
        <w:pStyle w:val="Heading2"/>
        <w:spacing w:after="120" w:before="240"/>
      </w:pPr>
      <w:r>
        <w:rPr>
          <w:rFonts w:ascii="Arial" w:cs="Arial" w:eastAsia="Arial" w:hAnsi="Arial"/>
          <w:b/>
          <w:bCs/>
          <w:color w:val="263849"/>
          <w:sz w:val="30"/>
          <w:szCs w:val="30"/>
        </w:rPr>
        <w:t xml:space="preserve">7.7 Worked examples</w:t>
      </w:r>
    </w:p>
    <w:p>
      <w:pPr>
        <w:spacing w:after="80"/>
      </w:pPr>
      <w:r>
        <w:rPr>
          <w:rFonts w:ascii="Arial" w:cs="Arial" w:eastAsia="Arial" w:hAnsi="Arial"/>
          <w:b/>
          <w:bCs/>
          <w:sz w:val="22"/>
          <w:szCs w:val="22"/>
        </w:rPr>
        <w:t xml:space="preserve">Aurora Senior Term Loan A — post-COD step-down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700"/>
        <w:gridCol w:w="3000"/>
      </w:tblGrid>
      <w:tr>
        <w:trPr>
          <w:tblHeader/>
        </w:trPr>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Step</w:t>
            </w:r>
          </w:p>
        </w:tc>
        <w:tc>
          <w:tcPr>
            <w:tcW w:type="dxa" w:w="21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Kind</w:t>
            </w:r>
          </w:p>
        </w:tc>
        <w:tc>
          <w:tcPr>
            <w:tcW w:type="dxa" w:w="27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Trigger</w:t>
            </w:r>
          </w:p>
        </w:tc>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Result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base_margin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time_based 2023-06-30 → 2025-09-01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margin = 325bp (construction/ramp)</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base_margin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leverage &lt; 5.0x from 2025-09-01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margin steps down to 275bp (post-COD)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base_margin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leverage &lt; 4.0x from 2025-09-01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margin steps down further to 225bp</w:t>
            </w:r>
          </w:p>
        </w:tc>
      </w:tr>
    </w:tbl>
    <w:p>
      <w:pPr>
        <w:spacing w:after="80"/>
      </w:pPr>
      <w:r>
        <w:rPr>
          <w:rFonts w:ascii="Arial" w:cs="Arial" w:eastAsia="Arial" w:hAnsi="Arial"/>
          <w:b/>
          <w:bCs/>
          <w:sz w:val="22"/>
          <w:szCs w:val="22"/>
        </w:rPr>
        <w:t xml:space="preserve">Gatwick SLB 3.625% 2033 Bond — ESG SPTs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300"/>
        <w:gridCol w:w="2400"/>
      </w:tblGrid>
      <w:tr>
        <w:trPr>
          <w:tblHeader/>
        </w:trPr>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Step</w:t>
            </w:r>
          </w:p>
        </w:tc>
        <w:tc>
          <w:tcPr>
            <w:tcW w:type="dxa" w:w="21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Kind</w:t>
            </w:r>
          </w:p>
        </w:tc>
        <w:tc>
          <w:tcPr>
            <w:tcW w:type="dxa" w:w="3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Trigger</w:t>
            </w:r>
          </w:p>
        </w:tc>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Adjustment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base_margin</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time_based from 2024-10-16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137bp (initial)</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esg_adjustment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carbon_intensity ≤ 1.5 by 2027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−10bp (reward)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esg_adjustment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carbon_intensity &gt; 1.5 by 2027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+10bp (penalty)</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esg_adjustment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renewable_electricity ≥ 100% by 2030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−5bp (reward)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esg_adjustment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renewable_electricity &lt; 100% by 2030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+5bp (penalty)</w:t>
            </w:r>
          </w:p>
        </w:tc>
      </w:tr>
    </w:tbl>
    <w:p>
      <w:pPr>
        <w:pStyle w:val="Heading2"/>
        <w:spacing w:after="120" w:before="240"/>
      </w:pPr>
      <w:r>
        <w:rPr>
          <w:rFonts w:ascii="Arial" w:cs="Arial" w:eastAsia="Arial" w:hAnsi="Arial"/>
          <w:b/>
          <w:bCs/>
          <w:color w:val="263849"/>
          <w:sz w:val="30"/>
          <w:szCs w:val="30"/>
        </w:rPr>
        <w:t xml:space="preserve">7.8 Effective margin at time T</w:t>
      </w:r>
    </w:p>
    <w:p>
      <w:pPr>
        <w:spacing w:after="80"/>
      </w:pPr>
      <w:r>
        <w:rPr>
          <w:rFonts w:ascii="Consolas" w:cs="Consolas" w:eastAsia="Consolas" w:hAnsi="Consolas"/>
          <w:color w:val="444444"/>
          <w:sz w:val="20"/>
          <w:szCs w:val="20"/>
        </w:rPr>
        <w:t xml:space="preserve">effective_margin_bps = (latest active base_margin tier's margin_bps) + SUM(currently-active esg_adjustment deltas)</w:t>
      </w:r>
    </w:p>
    <w:p>
      <w:pPr>
        <w:spacing w:after="140" w:line="280"/>
        <w:jc w:val="both"/>
      </w:pPr>
      <w:r>
        <w:rPr>
          <w:rFonts w:ascii="Arial" w:cs="Arial" w:eastAsia="Arial" w:hAnsi="Arial"/>
          <w:sz w:val="22"/>
          <w:szCs w:val="22"/>
        </w:rPr>
        <w:t xml:space="preserve">'Active' means effective_from is null or ≤ today AND (effective_to is null or &gt; today). The capital-stack API returns effective_margin_bps on every instrument, along with effective_margin_base_bps, effective_margin_esg_adjustment_bps, and the full margin_ratchet_schedule.</w:t>
      </w:r>
    </w:p>
    <w:p>
      <w:pPr>
        <w:pStyle w:val="Heading2"/>
        <w:spacing w:after="120" w:before="240"/>
      </w:pPr>
      <w:r>
        <w:rPr>
          <w:rFonts w:ascii="Arial" w:cs="Arial" w:eastAsia="Arial" w:hAnsi="Arial"/>
          <w:b/>
          <w:bCs/>
          <w:color w:val="263849"/>
          <w:sz w:val="30"/>
          <w:szCs w:val="30"/>
        </w:rPr>
        <w:t xml:space="preserve">7.9 Impact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19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Deal</w:t>
            </w:r>
          </w:p>
        </w:tc>
        <w:tc>
          <w:tcPr>
            <w:tcW w:type="dxa" w:w="2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Before (coupon-based)</w:t>
            </w:r>
          </w:p>
        </w:tc>
        <w:tc>
          <w:tcPr>
            <w:tcW w:type="dxa" w:w="23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After (spread-based)</w:t>
            </w:r>
          </w:p>
        </w:tc>
        <w:tc>
          <w:tcPr>
            <w:tcW w:type="dxa" w:w="19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Premium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Gatwick</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426bp</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153bp</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14bp avg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M6 Toll</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900bp</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780bp</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330bp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Getlink</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355bp</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306bp</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18bp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Aurora (floating, unchanged)</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229bp</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229bp</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20bp</w:t>
            </w:r>
          </w:p>
        </w:tc>
      </w:tr>
    </w:tbl>
    <w:p>
      <w:pPr>
        <w:pBdr>
          <w:left w:val="single" w:color="1F6FA5" w:sz="16" w:space="10"/>
        </w:pBdr>
        <w:spacing w:after="160" w:before="80"/>
        <w:ind w:left="200"/>
      </w:pPr>
      <w:r>
        <w:rPr>
          <w:rFonts w:ascii="Arial" w:cs="Arial" w:eastAsia="Arial" w:hAnsi="Arial"/>
          <w:i/>
          <w:iCs/>
          <w:color w:val="56718A"/>
          <w:sz w:val="22"/>
          <w:szCs w:val="22"/>
        </w:rPr>
        <w:t xml:space="preserve">Decomposing margin into coupon + base + spread + benchmark is the change that finally made WA Spread readable at the portfolio level. Before the change, Gatwick's fixed-rate bonds were dominating a portfolio-wide average by reporting their full 4–6% coupon as 'margin'. After, only the credit-spread component contributes, and the dashboard number is genuinely comparable across floating and fixed instruments.</w:t>
      </w:r>
    </w:p>
    <w:p>
      <w:pPr>
        <w:pStyle w:val="Heading2"/>
        <w:spacing w:after="120" w:before="240"/>
      </w:pPr>
      <w:r>
        <w:rPr>
          <w:rFonts w:ascii="Arial" w:cs="Arial" w:eastAsia="Arial" w:hAnsi="Arial"/>
          <w:b/>
          <w:bCs/>
          <w:color w:val="263849"/>
          <w:sz w:val="30"/>
          <w:szCs w:val="30"/>
        </w:rPr>
        <w:t xml:space="preserve">7.10 Documentation</w:t>
      </w:r>
    </w:p>
    <w:p>
      <w:pPr>
        <w:pStyle w:val="ListParagraph"/>
        <w:numPr>
          <w:ilvl w:val="0"/>
          <w:numId w:val="2"/>
        </w:numPr>
        <w:spacing w:after="60"/>
      </w:pPr>
      <w:r>
        <w:rPr>
          <w:rFonts w:ascii="Arial" w:cs="Arial" w:eastAsia="Arial" w:hAnsi="Arial"/>
          <w:sz w:val="22"/>
          <w:szCs w:val="22"/>
        </w:rPr>
        <w:t xml:space="preserve">docs/architecture/instrument-economics.md — full pattern.</w:t>
      </w:r>
    </w:p>
    <w:p>
      <w:pPr>
        <w:pStyle w:val="ListParagraph"/>
        <w:numPr>
          <w:ilvl w:val="0"/>
          <w:numId w:val="2"/>
        </w:numPr>
        <w:spacing w:after="60"/>
      </w:pPr>
      <w:r>
        <w:rPr>
          <w:rFonts w:ascii="Arial" w:cs="Arial" w:eastAsia="Arial" w:hAnsi="Arial"/>
          <w:sz w:val="22"/>
          <w:szCs w:val="22"/>
        </w:rPr>
        <w:t xml:space="preserve">TopSheet Excel Tab 2 + new Tab 2b 'Margin Ratchets' — data-entry surface.</w:t>
      </w:r>
    </w:p>
    <w:p>
      <w:pPr>
        <w:pStyle w:val="ListParagraph"/>
        <w:numPr>
          <w:ilvl w:val="0"/>
          <w:numId w:val="2"/>
        </w:numPr>
        <w:spacing w:after="60"/>
      </w:pPr>
      <w:r>
        <w:rPr>
          <w:rFonts w:ascii="Arial" w:cs="Arial" w:eastAsia="Arial" w:hAnsi="Arial"/>
          <w:sz w:val="22"/>
          <w:szCs w:val="22"/>
        </w:rPr>
        <w:t xml:space="preserve">tests/test_instrument_economics.py — 17 assertions: pricing fields end-to-end, generated column invariants, WA Spread sanity.</w:t>
      </w:r>
    </w:p>
    <w:p>
      <w:pPr>
        <w:pStyle w:val="Heading1"/>
        <w:pageBreakBefore/>
        <w:spacing w:after="180" w:before="240"/>
      </w:pPr>
      <w:r>
        <w:rPr>
          <w:rFonts w:ascii="Arial" w:cs="Arial" w:eastAsia="Arial" w:hAnsi="Arial"/>
          <w:b/>
          <w:bCs/>
          <w:color w:val="1F6FA5"/>
          <w:sz w:val="40"/>
          <w:szCs w:val="40"/>
        </w:rPr>
        <w:t xml:space="preserve">8. Capital stack</w:t>
      </w:r>
    </w:p>
    <w:p>
      <w:pPr>
        <w:pStyle w:val="Heading2"/>
        <w:spacing w:after="120" w:before="240"/>
      </w:pPr>
      <w:r>
        <w:rPr>
          <w:rFonts w:ascii="Arial" w:cs="Arial" w:eastAsia="Arial" w:hAnsi="Arial"/>
          <w:b/>
          <w:bCs/>
          <w:color w:val="263849"/>
          <w:sz w:val="30"/>
          <w:szCs w:val="30"/>
        </w:rPr>
        <w:t xml:space="preserve">8.1 What it is</w:t>
      </w:r>
    </w:p>
    <w:p>
      <w:pPr>
        <w:spacing w:after="140" w:line="280"/>
        <w:jc w:val="both"/>
      </w:pPr>
      <w:r>
        <w:rPr>
          <w:rFonts w:ascii="Arial" w:cs="Arial" w:eastAsia="Arial" w:hAnsi="Arial"/>
          <w:sz w:val="22"/>
          <w:szCs w:val="22"/>
        </w:rPr>
        <w:t xml:space="preserve">The capital stack view shows, for a single deal, every debt instrument in the capital structure — ordered by priority of claim, grouped by entity level (OpCo / MidCo / HoldCo), and layered so the reader can see where the money sits and how much of it is ours. For deals with multiple entities (e.g. Gatwick's Issuer/OpCo split, GIP's shareholder-pledge on the MidCo), the stack correctly handles partial ownership, shareholder-level pledges that require a gross-up, and parallel claims via separate vehicles.</w:t>
      </w:r>
    </w:p>
    <w:p>
      <w:pPr>
        <w:spacing w:after="140" w:line="280"/>
        <w:jc w:val="both"/>
      </w:pPr>
      <w:r>
        <w:rPr>
          <w:rFonts w:ascii="Arial" w:cs="Arial" w:eastAsia="Arial" w:hAnsi="Arial"/>
          <w:sz w:val="22"/>
          <w:szCs w:val="22"/>
        </w:rPr>
        <w:t xml:space="preserve">The design decision — 'stack is LINEAR per instrument' — means that genuinely parallel claims (two lenders with independent vehicles) are modelled as separate deal records rather than a branching tree. This keeps the capital stack cleanly walkable from asset to equity.</w:t>
      </w:r>
    </w:p>
    <w:p>
      <w:pPr>
        <w:pStyle w:val="Heading2"/>
        <w:spacing w:after="120" w:before="240"/>
      </w:pPr>
      <w:r>
        <w:rPr>
          <w:rFonts w:ascii="Arial" w:cs="Arial" w:eastAsia="Arial" w:hAnsi="Arial"/>
          <w:b/>
          <w:bCs/>
          <w:color w:val="263849"/>
          <w:sz w:val="30"/>
          <w:szCs w:val="30"/>
        </w:rPr>
        <w:t xml:space="preserve">8.2 Entity-level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Entity level</w:t>
            </w:r>
          </w:p>
        </w:tc>
        <w:tc>
          <w:tcPr>
            <w:tcW w:type="dxa" w:w="7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Meaning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opco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Operating company — closest to the cashflows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midco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Intermediate holding vehicle, typically between the OpCo and the HoldCo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holdco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Holding company at the top of the ring-fenced security perimeter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topco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Ultimate sponsor vehicle above the security perimeter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issuer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Special-purpose issuer that holds debt on behalf of the group</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bidco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Acquisition vehicle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majority_holdco, minority_holdco</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Multi-sponsor structures — HoldCos held by specific sponsors with partial ownership</w:t>
            </w:r>
          </w:p>
        </w:tc>
      </w:tr>
    </w:tbl>
    <w:p>
      <w:pPr>
        <w:pStyle w:val="Heading2"/>
        <w:spacing w:after="120" w:before="240"/>
      </w:pPr>
      <w:r>
        <w:rPr>
          <w:rFonts w:ascii="Arial" w:cs="Arial" w:eastAsia="Arial" w:hAnsi="Arial"/>
          <w:b/>
          <w:bCs/>
          <w:color w:val="263849"/>
          <w:sz w:val="30"/>
          <w:szCs w:val="30"/>
        </w:rPr>
        <w:t xml:space="preserve">8.3 Cashflow priority ranking</w:t>
      </w:r>
    </w:p>
    <w:p>
      <w:pPr>
        <w:spacing w:after="140" w:line="280"/>
        <w:jc w:val="both"/>
      </w:pPr>
      <w:r>
        <w:rPr>
          <w:rFonts w:ascii="Arial" w:cs="Arial" w:eastAsia="Arial" w:hAnsi="Arial"/>
          <w:sz w:val="22"/>
          <w:szCs w:val="22"/>
        </w:rPr>
        <w:t xml:space="preserve">The auto-ranking algorithm walks the entity tree bottom-up and assigns a cashflow priority rank — 1 = closest to cashflows, higher numbers = further away — to each external debt instrument. Shareholder and intercompany loans are left unranked (they are not claims on the group's cashflows in the same sense).</w:t>
      </w:r>
    </w:p>
    <w:p>
      <w:pPr>
        <w:spacing w:after="140" w:line="280"/>
        <w:jc w:val="both"/>
      </w:pPr>
      <w:r>
        <w:rPr>
          <w:rFonts w:ascii="Arial" w:cs="Arial" w:eastAsia="Arial" w:hAnsi="Arial"/>
          <w:sz w:val="22"/>
          <w:szCs w:val="22"/>
        </w:rPr>
        <w:t xml:space="preserve">Algorithm: assign rank 1 to the external debt instrument at the OpCo level (or closest-to-cashflow level). Each structural layer above (MidCo, HoldCo, etc.) adds +1. Contractual subordination within a level adds +1. Minority-HoldCo adds an extra +1 if there is OpCo debt. Manual overrides are respected.</w:t>
      </w:r>
    </w:p>
    <w:p>
      <w:pPr>
        <w:pStyle w:val="Heading2"/>
        <w:spacing w:after="120" w:before="240"/>
      </w:pPr>
      <w:r>
        <w:rPr>
          <w:rFonts w:ascii="Arial" w:cs="Arial" w:eastAsia="Arial" w:hAnsi="Arial"/>
          <w:b/>
          <w:bCs/>
          <w:color w:val="263849"/>
          <w:sz w:val="30"/>
          <w:szCs w:val="30"/>
        </w:rPr>
        <w:t xml:space="preserve">8.4 Ratio consolidation</w:t>
      </w:r>
    </w:p>
    <w:p>
      <w:pPr>
        <w:spacing w:after="140" w:line="280"/>
        <w:jc w:val="both"/>
      </w:pPr>
      <w:r>
        <w:rPr>
          <w:rFonts w:ascii="Arial" w:cs="Arial" w:eastAsia="Arial" w:hAnsi="Arial"/>
          <w:sz w:val="22"/>
          <w:szCs w:val="22"/>
        </w:rPr>
        <w:t xml:space="preserve">For deals with partial ownership, ratios can be tested at different levels: opco_standalone (ratios tested at OpCo only); consolidated (full consolidation without ownership adjustment, appropriate for wholly-owned groups); proportional_consolidated (apply ownership % to both cashflows AND debt — correct treatment for partial-ownership structures because applying ownership to EBITDA only, while treating 100% of debt as ours, would understate leverage).</w:t>
      </w:r>
    </w:p>
    <w:p>
      <w:pPr>
        <w:pStyle w:val="Heading2"/>
        <w:spacing w:after="120" w:before="240"/>
      </w:pPr>
      <w:r>
        <w:rPr>
          <w:rFonts w:ascii="Arial" w:cs="Arial" w:eastAsia="Arial" w:hAnsi="Arial"/>
          <w:b/>
          <w:bCs/>
          <w:color w:val="263849"/>
          <w:sz w:val="30"/>
          <w:szCs w:val="30"/>
        </w:rPr>
        <w:t xml:space="preserve">8.5 Shareholder-level pledges (v9)</w:t>
      </w:r>
    </w:p>
    <w:p>
      <w:pPr>
        <w:spacing w:after="140" w:line="280"/>
        <w:jc w:val="both"/>
      </w:pPr>
      <w:r>
        <w:rPr>
          <w:rFonts w:ascii="Arial" w:cs="Arial" w:eastAsia="Arial" w:hAnsi="Arial"/>
          <w:sz w:val="22"/>
          <w:szCs w:val="22"/>
        </w:rPr>
        <w:t xml:space="preserve">Specifically for NAV-style or shareholder-NAV facilities: a lender may extend funds to a sponsor-specific SPV secured only on that sponsor's stake in the HoldCo. At Gatwick, GIP has a MidCo debt secured on its 49.99% stake in the HoldCo. Because the OpCo has to distribute £2 to put £1 in that sponsor's hands for debt service, the effective leverage impact is higher than the face value suggests.</w:t>
      </w:r>
    </w:p>
    <w:p>
      <w:pPr>
        <w:spacing w:after="80"/>
      </w:pPr>
      <w:r>
        <w:rPr>
          <w:rFonts w:ascii="Arial" w:cs="Arial" w:eastAsia="Arial" w:hAnsi="Arial"/>
          <w:b/>
          <w:bCs/>
          <w:sz w:val="22"/>
          <w:szCs w:val="22"/>
        </w:rPr>
        <w:t xml:space="preserve">Gross-up</w:t>
      </w:r>
    </w:p>
    <w:p>
      <w:pPr>
        <w:spacing w:after="80"/>
      </w:pPr>
      <w:r>
        <w:rPr>
          <w:rFonts w:ascii="Consolas" w:cs="Consolas" w:eastAsia="Consolas" w:hAnsi="Consolas"/>
          <w:color w:val="444444"/>
          <w:sz w:val="20"/>
          <w:szCs w:val="20"/>
        </w:rPr>
        <w:t xml:space="preserve">grossed_up_debt = face_value / pledged_share_pct</w:t>
      </w:r>
    </w:p>
    <w:p>
      <w:pPr>
        <w:spacing w:after="140" w:line="280"/>
        <w:jc w:val="both"/>
      </w:pPr>
      <w:r>
        <w:rPr>
          <w:rFonts w:ascii="Arial" w:cs="Arial" w:eastAsia="Arial" w:hAnsi="Arial"/>
          <w:sz w:val="22"/>
          <w:szCs w:val="22"/>
        </w:rPr>
        <w:t xml:space="preserve">A £475m MidCo debt pledged on a 49.99% stake has the same distribution-coverage impact as £950m at the consolidated level. The Capital Stack engine computes both lenses — CTA-consolidated headline AND grossed-up consolidated-equivalent — and presents them side by side.</w:t>
      </w:r>
    </w:p>
    <w:p>
      <w:pPr>
        <w:pStyle w:val="Heading2"/>
        <w:spacing w:after="120" w:before="240"/>
      </w:pPr>
      <w:r>
        <w:rPr>
          <w:rFonts w:ascii="Arial" w:cs="Arial" w:eastAsia="Arial" w:hAnsi="Arial"/>
          <w:b/>
          <w:bCs/>
          <w:color w:val="263849"/>
          <w:sz w:val="30"/>
          <w:szCs w:val="30"/>
        </w:rPr>
        <w:t xml:space="preserve">8.6 Change-of-control coverage</w:t>
      </w:r>
    </w:p>
    <w:p>
      <w:pPr>
        <w:spacing w:after="140" w:line="280"/>
        <w:jc w:val="both"/>
      </w:pPr>
      <w:r>
        <w:rPr>
          <w:rFonts w:ascii="Arial" w:cs="Arial" w:eastAsia="Arial" w:hAnsi="Arial"/>
          <w:sz w:val="22"/>
          <w:szCs w:val="22"/>
        </w:rPr>
        <w:t xml:space="preserve">LTV on pledged shares for NAV-style debt. Amber &gt; 30%, red &gt; 50%.</w:t>
      </w:r>
    </w:p>
    <w:p>
      <w:pPr>
        <w:pStyle w:val="Heading2"/>
        <w:spacing w:after="120" w:before="240"/>
      </w:pPr>
      <w:r>
        <w:rPr>
          <w:rFonts w:ascii="Arial" w:cs="Arial" w:eastAsia="Arial" w:hAnsi="Arial"/>
          <w:b/>
          <w:bCs/>
          <w:color w:val="263849"/>
          <w:sz w:val="30"/>
          <w:szCs w:val="30"/>
        </w:rPr>
        <w:t xml:space="preserve">8.7 Technical specification</w:t>
      </w:r>
    </w:p>
    <w:p>
      <w:pPr>
        <w:pStyle w:val="ListParagraph"/>
        <w:numPr>
          <w:ilvl w:val="0"/>
          <w:numId w:val="2"/>
        </w:numPr>
        <w:spacing w:after="60"/>
      </w:pPr>
      <w:r>
        <w:rPr>
          <w:rFonts w:ascii="Arial" w:cs="Arial" w:eastAsia="Arial" w:hAnsi="Arial"/>
          <w:sz w:val="22"/>
          <w:szCs w:val="22"/>
        </w:rPr>
        <w:t xml:space="preserve">Engine: server/capital_structure_engine.py. Key functions: build_capital_stack(), compute_attributable_equity(), gross_up_facility(), build_metrics(), change_of_control_coverage(), validate_capital_stack().</w:t>
      </w:r>
    </w:p>
    <w:p>
      <w:pPr>
        <w:pStyle w:val="ListParagraph"/>
        <w:numPr>
          <w:ilvl w:val="0"/>
          <w:numId w:val="2"/>
        </w:numPr>
        <w:spacing w:after="60"/>
      </w:pPr>
      <w:r>
        <w:rPr>
          <w:rFonts w:ascii="Arial" w:cs="Arial" w:eastAsia="Arial" w:hAnsi="Arial"/>
          <w:sz w:val="22"/>
          <w:szCs w:val="22"/>
        </w:rPr>
        <w:t xml:space="preserve">Auto-ranking: assign_cashflow_priority_ranks().</w:t>
      </w:r>
    </w:p>
    <w:p>
      <w:pPr>
        <w:pStyle w:val="ListParagraph"/>
        <w:numPr>
          <w:ilvl w:val="0"/>
          <w:numId w:val="2"/>
        </w:numPr>
        <w:spacing w:after="60"/>
      </w:pPr>
      <w:r>
        <w:rPr>
          <w:rFonts w:ascii="Arial" w:cs="Arial" w:eastAsia="Arial" w:hAnsi="Arial"/>
          <w:sz w:val="22"/>
          <w:szCs w:val="22"/>
        </w:rPr>
        <w:t xml:space="preserve">Proportional consolidation: proportional_consolidation().</w:t>
      </w:r>
    </w:p>
    <w:p>
      <w:pPr>
        <w:pStyle w:val="ListParagraph"/>
        <w:numPr>
          <w:ilvl w:val="0"/>
          <w:numId w:val="2"/>
        </w:numPr>
        <w:spacing w:after="60"/>
      </w:pPr>
      <w:r>
        <w:rPr>
          <w:rFonts w:ascii="Arial" w:cs="Arial" w:eastAsia="Arial" w:hAnsi="Arial"/>
          <w:sz w:val="22"/>
          <w:szCs w:val="22"/>
        </w:rPr>
        <w:t xml:space="preserve">API: GET /api/deals/{slug}/capital-stack (optional ?reporting_currency=GBP|USD|EUR for FX conversion).</w:t>
      </w:r>
    </w:p>
    <w:p>
      <w:pPr>
        <w:pStyle w:val="ListParagraph"/>
        <w:numPr>
          <w:ilvl w:val="0"/>
          <w:numId w:val="2"/>
        </w:numPr>
        <w:spacing w:after="60"/>
      </w:pPr>
      <w:r>
        <w:rPr>
          <w:rFonts w:ascii="Arial" w:cs="Arial" w:eastAsia="Arial" w:hAnsi="Arial"/>
          <w:sz w:val="22"/>
          <w:szCs w:val="22"/>
        </w:rPr>
        <w:t xml:space="preserve">UI: Full-page block on /deals/[slug]/topsheet, section F.2B — two-column (Total / Our Holding) table + horizontal stack bar + two-lens metrics panel + our-position summary + parallel claims + change-of-control coverage.</w:t>
      </w:r>
    </w:p>
    <w:p>
      <w:pPr>
        <w:pStyle w:val="ListParagraph"/>
        <w:numPr>
          <w:ilvl w:val="0"/>
          <w:numId w:val="2"/>
        </w:numPr>
        <w:spacing w:after="60"/>
      </w:pPr>
      <w:r>
        <w:rPr>
          <w:rFonts w:ascii="Arial" w:cs="Arial" w:eastAsia="Arial" w:hAnsi="Arial"/>
          <w:sz w:val="22"/>
          <w:szCs w:val="22"/>
        </w:rPr>
        <w:t xml:space="preserve">Tests: tests/test_capital_stack.py — 50+ assertions across 7 cases including the two Gatwick scenarios as acceptance criteria.</w:t>
      </w:r>
    </w:p>
    <w:p>
      <w:pPr>
        <w:pStyle w:val="ListParagraph"/>
        <w:numPr>
          <w:ilvl w:val="0"/>
          <w:numId w:val="2"/>
        </w:numPr>
        <w:spacing w:after="60"/>
      </w:pPr>
      <w:r>
        <w:rPr>
          <w:rFonts w:ascii="Arial" w:cs="Arial" w:eastAsia="Arial" w:hAnsi="Arial"/>
          <w:sz w:val="22"/>
          <w:szCs w:val="22"/>
        </w:rPr>
        <w:t xml:space="preserve">Validation: missing EV, stale valuation, unpledged NAV, missing entity level, HoldCo at rank 1 with OpCo debt — all flagged.</w:t>
      </w:r>
    </w:p>
    <w:p>
      <w:pPr>
        <w:pStyle w:val="Heading1"/>
        <w:pageBreakBefore/>
        <w:spacing w:after="180" w:before="240"/>
      </w:pPr>
      <w:r>
        <w:rPr>
          <w:rFonts w:ascii="Arial" w:cs="Arial" w:eastAsia="Arial" w:hAnsi="Arial"/>
          <w:b/>
          <w:bCs/>
          <w:color w:val="1F6FA5"/>
          <w:sz w:val="40"/>
          <w:szCs w:val="40"/>
        </w:rPr>
        <w:t xml:space="preserve">9. Audit trail and document management</w:t>
      </w:r>
    </w:p>
    <w:p>
      <w:pPr>
        <w:pStyle w:val="Heading2"/>
        <w:spacing w:after="120" w:before="240"/>
      </w:pPr>
      <w:r>
        <w:rPr>
          <w:rFonts w:ascii="Arial" w:cs="Arial" w:eastAsia="Arial" w:hAnsi="Arial"/>
          <w:b/>
          <w:bCs/>
          <w:color w:val="263849"/>
          <w:sz w:val="30"/>
          <w:szCs w:val="30"/>
        </w:rPr>
        <w:t xml:space="preserve">9.1 Why it matters</w:t>
      </w:r>
    </w:p>
    <w:p>
      <w:pPr>
        <w:spacing w:after="140" w:line="280"/>
        <w:jc w:val="both"/>
      </w:pPr>
      <w:r>
        <w:rPr>
          <w:rFonts w:ascii="Arial" w:cs="Arial" w:eastAsia="Arial" w:hAnsi="Arial"/>
          <w:sz w:val="22"/>
          <w:szCs w:val="22"/>
        </w:rPr>
        <w:t xml:space="preserve">Every data point displayed on a deal's TopSheet must be traceable back to the source document that provided it, with page and snippet precision. This is a regulatory and audit requirement for any lender managing third-party capital. The platform is built with that requirement in mind from day one, even though in the current demo portfolio the discipline is not enforced. At the point of onboarding the first real client, a single migration flips the scaffolding into hard constraints.</w:t>
      </w:r>
    </w:p>
    <w:p>
      <w:pPr>
        <w:pStyle w:val="Heading2"/>
        <w:spacing w:after="120" w:before="240"/>
      </w:pPr>
      <w:r>
        <w:rPr>
          <w:rFonts w:ascii="Arial" w:cs="Arial" w:eastAsia="Arial" w:hAnsi="Arial"/>
          <w:b/>
          <w:bCs/>
          <w:color w:val="263849"/>
          <w:sz w:val="30"/>
          <w:szCs w:val="30"/>
        </w:rPr>
        <w:t xml:space="preserve">9.2 Four-layer provenance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Layer</w:t>
            </w:r>
          </w:p>
        </w:tc>
        <w:tc>
          <w:tcPr>
            <w:tcW w:type="dxa" w:w="7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Detail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Bronze — raw intake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incoming_documents stores every file ever seen. File path, SHA-256 checksum, MIME, sender, source channel. Retained indefinitely, immutable.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Canonical — processed document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documents promotes a Bronze row into a classified version: deal, period, type (compliance certificate, audited financials, rating report), representative page + snippet. Linked via incoming_documents.canonical_document_id.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Field provenance — per row, per value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Two mechanisms. Row-level five-column source_* block on every deal-scoped table: source_document_id, source_page, source_snippet, source_extracted_by, source_extracted_at. Column-level evidence_citations using the field_key convention when a single cell needs a different source from its row.</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Snapshot pinning — frozen audit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When a TopSheet snapshot is captured (for an IC pack, covenant-test pack, or waiver record), the engine walks every rendered field and writes an immutable topsheet_snapshot_field_citations row. The snippet is copied, not referenced, so the snapshot remains reproducible even if the underlying document is later superseded.</w:t>
            </w:r>
          </w:p>
        </w:tc>
      </w:tr>
    </w:tbl>
    <w:p>
      <w:pPr>
        <w:pStyle w:val="Heading2"/>
        <w:spacing w:after="120" w:before="240"/>
      </w:pPr>
      <w:r>
        <w:rPr>
          <w:rFonts w:ascii="Arial" w:cs="Arial" w:eastAsia="Arial" w:hAnsi="Arial"/>
          <w:b/>
          <w:bCs/>
          <w:color w:val="263849"/>
          <w:sz w:val="30"/>
          <w:szCs w:val="30"/>
        </w:rPr>
        <w:t xml:space="preserve">9.3 Field-key convention</w:t>
      </w:r>
    </w:p>
    <w:p>
      <w:pPr>
        <w:spacing w:after="140" w:line="280"/>
        <w:jc w:val="both"/>
      </w:pPr>
      <w:r>
        <w:rPr>
          <w:rFonts w:ascii="Arial" w:cs="Arial" w:eastAsia="Arial" w:hAnsi="Arial"/>
          <w:sz w:val="22"/>
          <w:szCs w:val="22"/>
        </w:rPr>
        <w:t xml:space="preserve">The field_key on evidence_citations follows a strict pattern so it can be parsed and validated. The regex that will become a CHECK constraint at the real-client cutover is:</w:t>
      </w:r>
    </w:p>
    <w:p>
      <w:pPr>
        <w:spacing w:after="80"/>
      </w:pPr>
      <w:r>
        <w:rPr>
          <w:rFonts w:ascii="Consolas" w:cs="Consolas" w:eastAsia="Consolas" w:hAnsi="Consolas"/>
          <w:color w:val="444444"/>
          <w:sz w:val="20"/>
          <w:szCs w:val="20"/>
        </w:rPr>
        <w:t xml:space="preserve">^[a-z_]+(\.[a-z_]+)?:[A-Za-z0-9_-]+$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Pattern</w:t>
            </w:r>
          </w:p>
        </w:tc>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Use</w:t>
            </w:r>
          </w:p>
        </w:tc>
        <w:tc>
          <w:tcPr>
            <w:tcW w:type="dxa" w:w="3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Example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{table}:{pk_or_natural_id}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Whole-row citation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capital_structure_instruments:15</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{table}.{column}:{pk_or_natural_id}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Single-column citation within a row</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deals.enterprise_value:26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{table}:{natural_id}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Natural-key citation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deal_risk_register:RISK-ST-008</w:t>
            </w:r>
          </w:p>
        </w:tc>
      </w:tr>
    </w:tbl>
    <w:p>
      <w:pPr>
        <w:pStyle w:val="Heading2"/>
        <w:spacing w:after="120" w:before="240"/>
      </w:pPr>
      <w:r>
        <w:rPr>
          <w:rFonts w:ascii="Arial" w:cs="Arial" w:eastAsia="Arial" w:hAnsi="Arial"/>
          <w:b/>
          <w:bCs/>
          <w:color w:val="263849"/>
          <w:sz w:val="30"/>
          <w:szCs w:val="30"/>
        </w:rPr>
        <w:t xml:space="preserve">9.4 Tables covered</w:t>
      </w:r>
    </w:p>
    <w:p>
      <w:pPr>
        <w:spacing w:after="140" w:line="280"/>
        <w:jc w:val="both"/>
      </w:pPr>
      <w:r>
        <w:rPr>
          <w:rFonts w:ascii="Arial" w:cs="Arial" w:eastAsia="Arial" w:hAnsi="Arial"/>
          <w:sz w:val="22"/>
          <w:szCs w:val="22"/>
        </w:rPr>
        <w:t xml:space="preserve">17 deal-scoped tables carry the five-column source_* block today: capital_structure_instruments, corporate_entities, deal_jurisdiction_splits, covenant_thresholds, deal_distribution_conditions, deal_eod_register, deal_trigger_events, deal_counterparties, deal_reserve_accounts, hedge_portfolio, deal_risk_register, deal_kpi_targets (retired), deal_amendments, deal_consent_mechanics, deal_development_phases, deal_obligation_register, deal_onboarding_snapshots.</w:t>
      </w:r>
    </w:p>
    <w:p>
      <w:pPr>
        <w:spacing w:after="140" w:line="280"/>
        <w:jc w:val="both"/>
      </w:pPr>
      <w:r>
        <w:rPr>
          <w:rFonts w:ascii="Arial" w:cs="Arial" w:eastAsia="Arial" w:hAnsi="Arial"/>
          <w:sz w:val="22"/>
          <w:szCs w:val="22"/>
        </w:rPr>
        <w:t xml:space="preserve">Already carrying provenance from earlier: actual_periods, period_financial_items, deal_kpi_observations, financial_periods, forecast_model_metadata, ratio_reconciliations, deal_reporting_periods (via source_document_id).</w:t>
      </w:r>
    </w:p>
    <w:p>
      <w:pPr>
        <w:spacing w:after="140" w:line="280"/>
        <w:jc w:val="both"/>
      </w:pPr>
      <w:r>
        <w:rPr>
          <w:rFonts w:ascii="Arial" w:cs="Arial" w:eastAsia="Arial" w:hAnsi="Arial"/>
          <w:sz w:val="22"/>
          <w:szCs w:val="22"/>
        </w:rPr>
        <w:t xml:space="preserve">Excluded deliberately: scalar fields on deals (enterprise_value, sponsor_name, grade, etc.) are too many and typically come from different documents per field — these use column-level evidence_citations instead.</w:t>
      </w:r>
    </w:p>
    <w:p>
      <w:pPr>
        <w:pStyle w:val="Heading2"/>
        <w:spacing w:after="120" w:before="240"/>
      </w:pPr>
      <w:r>
        <w:rPr>
          <w:rFonts w:ascii="Arial" w:cs="Arial" w:eastAsia="Arial" w:hAnsi="Arial"/>
          <w:b/>
          <w:bCs/>
          <w:color w:val="263849"/>
          <w:sz w:val="30"/>
          <w:szCs w:val="30"/>
        </w:rPr>
        <w:t xml:space="preserve">9.5 Status today vs at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Item</w:t>
            </w:r>
          </w:p>
        </w:tc>
        <w:tc>
          <w:tcPr>
            <w:tcW w:type="dxa" w:w="6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Status today (demo)</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Five-column source_* block on 17 tables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Scaffolded — columns exist, all values NULL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Coverage view v_topsheet_field_audit_status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 returns one row per (deal, table) with total_rows and missing_count. In demo, every row returns missing_count = total_rows (expected 100% missing)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field_key convention + evidence_citations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Live — convention documented, regex not yet a CHECK constraint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Snapshot pinning — topsheet_snapshot_field_citations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Scaffolded — table exists, writer not yet wired into capture_deal_snapshot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ALTER TABLE ... SET NOT NULL on all source_document_id columns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Deferred — applied at real-client cutover once the ingestion engine is populating them</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CHECK (field_key ~ regex)</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Deferred — applied at cutover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Immutability trigger on topsheet_snapshot_field_citations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Deferred — applied at cutover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CI gate: v_topsheet_field_audit_status.missing_count = 0 for production deals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Deferred — applied at cutover</w:t>
            </w:r>
          </w:p>
        </w:tc>
      </w:tr>
    </w:tbl>
    <w:p>
      <w:pPr>
        <w:pStyle w:val="Heading2"/>
        <w:spacing w:after="120" w:before="240"/>
      </w:pPr>
      <w:r>
        <w:rPr>
          <w:rFonts w:ascii="Arial" w:cs="Arial" w:eastAsia="Arial" w:hAnsi="Arial"/>
          <w:b/>
          <w:bCs/>
          <w:color w:val="263849"/>
          <w:sz w:val="30"/>
          <w:szCs w:val="30"/>
        </w:rPr>
        <w:t xml:space="preserve">9.6 Worked example — Gatwick's Enterprise Value</w:t>
      </w:r>
    </w:p>
    <w:p>
      <w:pPr>
        <w:spacing w:after="140" w:line="280"/>
        <w:jc w:val="both"/>
      </w:pPr>
      <w:r>
        <w:rPr>
          <w:rFonts w:ascii="Arial" w:cs="Arial" w:eastAsia="Arial" w:hAnsi="Arial"/>
          <w:sz w:val="22"/>
          <w:szCs w:val="22"/>
        </w:rPr>
        <w:t xml:space="preserve">Suppose the TopSheet renders 'Enterprise Value: £6,500,000,000' for Gatwick (deal id=26). The provenance chain:</w:t>
      </w:r>
    </w:p>
    <w:p>
      <w:pPr>
        <w:pStyle w:val="ListParagraph"/>
        <w:numPr>
          <w:ilvl w:val="0"/>
          <w:numId w:val="2"/>
        </w:numPr>
        <w:spacing w:after="60"/>
      </w:pPr>
      <w:r>
        <w:rPr>
          <w:rFonts w:ascii="Arial" w:cs="Arial" w:eastAsia="Arial" w:hAnsi="Arial"/>
          <w:sz w:val="22"/>
          <w:szCs w:val="22"/>
        </w:rPr>
        <w:t xml:space="preserve">incoming_documents row for 'Fitch A.pdf', SHA-256 9a6b1edc…, received 2025-11-12.</w:t>
      </w:r>
    </w:p>
    <w:p>
      <w:pPr>
        <w:pStyle w:val="ListParagraph"/>
        <w:numPr>
          <w:ilvl w:val="0"/>
          <w:numId w:val="2"/>
        </w:numPr>
        <w:spacing w:after="60"/>
      </w:pPr>
      <w:r>
        <w:rPr>
          <w:rFonts w:ascii="Arial" w:cs="Arial" w:eastAsia="Arial" w:hAnsi="Arial"/>
          <w:sz w:val="22"/>
          <w:szCs w:val="22"/>
        </w:rPr>
        <w:t xml:space="preserve">documents row id=42, document_name='Fitch — Gatwick Funding BBB+ affirm (12 Nov 2025)', promoted from intake.</w:t>
      </w:r>
    </w:p>
    <w:p>
      <w:pPr>
        <w:pStyle w:val="ListParagraph"/>
        <w:numPr>
          <w:ilvl w:val="0"/>
          <w:numId w:val="2"/>
        </w:numPr>
        <w:spacing w:after="60"/>
      </w:pPr>
      <w:r>
        <w:rPr>
          <w:rFonts w:ascii="Arial" w:cs="Arial" w:eastAsia="Arial" w:hAnsi="Arial"/>
          <w:sz w:val="22"/>
          <w:szCs w:val="22"/>
        </w:rPr>
        <w:t xml:space="preserve">evidence_citations row: canonical_document_id=42, field_key='deals.enterprise_value:26', page_number=3, text_snippet='Consolidated net debt/EBITDA peaks at 7.2x in 2027…'.</w:t>
      </w:r>
    </w:p>
    <w:p>
      <w:pPr>
        <w:pStyle w:val="ListParagraph"/>
        <w:numPr>
          <w:ilvl w:val="0"/>
          <w:numId w:val="2"/>
        </w:numPr>
        <w:spacing w:after="60"/>
      </w:pPr>
      <w:r>
        <w:rPr>
          <w:rFonts w:ascii="Arial" w:cs="Arial" w:eastAsia="Arial" w:hAnsi="Arial"/>
          <w:sz w:val="22"/>
          <w:szCs w:val="22"/>
        </w:rPr>
        <w:t xml:space="preserve">TopSheet renders £6.5bn with a clip icon. User clicks → UI queries evidence_citations WHERE field_key='deals.enterprise_value:26' → shows snippet + page + PDF link.</w:t>
      </w:r>
    </w:p>
    <w:p>
      <w:pPr>
        <w:pStyle w:val="ListParagraph"/>
        <w:numPr>
          <w:ilvl w:val="0"/>
          <w:numId w:val="2"/>
        </w:numPr>
        <w:spacing w:after="60"/>
      </w:pPr>
      <w:r>
        <w:rPr>
          <w:rFonts w:ascii="Arial" w:cs="Arial" w:eastAsia="Arial" w:hAnsi="Arial"/>
          <w:sz w:val="22"/>
          <w:szCs w:val="22"/>
        </w:rPr>
        <w:t xml:space="preserve">IC pack snapshot taken on 2026-06-30. topsheet_snapshot_field_citations row pinned with the same values — copy, not reference. Remains immutable.</w:t>
      </w:r>
    </w:p>
    <w:p>
      <w:pPr>
        <w:pStyle w:val="ListParagraph"/>
        <w:numPr>
          <w:ilvl w:val="0"/>
          <w:numId w:val="2"/>
        </w:numPr>
        <w:spacing w:after="60"/>
      </w:pPr>
      <w:r>
        <w:rPr>
          <w:rFonts w:ascii="Arial" w:cs="Arial" w:eastAsia="Arial" w:hAnsi="Arial"/>
          <w:sz w:val="22"/>
          <w:szCs w:val="22"/>
        </w:rPr>
        <w:t xml:space="preserve">December 2026: Fitch issues a new report. incoming_documents, documents, document_supersessions, and evidence_citations all get fresh rows. The June 2026 snapshot remains unchanged.</w:t>
      </w:r>
    </w:p>
    <w:p>
      <w:pPr>
        <w:pStyle w:val="Heading2"/>
        <w:spacing w:after="120" w:before="240"/>
      </w:pPr>
      <w:r>
        <w:rPr>
          <w:rFonts w:ascii="Arial" w:cs="Arial" w:eastAsia="Arial" w:hAnsi="Arial"/>
          <w:b/>
          <w:bCs/>
          <w:color w:val="263849"/>
          <w:sz w:val="30"/>
          <w:szCs w:val="30"/>
        </w:rPr>
        <w:t xml:space="preserve">9.7 Related tables</w:t>
      </w:r>
    </w:p>
    <w:p>
      <w:pPr>
        <w:pStyle w:val="ListParagraph"/>
        <w:numPr>
          <w:ilvl w:val="0"/>
          <w:numId w:val="2"/>
        </w:numPr>
        <w:spacing w:after="60"/>
      </w:pPr>
      <w:r>
        <w:rPr>
          <w:rFonts w:ascii="Arial" w:cs="Arial" w:eastAsia="Arial" w:hAnsi="Arial"/>
          <w:sz w:val="22"/>
          <w:szCs w:val="22"/>
        </w:rPr>
        <w:t xml:space="preserve">document_supersessions — audited replaces unaudited, tracks prior versions and downstream recomputation.</w:t>
      </w:r>
    </w:p>
    <w:p>
      <w:pPr>
        <w:pStyle w:val="ListParagraph"/>
        <w:numPr>
          <w:ilvl w:val="0"/>
          <w:numId w:val="2"/>
        </w:numPr>
        <w:spacing w:after="60"/>
      </w:pPr>
      <w:r>
        <w:rPr>
          <w:rFonts w:ascii="Arial" w:cs="Arial" w:eastAsia="Arial" w:hAnsi="Arial"/>
          <w:sz w:val="22"/>
          <w:szCs w:val="22"/>
        </w:rPr>
        <w:t xml:space="preserve">document_processing_runs — stage-level extraction audit: classify / extract / validate / commit.</w:t>
      </w:r>
    </w:p>
    <w:p>
      <w:pPr>
        <w:pStyle w:val="ListParagraph"/>
        <w:numPr>
          <w:ilvl w:val="0"/>
          <w:numId w:val="2"/>
        </w:numPr>
        <w:spacing w:after="60"/>
      </w:pPr>
      <w:r>
        <w:rPr>
          <w:rFonts w:ascii="Arial" w:cs="Arial" w:eastAsia="Arial" w:hAnsi="Arial"/>
          <w:sz w:val="22"/>
          <w:szCs w:val="22"/>
        </w:rPr>
        <w:t xml:space="preserve">ai_audit_logs — prompt, tool calls, model version, confidence per AI-assisted extraction.</w:t>
      </w:r>
    </w:p>
    <w:p>
      <w:pPr>
        <w:pStyle w:val="ListParagraph"/>
        <w:numPr>
          <w:ilvl w:val="0"/>
          <w:numId w:val="2"/>
        </w:numPr>
        <w:spacing w:after="60"/>
      </w:pPr>
      <w:r>
        <w:rPr>
          <w:rFonts w:ascii="Arial" w:cs="Arial" w:eastAsia="Arial" w:hAnsi="Arial"/>
          <w:sz w:val="22"/>
          <w:szCs w:val="22"/>
        </w:rPr>
        <w:t xml:space="preserve">incoming_document_proposals — pre-approval field-level proposals from AI extraction (Bronze → Silver gate).</w:t>
      </w:r>
    </w:p>
    <w:p>
      <w:pPr>
        <w:pStyle w:val="ListParagraph"/>
        <w:numPr>
          <w:ilvl w:val="0"/>
          <w:numId w:val="2"/>
        </w:numPr>
        <w:spacing w:after="60"/>
      </w:pPr>
      <w:r>
        <w:rPr>
          <w:rFonts w:ascii="Arial" w:cs="Arial" w:eastAsia="Arial" w:hAnsi="Arial"/>
          <w:sz w:val="22"/>
          <w:szCs w:val="22"/>
        </w:rPr>
        <w:t xml:space="preserve">topsheet_snapshot_provenance — event-level context ('why was this snapshot taken').</w:t>
      </w:r>
    </w:p>
    <w:p>
      <w:pPr>
        <w:pStyle w:val="ListParagraph"/>
        <w:numPr>
          <w:ilvl w:val="0"/>
          <w:numId w:val="2"/>
        </w:numPr>
        <w:spacing w:after="60"/>
      </w:pPr>
      <w:r>
        <w:rPr>
          <w:rFonts w:ascii="Arial" w:cs="Arial" w:eastAsia="Arial" w:hAnsi="Arial"/>
          <w:sz w:val="22"/>
          <w:szCs w:val="22"/>
        </w:rPr>
        <w:t xml:space="preserve">topsheet_snapshot_field_citations — field-level pinned citations (this chapter's focus).</w:t>
      </w:r>
    </w:p>
    <w:p>
      <w:pPr>
        <w:pStyle w:val="ListParagraph"/>
        <w:numPr>
          <w:ilvl w:val="0"/>
          <w:numId w:val="2"/>
        </w:numPr>
        <w:spacing w:after="60"/>
      </w:pPr>
      <w:r>
        <w:rPr>
          <w:rFonts w:ascii="Arial" w:cs="Arial" w:eastAsia="Arial" w:hAnsi="Arial"/>
          <w:sz w:val="22"/>
          <w:szCs w:val="22"/>
        </w:rPr>
        <w:t xml:space="preserve">Documentation: docs/architecture/audit-trail.md.</w:t>
      </w:r>
    </w:p>
    <w:p>
      <w:pPr>
        <w:pStyle w:val="Heading1"/>
        <w:pageBreakBefore/>
        <w:spacing w:after="180" w:before="240"/>
      </w:pPr>
      <w:r>
        <w:rPr>
          <w:rFonts w:ascii="Arial" w:cs="Arial" w:eastAsia="Arial" w:hAnsi="Arial"/>
          <w:b/>
          <w:bCs/>
          <w:color w:val="1F6FA5"/>
          <w:sz w:val="40"/>
          <w:szCs w:val="40"/>
        </w:rPr>
        <w:t xml:space="preserve">10. Portfolio dashboard and aggregations</w:t>
      </w:r>
    </w:p>
    <w:p>
      <w:pPr>
        <w:pStyle w:val="Heading2"/>
        <w:spacing w:after="120" w:before="240"/>
      </w:pPr>
      <w:r>
        <w:rPr>
          <w:rFonts w:ascii="Arial" w:cs="Arial" w:eastAsia="Arial" w:hAnsi="Arial"/>
          <w:b/>
          <w:bCs/>
          <w:color w:val="263849"/>
          <w:sz w:val="30"/>
          <w:szCs w:val="30"/>
        </w:rPr>
        <w:t xml:space="preserve">10.1 What it is</w:t>
      </w:r>
    </w:p>
    <w:p>
      <w:pPr>
        <w:spacing w:after="140" w:line="280"/>
        <w:jc w:val="both"/>
      </w:pPr>
      <w:r>
        <w:rPr>
          <w:rFonts w:ascii="Arial" w:cs="Arial" w:eastAsia="Arial" w:hAnsi="Arial"/>
          <w:sz w:val="22"/>
          <w:szCs w:val="22"/>
        </w:rPr>
        <w:t xml:space="preserve">The portfolio dashboard — located at /jps — is the head-of-portfolio view. A single scrollable page that aggregates across all deals the current viewer has permission to see. KPI strip at the top, composition charts, performance charts, attention lists, and a sortable/filterable deal table.</w:t>
      </w:r>
    </w:p>
    <w:p>
      <w:pPr>
        <w:pStyle w:val="Heading2"/>
        <w:spacing w:after="120" w:before="240"/>
      </w:pPr>
      <w:r>
        <w:rPr>
          <w:rFonts w:ascii="Arial" w:cs="Arial" w:eastAsia="Arial" w:hAnsi="Arial"/>
          <w:b/>
          <w:bCs/>
          <w:color w:val="263849"/>
          <w:sz w:val="30"/>
          <w:szCs w:val="30"/>
        </w:rPr>
        <w:t xml:space="preserve">10.2 Dashboard structure</w:t>
      </w:r>
    </w:p>
    <w:p>
      <w:pPr>
        <w:pStyle w:val="ListParagraph"/>
        <w:numPr>
          <w:ilvl w:val="0"/>
          <w:numId w:val="2"/>
        </w:numPr>
        <w:spacing w:after="60"/>
      </w:pPr>
      <w:r>
        <w:rPr>
          <w:rFonts w:ascii="Arial" w:cs="Arial" w:eastAsia="Arial" w:hAnsi="Arial"/>
          <w:b/>
          <w:bCs/>
          <w:sz w:val="22"/>
          <w:szCs w:val="22"/>
        </w:rPr>
        <w:t xml:space="preserve">KPI strip — Row 1  —  </w:t>
      </w:r>
      <w:r>
        <w:rPr>
          <w:rFonts w:ascii="Arial" w:cs="Arial" w:eastAsia="Arial" w:hAnsi="Arial"/>
          <w:sz w:val="22"/>
          <w:szCs w:val="22"/>
        </w:rPr>
        <w:t xml:space="preserve">Seven tiles: Exposure · Deals · WA Rating · WA Spread · WA Life · WA DSCR · ND:EBITDA · Headroom · Watchlist. Tone-coloured (good/warning/critical) by threshold.</w:t>
      </w:r>
    </w:p>
    <w:p>
      <w:pPr>
        <w:pStyle w:val="ListParagraph"/>
        <w:numPr>
          <w:ilvl w:val="0"/>
          <w:numId w:val="2"/>
        </w:numPr>
        <w:spacing w:after="60"/>
      </w:pPr>
      <w:r>
        <w:rPr>
          <w:rFonts w:ascii="Arial" w:cs="Arial" w:eastAsia="Arial" w:hAnsi="Arial"/>
          <w:b/>
          <w:bCs/>
          <w:sz w:val="22"/>
          <w:szCs w:val="22"/>
        </w:rPr>
        <w:t xml:space="preserve">Composition — Row 2  —  </w:t>
      </w:r>
      <w:r>
        <w:rPr>
          <w:rFonts w:ascii="Arial" w:cs="Arial" w:eastAsia="Arial" w:hAnsi="Arial"/>
          <w:sz w:val="22"/>
          <w:szCs w:val="22"/>
        </w:rPr>
        <w:t xml:space="preserve">Sector treemap · Country donut · Security Ranking donut · Instrument Format donut.</w:t>
      </w:r>
    </w:p>
    <w:p>
      <w:pPr>
        <w:pStyle w:val="ListParagraph"/>
        <w:numPr>
          <w:ilvl w:val="0"/>
          <w:numId w:val="2"/>
        </w:numPr>
        <w:spacing w:after="60"/>
      </w:pPr>
      <w:r>
        <w:rPr>
          <w:rFonts w:ascii="Arial" w:cs="Arial" w:eastAsia="Arial" w:hAnsi="Arial"/>
          <w:b/>
          <w:bCs/>
          <w:sz w:val="22"/>
          <w:szCs w:val="22"/>
        </w:rPr>
        <w:t xml:space="preserve">Performance — Row 3  —  </w:t>
      </w:r>
      <w:r>
        <w:rPr>
          <w:rFonts w:ascii="Arial" w:cs="Arial" w:eastAsia="Arial" w:hAnsi="Arial"/>
          <w:sz w:val="22"/>
          <w:szCs w:val="22"/>
        </w:rPr>
        <w:t xml:space="preserve">Credit Rating distribution · Grade distribution · Trend donut · Covenant status donut.</w:t>
      </w:r>
    </w:p>
    <w:p>
      <w:pPr>
        <w:pStyle w:val="ListParagraph"/>
        <w:numPr>
          <w:ilvl w:val="0"/>
          <w:numId w:val="2"/>
        </w:numPr>
        <w:spacing w:after="60"/>
      </w:pPr>
      <w:r>
        <w:rPr>
          <w:rFonts w:ascii="Arial" w:cs="Arial" w:eastAsia="Arial" w:hAnsi="Arial"/>
          <w:b/>
          <w:bCs/>
          <w:sz w:val="22"/>
          <w:szCs w:val="22"/>
        </w:rPr>
        <w:t xml:space="preserve">Attention lists — Row 4  —  </w:t>
      </w:r>
      <w:r>
        <w:rPr>
          <w:rFonts w:ascii="Arial" w:cs="Arial" w:eastAsia="Arial" w:hAnsi="Arial"/>
          <w:sz w:val="22"/>
          <w:szCs w:val="22"/>
        </w:rPr>
        <w:t xml:space="preserve">Watchlist (top 5), Deteriorating (top 5), Covenant breaches (top 5).</w:t>
      </w:r>
    </w:p>
    <w:p>
      <w:pPr>
        <w:pStyle w:val="ListParagraph"/>
        <w:numPr>
          <w:ilvl w:val="0"/>
          <w:numId w:val="2"/>
        </w:numPr>
        <w:spacing w:after="60"/>
      </w:pPr>
      <w:r>
        <w:rPr>
          <w:rFonts w:ascii="Arial" w:cs="Arial" w:eastAsia="Arial" w:hAnsi="Arial"/>
          <w:b/>
          <w:bCs/>
          <w:sz w:val="22"/>
          <w:szCs w:val="22"/>
        </w:rPr>
        <w:t xml:space="preserve">Deal table — Row 5  —  </w:t>
      </w:r>
      <w:r>
        <w:rPr>
          <w:rFonts w:ascii="Arial" w:cs="Arial" w:eastAsia="Arial" w:hAnsi="Arial"/>
          <w:sz w:val="22"/>
          <w:szCs w:val="22"/>
        </w:rPr>
        <w:t xml:space="preserve">Sortable by any column (click header), filterable by organisation/owner/sector/grade/watchlist/search. Summary updates dynamically to reflect the active filter.</w:t>
      </w:r>
    </w:p>
    <w:p>
      <w:pPr>
        <w:pStyle w:val="Heading2"/>
        <w:spacing w:after="120" w:before="240"/>
      </w:pPr>
      <w:r>
        <w:rPr>
          <w:rFonts w:ascii="Arial" w:cs="Arial" w:eastAsia="Arial" w:hAnsi="Arial"/>
          <w:b/>
          <w:bCs/>
          <w:color w:val="263849"/>
          <w:sz w:val="30"/>
          <w:szCs w:val="30"/>
        </w:rPr>
        <w:t xml:space="preserve">10.3 Weighted-average formulas</w:t>
      </w:r>
    </w:p>
    <w:p>
      <w:pPr>
        <w:spacing w:after="80"/>
      </w:pPr>
      <w:r>
        <w:rPr>
          <w:rFonts w:ascii="Arial" w:cs="Arial" w:eastAsia="Arial" w:hAnsi="Arial"/>
          <w:b/>
          <w:bCs/>
          <w:sz w:val="22"/>
          <w:szCs w:val="22"/>
        </w:rPr>
        <w:t xml:space="preserve">Weighted Average Credit Rating</w:t>
      </w:r>
    </w:p>
    <w:p>
      <w:pPr>
        <w:spacing w:after="140" w:line="280"/>
        <w:jc w:val="both"/>
      </w:pPr>
      <w:r>
        <w:rPr>
          <w:rFonts w:ascii="Arial" w:cs="Arial" w:eastAsia="Arial" w:hAnsi="Arial"/>
          <w:sz w:val="22"/>
          <w:szCs w:val="22"/>
        </w:rPr>
        <w:t xml:space="preserve">All ratings converted to the Moody's scale (S&amp;P BBB- ↔ Baa3; A+ ↔ A1; etc.).</w:t>
      </w:r>
    </w:p>
    <w:p>
      <w:pPr>
        <w:spacing w:after="140" w:line="280"/>
        <w:jc w:val="both"/>
      </w:pPr>
      <w:r>
        <w:rPr>
          <w:rFonts w:ascii="Arial" w:cs="Arial" w:eastAsia="Arial" w:hAnsi="Arial"/>
          <w:sz w:val="22"/>
          <w:szCs w:val="22"/>
        </w:rPr>
        <w:t xml:space="preserve">If three external agencies: use the median. If two: use the lower. If one: use that. If unrated: use internal credit score. Per-deal numeric rating × exposure, summed and divided by total exposure, rounded to the nearest integer, converted back to the Moody's label.</w:t>
      </w:r>
    </w:p>
    <w:p>
      <w:pPr>
        <w:spacing w:after="80"/>
      </w:pPr>
      <w:r>
        <w:rPr>
          <w:rFonts w:ascii="Arial" w:cs="Arial" w:eastAsia="Arial" w:hAnsi="Arial"/>
          <w:b/>
          <w:bCs/>
          <w:sz w:val="22"/>
          <w:szCs w:val="22"/>
        </w:rPr>
        <w:t xml:space="preserve">Weighted Average DSCR</w:t>
      </w:r>
    </w:p>
    <w:p>
      <w:pPr>
        <w:spacing w:after="80"/>
      </w:pPr>
      <w:r>
        <w:rPr>
          <w:rFonts w:ascii="Consolas" w:cs="Consolas" w:eastAsia="Consolas" w:hAnsi="Consolas"/>
          <w:color w:val="444444"/>
          <w:sz w:val="20"/>
          <w:szCs w:val="20"/>
        </w:rPr>
        <w:t xml:space="preserve">WA DSCR = SUM(exposure × reported_dscr) / SUM(exposure)     (only deals with non-null DSCR)</w:t>
      </w:r>
    </w:p>
    <w:p>
      <w:pPr>
        <w:spacing w:after="80"/>
      </w:pPr>
      <w:r>
        <w:rPr>
          <w:rFonts w:ascii="Arial" w:cs="Arial" w:eastAsia="Arial" w:hAnsi="Arial"/>
          <w:b/>
          <w:bCs/>
          <w:sz w:val="22"/>
          <w:szCs w:val="22"/>
        </w:rPr>
        <w:t xml:space="preserve">Weighted Average Spread</w:t>
      </w:r>
    </w:p>
    <w:p>
      <w:pPr>
        <w:spacing w:after="140" w:line="280"/>
        <w:jc w:val="both"/>
      </w:pPr>
      <w:r>
        <w:rPr>
          <w:rFonts w:ascii="Arial" w:cs="Arial" w:eastAsia="Arial" w:hAnsi="Arial"/>
          <w:sz w:val="22"/>
          <w:szCs w:val="22"/>
        </w:rPr>
        <w:t xml:space="preserve">Per-deal WA spread = ROUND(SUM(drawn × COALESCE(spread_bps, margin_bps)) / SUM(drawn)).</w:t>
      </w:r>
    </w:p>
    <w:p>
      <w:pPr>
        <w:spacing w:after="140" w:line="280"/>
        <w:jc w:val="both"/>
      </w:pPr>
      <w:r>
        <w:rPr>
          <w:rFonts w:ascii="Arial" w:cs="Arial" w:eastAsia="Arial" w:hAnsi="Arial"/>
          <w:sz w:val="22"/>
          <w:szCs w:val="22"/>
        </w:rPr>
        <w:t xml:space="preserve">Portfolio WA spread = SUM(deal_exposure × deal_wa_spread) / SUM(deal_exposure).</w:t>
      </w:r>
    </w:p>
    <w:p>
      <w:pPr>
        <w:spacing w:after="80"/>
      </w:pPr>
      <w:r>
        <w:rPr>
          <w:rFonts w:ascii="Arial" w:cs="Arial" w:eastAsia="Arial" w:hAnsi="Arial"/>
          <w:b/>
          <w:bCs/>
          <w:sz w:val="22"/>
          <w:szCs w:val="22"/>
        </w:rPr>
        <w:t xml:space="preserve">Weighted Average Life</w:t>
      </w:r>
    </w:p>
    <w:p>
      <w:pPr>
        <w:spacing w:after="80"/>
      </w:pPr>
      <w:r>
        <w:rPr>
          <w:rFonts w:ascii="Consolas" w:cs="Consolas" w:eastAsia="Consolas" w:hAnsi="Consolas"/>
          <w:color w:val="444444"/>
          <w:sz w:val="20"/>
          <w:szCs w:val="20"/>
        </w:rPr>
        <w:t xml:space="preserve">WA Life = SUM(exposure × wal_years) / SUM(exposure)     (exposure-weighted)</w:t>
      </w:r>
    </w:p>
    <w:p>
      <w:pPr>
        <w:pStyle w:val="Heading2"/>
        <w:spacing w:after="120" w:before="240"/>
      </w:pPr>
      <w:r>
        <w:rPr>
          <w:rFonts w:ascii="Arial" w:cs="Arial" w:eastAsia="Arial" w:hAnsi="Arial"/>
          <w:b/>
          <w:bCs/>
          <w:color w:val="263849"/>
          <w:sz w:val="30"/>
          <w:szCs w:val="30"/>
        </w:rPr>
        <w:t xml:space="preserve">10.4 FX at aggregation</w:t>
      </w:r>
    </w:p>
    <w:p>
      <w:pPr>
        <w:spacing w:after="140" w:line="280"/>
        <w:jc w:val="both"/>
      </w:pPr>
      <w:r>
        <w:rPr>
          <w:rFonts w:ascii="Arial" w:cs="Arial" w:eastAsia="Arial" w:hAnsi="Arial"/>
          <w:sz w:val="22"/>
          <w:szCs w:val="22"/>
        </w:rPr>
        <w:t xml:space="preserve">Deal-level metrics are in native currency. The portfolio API converts all monetary aggregates at spot to the selected reporting currency (GBP / USD / EUR). FX rates are held as EUR-base reference rates in fx_rates, snapshot time-series. Cross-rates are computed: amount_in_target = amount × (rate(EUR, target) / rate(EUR, source)).</w:t>
      </w:r>
    </w:p>
    <w:p>
      <w:pPr>
        <w:spacing w:after="140" w:line="280"/>
        <w:jc w:val="both"/>
      </w:pPr>
      <w:r>
        <w:rPr>
          <w:rFonts w:ascii="Arial" w:cs="Arial" w:eastAsia="Arial" w:hAnsi="Arial"/>
          <w:sz w:val="22"/>
          <w:szCs w:val="22"/>
        </w:rPr>
        <w:t xml:space="preserve">13 currencies seeded as at 2026-04-14, source 'ECB-seed': EUR, USD, GBP, JPY, CHF, AUD, CAD, NOK, SEK, DKK, NZD, SGD, HKD.</w:t>
      </w:r>
    </w:p>
    <w:p>
      <w:pPr>
        <w:spacing w:after="140" w:line="280"/>
        <w:jc w:val="both"/>
      </w:pPr>
      <w:r>
        <w:rPr>
          <w:rFonts w:ascii="Arial" w:cs="Arial" w:eastAsia="Arial" w:hAnsi="Arial"/>
          <w:sz w:val="22"/>
          <w:szCs w:val="22"/>
        </w:rPr>
        <w:t xml:space="preserve">UI: currency toggle (£ / $ / €) in the /jps header, persists to URL and localStorage.</w:t>
      </w:r>
    </w:p>
    <w:p>
      <w:pPr>
        <w:pStyle w:val="Heading2"/>
        <w:spacing w:after="120" w:before="240"/>
      </w:pPr>
      <w:r>
        <w:rPr>
          <w:rFonts w:ascii="Arial" w:cs="Arial" w:eastAsia="Arial" w:hAnsi="Arial"/>
          <w:b/>
          <w:bCs/>
          <w:color w:val="263849"/>
          <w:sz w:val="30"/>
          <w:szCs w:val="30"/>
        </w:rPr>
        <w:t xml:space="preserve">10.5 Technical specification</w:t>
      </w:r>
    </w:p>
    <w:p>
      <w:pPr>
        <w:pStyle w:val="ListParagraph"/>
        <w:numPr>
          <w:ilvl w:val="0"/>
          <w:numId w:val="2"/>
        </w:numPr>
        <w:spacing w:after="60"/>
      </w:pPr>
      <w:r>
        <w:rPr>
          <w:rFonts w:ascii="Arial" w:cs="Arial" w:eastAsia="Arial" w:hAnsi="Arial"/>
          <w:sz w:val="22"/>
          <w:szCs w:val="22"/>
        </w:rPr>
        <w:t xml:space="preserve">UI: client/app/jps/page.tsx + client/app/jps/portfolio-summary.tsx + client/app/jps/jps-filter-grid.tsx.</w:t>
      </w:r>
    </w:p>
    <w:p>
      <w:pPr>
        <w:pStyle w:val="ListParagraph"/>
        <w:numPr>
          <w:ilvl w:val="0"/>
          <w:numId w:val="2"/>
        </w:numPr>
        <w:spacing w:after="60"/>
      </w:pPr>
      <w:r>
        <w:rPr>
          <w:rFonts w:ascii="Arial" w:cs="Arial" w:eastAsia="Arial" w:hAnsi="Arial"/>
          <w:sz w:val="22"/>
          <w:szCs w:val="22"/>
        </w:rPr>
        <w:t xml:space="preserve">API: /api/portfolio?reporting_currency=GBP|USD|EUR returns PortfolioResponse with deals[], hierarchy (organisations, owners, accounts), selected/available filters, summary (totals), holdings, weightedAvgDscr, weightedAvgHeadroomPct, healthInputs, gradeDistribution, distributionSummary, covenantHeatmap.</w:t>
      </w:r>
    </w:p>
    <w:p>
      <w:pPr>
        <w:pStyle w:val="ListParagraph"/>
        <w:numPr>
          <w:ilvl w:val="0"/>
          <w:numId w:val="2"/>
        </w:numPr>
        <w:spacing w:after="60"/>
      </w:pPr>
      <w:r>
        <w:rPr>
          <w:rFonts w:ascii="Arial" w:cs="Arial" w:eastAsia="Arial" w:hAnsi="Arial"/>
          <w:sz w:val="22"/>
          <w:szCs w:val="22"/>
        </w:rPr>
        <w:t xml:space="preserve">Charts: Recharts — Bar, Treemap, Pie (donut).</w:t>
      </w:r>
    </w:p>
    <w:p>
      <w:pPr>
        <w:pStyle w:val="ListParagraph"/>
        <w:numPr>
          <w:ilvl w:val="0"/>
          <w:numId w:val="2"/>
        </w:numPr>
        <w:spacing w:after="60"/>
      </w:pPr>
      <w:r>
        <w:rPr>
          <w:rFonts w:ascii="Arial" w:cs="Arial" w:eastAsia="Arial" w:hAnsi="Arial"/>
          <w:sz w:val="22"/>
          <w:szCs w:val="22"/>
        </w:rPr>
        <w:t xml:space="preserve">Print support: /jps has a print button that produces a 2-page A4 landscape PDF-ready print view.</w:t>
      </w:r>
    </w:p>
    <w:p>
      <w:pPr>
        <w:pStyle w:val="Heading1"/>
        <w:pageBreakBefore/>
        <w:spacing w:after="180" w:before="240"/>
      </w:pPr>
      <w:r>
        <w:rPr>
          <w:rFonts w:ascii="Arial" w:cs="Arial" w:eastAsia="Arial" w:hAnsi="Arial"/>
          <w:b/>
          <w:bCs/>
          <w:color w:val="1F6FA5"/>
          <w:sz w:val="40"/>
          <w:szCs w:val="40"/>
        </w:rPr>
        <w:t xml:space="preserve">11. TopSheet Excel template</w:t>
      </w:r>
    </w:p>
    <w:p>
      <w:pPr>
        <w:pStyle w:val="Heading2"/>
        <w:spacing w:after="120" w:before="240"/>
      </w:pPr>
      <w:r>
        <w:rPr>
          <w:rFonts w:ascii="Arial" w:cs="Arial" w:eastAsia="Arial" w:hAnsi="Arial"/>
          <w:b/>
          <w:bCs/>
          <w:color w:val="263849"/>
          <w:sz w:val="30"/>
          <w:szCs w:val="30"/>
        </w:rPr>
        <w:t xml:space="preserve">11.1 What it is</w:t>
      </w:r>
    </w:p>
    <w:p>
      <w:pPr>
        <w:spacing w:after="140" w:line="280"/>
        <w:jc w:val="both"/>
      </w:pPr>
      <w:r>
        <w:rPr>
          <w:rFonts w:ascii="Arial" w:cs="Arial" w:eastAsia="Arial" w:hAnsi="Arial"/>
          <w:sz w:val="22"/>
          <w:szCs w:val="22"/>
        </w:rPr>
        <w:t xml:space="preserve">The Excel template is the primary data-entry interface for onboarding a new deal. A workbook of 27 tabs covering every field the platform stores per deal — identity, capital structure, covenants, risk register, KPI scenario series, distribution conditions, onboarding snapshot. An analyst fills it in once at investment; the importer parses each tab and populates the corresponding database tables.</w:t>
      </w:r>
    </w:p>
    <w:p>
      <w:pPr>
        <w:spacing w:after="140" w:line="280"/>
        <w:jc w:val="both"/>
      </w:pPr>
      <w:r>
        <w:rPr>
          <w:rFonts w:ascii="Arial" w:cs="Arial" w:eastAsia="Arial" w:hAnsi="Arial"/>
          <w:sz w:val="22"/>
          <w:szCs w:val="22"/>
        </w:rPr>
        <w:t xml:space="preserve">Keeping the template as a spreadsheet (rather than a web form) is deliberate. Analysts already work in Excel, have their own reference copies of compliance certificates and memos open on the same screen, and can copy-paste across sheets. The platform's job is to be a good citizen of that workflow — to accept an Excel file as input and to generate an Excel file as a blank template for a new deal.</w:t>
      </w:r>
    </w:p>
    <w:p>
      <w:pPr>
        <w:pStyle w:val="Heading2"/>
        <w:spacing w:after="120" w:before="240"/>
      </w:pPr>
      <w:r>
        <w:rPr>
          <w:rFonts w:ascii="Arial" w:cs="Arial" w:eastAsia="Arial" w:hAnsi="Arial"/>
          <w:b/>
          <w:bCs/>
          <w:color w:val="263849"/>
          <w:sz w:val="30"/>
          <w:szCs w:val="30"/>
        </w:rPr>
        <w:t xml:space="preserve">11.2 Tab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Tab</w:t>
            </w:r>
          </w:p>
        </w:tc>
        <w:tc>
          <w:tcPr>
            <w:tcW w:type="dxa" w:w="3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Name</w:t>
            </w:r>
          </w:p>
        </w:tc>
        <w:tc>
          <w:tcPr>
            <w:tcW w:type="dxa" w:w="4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Deal Identity</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Basic facts + Distribution Mechanics block (v8). Key-value layout.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Capital Structure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row per instrument. 34 columns in v9 including pricing decomposition (coupon / base / spread / benchmark) and loan fees.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2b</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Margin Ratchets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Child of Tab 2. One row per ratchet tier — base margin ratchets and ESG SPT adjustments. NEW in v9.</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Reserve Accounts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DSRA, MRA, liquidity facilities.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Counterparties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Offtakers, arrangers, servicers, etc.</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Hedging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Derivatives portfolio.</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Jurisdictions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Revenue / operations split by country (must sum to 100%).</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Corporate Entities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Entity map incl. ownership / control / consolidation fields (v8).</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Covenant Thresholds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Per-covenant 3-tier thresholds incl. ratio_level (v8).</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KPI Scenario Series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Time-series KPI expectations. One row per (scenario × period × KPI) — scenario_kind, stress_label, driving_risk_ref, period_flag, value. NEW in v9 (retires the old Tab 9 'KPI Targets' which stored scalars).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Financial Template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Sector template selection + per-deal line item labels.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Development Phases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Construction / ramp / stabilisation / operating.</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Consent Mechanics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Voting, majority thresholds, all-lender matters.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Holdings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Which accounts hold this deal and how much.</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13B</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Investors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External investors and their mandates.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13C</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Intercreditor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Intercreditor provisions.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Enforcement Classes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 multi-class capital structures (WBS, bond structures).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Development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Alternate name; development phases block for ingestion.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17</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Investor Allocations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Bilateral allocations to funds.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18</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Intercreditor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intercreditor agreement terms.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19</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Actuals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Borrower-reported actuals per period.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20</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Onboarding Snapshot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Write-once freeze at IC approval. Structural + financial + stress + governance + economics + market + risk.</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21</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Obligations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Every deliverable obligation in the finance docs. Drives the Deliverables Calendar.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22</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Distribution Conditions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lock-up / trigger / EOD register. 16 columns covering category, consequence tier, test type, threshold, escalation periods.</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23</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Metadata</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Template version, author, date of capture.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Validation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(helper sheet)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Instructions and completion checklist.</w:t>
            </w:r>
          </w:p>
        </w:tc>
      </w:tr>
    </w:tbl>
    <w:p>
      <w:pPr>
        <w:pStyle w:val="Heading2"/>
        <w:spacing w:after="120" w:before="240"/>
      </w:pPr>
      <w:r>
        <w:rPr>
          <w:rFonts w:ascii="Arial" w:cs="Arial" w:eastAsia="Arial" w:hAnsi="Arial"/>
          <w:b/>
          <w:bCs/>
          <w:color w:val="263849"/>
          <w:sz w:val="30"/>
          <w:szCs w:val="30"/>
        </w:rPr>
        <w:t xml:space="preserve">11.3 Download</w:t>
      </w:r>
    </w:p>
    <w:p>
      <w:pPr>
        <w:spacing w:after="140" w:line="280"/>
        <w:jc w:val="both"/>
      </w:pPr>
      <w:r>
        <w:rPr>
          <w:rFonts w:ascii="Arial" w:cs="Arial" w:eastAsia="Arial" w:hAnsi="Arial"/>
          <w:sz w:val="22"/>
          <w:szCs w:val="22"/>
        </w:rPr>
        <w:t xml:space="preserve">The generated workbook is published at docs/topsheet-data-template-v9.xlsx and served from the Plumbing page's TopSheet section. The Python generator (scripts/create-topsheet-template.py) writes to both docs/ and client/public/ so documentation and download stay in lock-step.</w:t>
      </w:r>
    </w:p>
    <w:p>
      <w:pPr>
        <w:pStyle w:val="Heading2"/>
        <w:spacing w:after="120" w:before="240"/>
      </w:pPr>
      <w:r>
        <w:rPr>
          <w:rFonts w:ascii="Arial" w:cs="Arial" w:eastAsia="Arial" w:hAnsi="Arial"/>
          <w:b/>
          <w:bCs/>
          <w:color w:val="263849"/>
          <w:sz w:val="30"/>
          <w:szCs w:val="30"/>
        </w:rPr>
        <w:t xml:space="preserve">11.4 Importer</w:t>
      </w:r>
    </w:p>
    <w:p>
      <w:pPr>
        <w:spacing w:after="140" w:line="280"/>
        <w:jc w:val="both"/>
      </w:pPr>
      <w:r>
        <w:rPr>
          <w:rFonts w:ascii="Arial" w:cs="Arial" w:eastAsia="Arial" w:hAnsi="Arial"/>
          <w:sz w:val="22"/>
          <w:szCs w:val="22"/>
        </w:rPr>
        <w:t xml:space="preserve">server/topsheet_importer.py parses each tab and writes into the corresponding tables. Orchestration: import_topsheet(conn, deal_slug, file_bytes). Per-tab parsers are named parse_{topic}_sheet. Per-table writers follow two patterns: _update_deals_columns for Tab 1-style key-value sheets, and _replace_child_table for row-per-entity tables (cascading replace on re-import).</w:t>
      </w:r>
    </w:p>
    <w:p>
      <w:pPr>
        <w:pStyle w:val="ListParagraph"/>
        <w:numPr>
          <w:ilvl w:val="0"/>
          <w:numId w:val="2"/>
        </w:numPr>
        <w:spacing w:after="60"/>
      </w:pPr>
      <w:r>
        <w:rPr>
          <w:rFonts w:ascii="Arial" w:cs="Arial" w:eastAsia="Arial" w:hAnsi="Arial"/>
          <w:sz w:val="22"/>
          <w:szCs w:val="22"/>
        </w:rPr>
        <w:t xml:space="preserve">Deal identity fields are collected by parse_key_value_sheet across Tabs 1/2 (pre-v9)/4/14/23 and applied atomically.</w:t>
      </w:r>
    </w:p>
    <w:p>
      <w:pPr>
        <w:pStyle w:val="ListParagraph"/>
        <w:numPr>
          <w:ilvl w:val="0"/>
          <w:numId w:val="2"/>
        </w:numPr>
        <w:spacing w:after="60"/>
      </w:pPr>
      <w:r>
        <w:rPr>
          <w:rFonts w:ascii="Arial" w:cs="Arial" w:eastAsia="Arial" w:hAnsi="Arial"/>
          <w:sz w:val="22"/>
          <w:szCs w:val="22"/>
        </w:rPr>
        <w:t xml:space="preserve">Capital structure taxonomy columns (Tab 2 cols R–Y v8) are optional — the parser fills them as None if blank.</w:t>
      </w:r>
    </w:p>
    <w:p>
      <w:pPr>
        <w:pStyle w:val="ListParagraph"/>
        <w:numPr>
          <w:ilvl w:val="0"/>
          <w:numId w:val="2"/>
        </w:numPr>
        <w:spacing w:after="60"/>
      </w:pPr>
      <w:r>
        <w:rPr>
          <w:rFonts w:ascii="Arial" w:cs="Arial" w:eastAsia="Arial" w:hAnsi="Arial"/>
          <w:sz w:val="22"/>
          <w:szCs w:val="22"/>
        </w:rPr>
        <w:t xml:space="preserve">Capital structure economics columns (Tab 2 cols AB–AH v9) are optional — same.</w:t>
      </w:r>
    </w:p>
    <w:p>
      <w:pPr>
        <w:pStyle w:val="ListParagraph"/>
        <w:numPr>
          <w:ilvl w:val="0"/>
          <w:numId w:val="2"/>
        </w:numPr>
        <w:spacing w:after="60"/>
      </w:pPr>
      <w:r>
        <w:rPr>
          <w:rFonts w:ascii="Arial" w:cs="Arial" w:eastAsia="Arial" w:hAnsi="Arial"/>
          <w:sz w:val="22"/>
          <w:szCs w:val="22"/>
        </w:rPr>
        <w:t xml:space="preserve">KPI Scenario Series — the importer creates a new forecast_case per unique (scenario_kind, stress_label) combination, resolves driving_risk_ref to a UUID against the deal_risk_register, and writes forecast_period_items under an active forecast_case_version.</w:t>
      </w:r>
    </w:p>
    <w:p>
      <w:pPr>
        <w:pStyle w:val="ListParagraph"/>
        <w:numPr>
          <w:ilvl w:val="0"/>
          <w:numId w:val="2"/>
        </w:numPr>
        <w:spacing w:after="60"/>
      </w:pPr>
      <w:r>
        <w:rPr>
          <w:rFonts w:ascii="Arial" w:cs="Arial" w:eastAsia="Arial" w:hAnsi="Arial"/>
          <w:sz w:val="22"/>
          <w:szCs w:val="22"/>
        </w:rPr>
        <w:t xml:space="preserve">Child-table re-import pattern: delete existing rows for this deal, re-insert from the sheet. Keeps the sheet authoritative.</w:t>
      </w:r>
    </w:p>
    <w:p>
      <w:pPr>
        <w:pStyle w:val="Heading1"/>
        <w:pageBreakBefore/>
        <w:spacing w:after="180" w:before="240"/>
      </w:pPr>
      <w:r>
        <w:rPr>
          <w:rFonts w:ascii="Arial" w:cs="Arial" w:eastAsia="Arial" w:hAnsi="Arial"/>
          <w:b/>
          <w:bCs/>
          <w:color w:val="1F6FA5"/>
          <w:sz w:val="40"/>
          <w:szCs w:val="40"/>
        </w:rPr>
        <w:t xml:space="preserve">12. Document intake pipeline</w:t>
      </w:r>
    </w:p>
    <w:p>
      <w:pPr>
        <w:pStyle w:val="Heading2"/>
        <w:spacing w:after="120" w:before="240"/>
      </w:pPr>
      <w:r>
        <w:rPr>
          <w:rFonts w:ascii="Arial" w:cs="Arial" w:eastAsia="Arial" w:hAnsi="Arial"/>
          <w:b/>
          <w:bCs/>
          <w:color w:val="263849"/>
          <w:sz w:val="30"/>
          <w:szCs w:val="30"/>
        </w:rPr>
        <w:t xml:space="preserve">12.1 What it is</w:t>
      </w:r>
    </w:p>
    <w:p>
      <w:pPr>
        <w:spacing w:after="140" w:line="280"/>
        <w:jc w:val="both"/>
      </w:pPr>
      <w:r>
        <w:rPr>
          <w:rFonts w:ascii="Arial" w:cs="Arial" w:eastAsia="Arial" w:hAnsi="Arial"/>
          <w:sz w:val="22"/>
          <w:szCs w:val="22"/>
        </w:rPr>
        <w:t xml:space="preserve">When the borrower sends a compliance certificate, audited financials, rating report, or management reporting pack, that document has to be classified, extracted, validated, reviewed, and committed before the underlying data shows up on the TopSheet. The Document Intake pipeline does this as a series of explicit stages — with approvals and rejections at each stage — rather than as a black-box 'upload and hope'.</w:t>
      </w:r>
    </w:p>
    <w:p>
      <w:pPr>
        <w:pStyle w:val="Heading2"/>
        <w:spacing w:after="120" w:before="240"/>
      </w:pPr>
      <w:r>
        <w:rPr>
          <w:rFonts w:ascii="Arial" w:cs="Arial" w:eastAsia="Arial" w:hAnsi="Arial"/>
          <w:b/>
          <w:bCs/>
          <w:color w:val="263849"/>
          <w:sz w:val="30"/>
          <w:szCs w:val="30"/>
        </w:rPr>
        <w:t xml:space="preserve">12.2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Stage</w:t>
            </w:r>
          </w:p>
        </w:tc>
        <w:tc>
          <w:tcPr>
            <w:tcW w:type="dxa" w:w="7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What happens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Receipt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File arrives via email intake, sftp, or manual upload. An incoming_documents row is created with SHA-256, mime, sender, source channel. Immutable.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Classification</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 type assigned: compliance_certificate / audited_financials / rating_report / management_pack / amendment / etc. Period label inferred.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Extraction</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Structured proposals (one per field) written into incoming_document_proposals. For AI-assisted extraction, ai_audit_logs captures prompt, tool calls, model version, confidence.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Validation</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Cross-checks: ratio reconciliation (borrower-reported vs platform-computed), range checks, missing-field checks. Each exception is captured as a compliance exception.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Review</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Analyst reviews proposals in the Review UI. Can accept, reject, edit. A document_processing_runs row records the approval.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Commit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Approved proposals are promoted to canonical rows in the destination tables (actual_periods, period_financial_items, covenant_tests triggered). Grade engine runs automatically if a financial-period document was committed.</w:t>
            </w:r>
          </w:p>
        </w:tc>
      </w:tr>
    </w:tbl>
    <w:p>
      <w:pPr>
        <w:pStyle w:val="Heading2"/>
        <w:spacing w:after="120" w:before="240"/>
      </w:pPr>
      <w:r>
        <w:rPr>
          <w:rFonts w:ascii="Arial" w:cs="Arial" w:eastAsia="Arial" w:hAnsi="Arial"/>
          <w:b/>
          <w:bCs/>
          <w:color w:val="263849"/>
          <w:sz w:val="30"/>
          <w:szCs w:val="30"/>
        </w:rPr>
        <w:t xml:space="preserve">12.3 Tables</w:t>
      </w:r>
    </w:p>
    <w:p>
      <w:pPr>
        <w:pStyle w:val="ListParagraph"/>
        <w:numPr>
          <w:ilvl w:val="0"/>
          <w:numId w:val="2"/>
        </w:numPr>
        <w:spacing w:after="60"/>
      </w:pPr>
      <w:r>
        <w:rPr>
          <w:rFonts w:ascii="Arial" w:cs="Arial" w:eastAsia="Arial" w:hAnsi="Arial"/>
          <w:sz w:val="22"/>
          <w:szCs w:val="22"/>
        </w:rPr>
        <w:t xml:space="preserve">incoming_documents: raw intake (Bronze). Immutable.</w:t>
      </w:r>
    </w:p>
    <w:p>
      <w:pPr>
        <w:pStyle w:val="ListParagraph"/>
        <w:numPr>
          <w:ilvl w:val="0"/>
          <w:numId w:val="2"/>
        </w:numPr>
        <w:spacing w:after="60"/>
      </w:pPr>
      <w:r>
        <w:rPr>
          <w:rFonts w:ascii="Arial" w:cs="Arial" w:eastAsia="Arial" w:hAnsi="Arial"/>
          <w:sz w:val="22"/>
          <w:szCs w:val="22"/>
        </w:rPr>
        <w:t xml:space="preserve">documents: canonical processed record (Silver). Linked via canonical_document_id.</w:t>
      </w:r>
    </w:p>
    <w:p>
      <w:pPr>
        <w:pStyle w:val="ListParagraph"/>
        <w:numPr>
          <w:ilvl w:val="0"/>
          <w:numId w:val="2"/>
        </w:numPr>
        <w:spacing w:after="60"/>
      </w:pPr>
      <w:r>
        <w:rPr>
          <w:rFonts w:ascii="Arial" w:cs="Arial" w:eastAsia="Arial" w:hAnsi="Arial"/>
          <w:sz w:val="22"/>
          <w:szCs w:val="22"/>
        </w:rPr>
        <w:t xml:space="preserve">incoming_document_proposals: pre-approval field-level proposals. Each row is a proposed value for one field_key, with page + snippet evidence and confidence.</w:t>
      </w:r>
    </w:p>
    <w:p>
      <w:pPr>
        <w:pStyle w:val="ListParagraph"/>
        <w:numPr>
          <w:ilvl w:val="0"/>
          <w:numId w:val="2"/>
        </w:numPr>
        <w:spacing w:after="60"/>
      </w:pPr>
      <w:r>
        <w:rPr>
          <w:rFonts w:ascii="Arial" w:cs="Arial" w:eastAsia="Arial" w:hAnsi="Arial"/>
          <w:sz w:val="22"/>
          <w:szCs w:val="22"/>
        </w:rPr>
        <w:t xml:space="preserve">document_processing_runs: audit trail per stage.</w:t>
      </w:r>
    </w:p>
    <w:p>
      <w:pPr>
        <w:pStyle w:val="ListParagraph"/>
        <w:numPr>
          <w:ilvl w:val="0"/>
          <w:numId w:val="2"/>
        </w:numPr>
        <w:spacing w:after="60"/>
      </w:pPr>
      <w:r>
        <w:rPr>
          <w:rFonts w:ascii="Arial" w:cs="Arial" w:eastAsia="Arial" w:hAnsi="Arial"/>
          <w:sz w:val="22"/>
          <w:szCs w:val="22"/>
        </w:rPr>
        <w:t xml:space="preserve">document_supersessions: when a new document replaces an old one (audited replaces unaudited), the prior version is recorded as superseded.</w:t>
      </w:r>
    </w:p>
    <w:p>
      <w:pPr>
        <w:pStyle w:val="ListParagraph"/>
        <w:numPr>
          <w:ilvl w:val="0"/>
          <w:numId w:val="2"/>
        </w:numPr>
        <w:spacing w:after="60"/>
      </w:pPr>
      <w:r>
        <w:rPr>
          <w:rFonts w:ascii="Arial" w:cs="Arial" w:eastAsia="Arial" w:hAnsi="Arial"/>
          <w:sz w:val="22"/>
          <w:szCs w:val="22"/>
        </w:rPr>
        <w:t xml:space="preserve">ai_audit_logs: AI-extraction provenance.</w:t>
      </w:r>
    </w:p>
    <w:p>
      <w:pPr>
        <w:pStyle w:val="ListParagraph"/>
        <w:numPr>
          <w:ilvl w:val="0"/>
          <w:numId w:val="2"/>
        </w:numPr>
        <w:spacing w:after="60"/>
      </w:pPr>
      <w:r>
        <w:rPr>
          <w:rFonts w:ascii="Arial" w:cs="Arial" w:eastAsia="Arial" w:hAnsi="Arial"/>
          <w:sz w:val="22"/>
          <w:szCs w:val="22"/>
        </w:rPr>
        <w:t xml:space="preserve">evidence_citations: column-level citations written at commit time.</w:t>
      </w:r>
    </w:p>
    <w:p>
      <w:pPr>
        <w:pStyle w:val="Heading2"/>
        <w:spacing w:after="120" w:before="240"/>
      </w:pPr>
      <w:r>
        <w:rPr>
          <w:rFonts w:ascii="Arial" w:cs="Arial" w:eastAsia="Arial" w:hAnsi="Arial"/>
          <w:b/>
          <w:bCs/>
          <w:color w:val="263849"/>
          <w:sz w:val="30"/>
          <w:szCs w:val="30"/>
        </w:rPr>
        <w:t xml:space="preserve">12.4 UIs</w:t>
      </w:r>
    </w:p>
    <w:p>
      <w:pPr>
        <w:pStyle w:val="ListParagraph"/>
        <w:numPr>
          <w:ilvl w:val="0"/>
          <w:numId w:val="2"/>
        </w:numPr>
        <w:spacing w:after="60"/>
      </w:pPr>
      <w:r>
        <w:rPr>
          <w:rFonts w:ascii="Arial" w:cs="Arial" w:eastAsia="Arial" w:hAnsi="Arial"/>
          <w:sz w:val="22"/>
          <w:szCs w:val="22"/>
        </w:rPr>
        <w:t xml:space="preserve">/intake — the intake queue (all Bronze documents awaiting classification/routing).</w:t>
      </w:r>
    </w:p>
    <w:p>
      <w:pPr>
        <w:pStyle w:val="ListParagraph"/>
        <w:numPr>
          <w:ilvl w:val="0"/>
          <w:numId w:val="2"/>
        </w:numPr>
        <w:spacing w:after="60"/>
      </w:pPr>
      <w:r>
        <w:rPr>
          <w:rFonts w:ascii="Arial" w:cs="Arial" w:eastAsia="Arial" w:hAnsi="Arial"/>
          <w:sz w:val="22"/>
          <w:szCs w:val="22"/>
        </w:rPr>
        <w:t xml:space="preserve">/compliance/review — the proposal-review queue (Silver → canonical promotion).</w:t>
      </w:r>
    </w:p>
    <w:p>
      <w:pPr>
        <w:pStyle w:val="ListParagraph"/>
        <w:numPr>
          <w:ilvl w:val="0"/>
          <w:numId w:val="2"/>
        </w:numPr>
        <w:spacing w:after="60"/>
      </w:pPr>
      <w:r>
        <w:rPr>
          <w:rFonts w:ascii="Arial" w:cs="Arial" w:eastAsia="Arial" w:hAnsi="Arial"/>
          <w:sz w:val="22"/>
          <w:szCs w:val="22"/>
        </w:rPr>
        <w:t xml:space="preserve">/compliance/exceptions — exceptions triage queue.</w:t>
      </w:r>
    </w:p>
    <w:p>
      <w:pPr>
        <w:pStyle w:val="ListParagraph"/>
        <w:numPr>
          <w:ilvl w:val="0"/>
          <w:numId w:val="2"/>
        </w:numPr>
        <w:spacing w:after="60"/>
      </w:pPr>
      <w:r>
        <w:rPr>
          <w:rFonts w:ascii="Arial" w:cs="Arial" w:eastAsia="Arial" w:hAnsi="Arial"/>
          <w:sz w:val="22"/>
          <w:szCs w:val="22"/>
        </w:rPr>
        <w:t xml:space="preserve">/compliance/obligations — master obligation list for the portfolio.</w:t>
      </w:r>
    </w:p>
    <w:p>
      <w:pPr>
        <w:pStyle w:val="ListParagraph"/>
        <w:numPr>
          <w:ilvl w:val="0"/>
          <w:numId w:val="2"/>
        </w:numPr>
        <w:spacing w:after="60"/>
      </w:pPr>
      <w:r>
        <w:rPr>
          <w:rFonts w:ascii="Arial" w:cs="Arial" w:eastAsia="Arial" w:hAnsi="Arial"/>
          <w:sz w:val="22"/>
          <w:szCs w:val="22"/>
        </w:rPr>
        <w:t xml:space="preserve">/compliance/fulfilments — ticks obligations off as documents arrive.</w:t>
      </w:r>
    </w:p>
    <w:p>
      <w:pPr>
        <w:pStyle w:val="Heading1"/>
        <w:pageBreakBefore/>
        <w:spacing w:after="180" w:before="240"/>
      </w:pPr>
      <w:r>
        <w:rPr>
          <w:rFonts w:ascii="Arial" w:cs="Arial" w:eastAsia="Arial" w:hAnsi="Arial"/>
          <w:b/>
          <w:bCs/>
          <w:color w:val="1F6FA5"/>
          <w:sz w:val="40"/>
          <w:szCs w:val="40"/>
        </w:rPr>
        <w:t xml:space="preserve">13. Deliverables calendar and business day engine</w:t>
      </w:r>
    </w:p>
    <w:p>
      <w:pPr>
        <w:pStyle w:val="Heading2"/>
        <w:spacing w:after="120" w:before="240"/>
      </w:pPr>
      <w:r>
        <w:rPr>
          <w:rFonts w:ascii="Arial" w:cs="Arial" w:eastAsia="Arial" w:hAnsi="Arial"/>
          <w:b/>
          <w:bCs/>
          <w:color w:val="263849"/>
          <w:sz w:val="30"/>
          <w:szCs w:val="30"/>
        </w:rPr>
        <w:t xml:space="preserve">13.1 What it is</w:t>
      </w:r>
    </w:p>
    <w:p>
      <w:pPr>
        <w:spacing w:after="140" w:line="280"/>
        <w:jc w:val="both"/>
      </w:pPr>
      <w:r>
        <w:rPr>
          <w:rFonts w:ascii="Arial" w:cs="Arial" w:eastAsia="Arial" w:hAnsi="Arial"/>
          <w:sz w:val="22"/>
          <w:szCs w:val="22"/>
        </w:rPr>
        <w:t xml:space="preserve">Every reporting obligation from the finance documents — 'Compliance Certificate due 45 business days after each fiscal quarter-end', 'Audited Financials due 120 calendar days after fiscal year-end', etc. — is captured in deal_obligation_register. The platform projects forward from the deal's reporting schedule to produce a deliverables calendar: every upcoming due date, classified by status (upcoming / due soon / overdue / fulfilled), with grace-window logic and business-day math.</w:t>
      </w:r>
    </w:p>
    <w:p>
      <w:pPr>
        <w:spacing w:after="140" w:line="280"/>
        <w:jc w:val="both"/>
      </w:pPr>
      <w:r>
        <w:rPr>
          <w:rFonts w:ascii="Arial" w:cs="Arial" w:eastAsia="Arial" w:hAnsi="Arial"/>
          <w:sz w:val="22"/>
          <w:szCs w:val="22"/>
        </w:rPr>
        <w:t xml:space="preserve">At the portfolio level, the calendar aggregates across deals so compliance ops can scan what's due this week, what's overdue, what's coming in the next 30 days.</w:t>
      </w:r>
    </w:p>
    <w:p>
      <w:pPr>
        <w:pStyle w:val="Heading2"/>
        <w:spacing w:after="120" w:before="240"/>
      </w:pPr>
      <w:r>
        <w:rPr>
          <w:rFonts w:ascii="Arial" w:cs="Arial" w:eastAsia="Arial" w:hAnsi="Arial"/>
          <w:b/>
          <w:bCs/>
          <w:color w:val="263849"/>
          <w:sz w:val="30"/>
          <w:szCs w:val="30"/>
        </w:rPr>
        <w:t xml:space="preserve">13.2 Business day engine</w:t>
      </w:r>
    </w:p>
    <w:p>
      <w:pPr>
        <w:spacing w:after="140" w:line="280"/>
        <w:jc w:val="both"/>
      </w:pPr>
      <w:r>
        <w:rPr>
          <w:rFonts w:ascii="Arial" w:cs="Arial" w:eastAsia="Arial" w:hAnsi="Arial"/>
          <w:sz w:val="22"/>
          <w:szCs w:val="22"/>
        </w:rPr>
        <w:t xml:space="preserve">Because obligations are often expressed in business days (not calendar days), the platform needs a reliable way to add N business days to a date honouring local holidays. The Business Day Engine implements 'modified-following' conventions across 7 jurisdictions: UK, US, EU (settlement), France, Germany, Spain, Japan. 483 holidays seeded for 2020-2030.</w:t>
      </w:r>
    </w:p>
    <w:p>
      <w:pPr>
        <w:pStyle w:val="ListParagraph"/>
        <w:numPr>
          <w:ilvl w:val="0"/>
          <w:numId w:val="2"/>
        </w:numPr>
        <w:spacing w:after="60"/>
      </w:pPr>
      <w:r>
        <w:rPr>
          <w:rFonts w:ascii="Arial" w:cs="Arial" w:eastAsia="Arial" w:hAnsi="Arial"/>
          <w:sz w:val="22"/>
          <w:szCs w:val="22"/>
        </w:rPr>
        <w:t xml:space="preserve">add_business_days(date, n, jurisdiction) → date</w:t>
      </w:r>
    </w:p>
    <w:p>
      <w:pPr>
        <w:pStyle w:val="ListParagraph"/>
        <w:numPr>
          <w:ilvl w:val="0"/>
          <w:numId w:val="2"/>
        </w:numPr>
        <w:spacing w:after="60"/>
      </w:pPr>
      <w:r>
        <w:rPr>
          <w:rFonts w:ascii="Arial" w:cs="Arial" w:eastAsia="Arial" w:hAnsi="Arial"/>
          <w:sz w:val="22"/>
          <w:szCs w:val="22"/>
        </w:rPr>
        <w:t xml:space="preserve">Modified-following rule: if the resulting date falls on a weekend or holiday, roll forward to the next business day, unless that crosses a month boundary, in which case roll back to the previous business day.</w:t>
      </w:r>
    </w:p>
    <w:p>
      <w:pPr>
        <w:pStyle w:val="Heading2"/>
        <w:spacing w:after="120" w:before="240"/>
      </w:pPr>
      <w:r>
        <w:rPr>
          <w:rFonts w:ascii="Arial" w:cs="Arial" w:eastAsia="Arial" w:hAnsi="Arial"/>
          <w:b/>
          <w:bCs/>
          <w:color w:val="263849"/>
          <w:sz w:val="30"/>
          <w:szCs w:val="30"/>
        </w:rPr>
        <w:t xml:space="preserve">13.3 UIs</w:t>
      </w:r>
    </w:p>
    <w:p>
      <w:pPr>
        <w:pStyle w:val="ListParagraph"/>
        <w:numPr>
          <w:ilvl w:val="0"/>
          <w:numId w:val="2"/>
        </w:numPr>
        <w:spacing w:after="60"/>
      </w:pPr>
      <w:r>
        <w:rPr>
          <w:rFonts w:ascii="Arial" w:cs="Arial" w:eastAsia="Arial" w:hAnsi="Arial"/>
          <w:sz w:val="22"/>
          <w:szCs w:val="22"/>
        </w:rPr>
        <w:t xml:space="preserve">/deals/[slug]/calendar — per-deal deliverables view.</w:t>
      </w:r>
    </w:p>
    <w:p>
      <w:pPr>
        <w:pStyle w:val="ListParagraph"/>
        <w:numPr>
          <w:ilvl w:val="0"/>
          <w:numId w:val="2"/>
        </w:numPr>
        <w:spacing w:after="60"/>
      </w:pPr>
      <w:r>
        <w:rPr>
          <w:rFonts w:ascii="Arial" w:cs="Arial" w:eastAsia="Arial" w:hAnsi="Arial"/>
          <w:sz w:val="22"/>
          <w:szCs w:val="22"/>
        </w:rPr>
        <w:t xml:space="preserve">/calendar — portfolio-wide deliverables calendar.</w:t>
      </w:r>
    </w:p>
    <w:p>
      <w:pPr>
        <w:pStyle w:val="ListParagraph"/>
        <w:numPr>
          <w:ilvl w:val="0"/>
          <w:numId w:val="2"/>
        </w:numPr>
        <w:spacing w:after="60"/>
      </w:pPr>
      <w:r>
        <w:rPr>
          <w:rFonts w:ascii="Arial" w:cs="Arial" w:eastAsia="Arial" w:hAnsi="Arial"/>
          <w:sz w:val="22"/>
          <w:szCs w:val="22"/>
        </w:rPr>
        <w:t xml:space="preserve">/compliance/calendar — compliance operations view with SLA tracking.</w:t>
      </w:r>
    </w:p>
    <w:p>
      <w:pPr>
        <w:pStyle w:val="Heading1"/>
        <w:pageBreakBefore/>
        <w:spacing w:after="180" w:before="240"/>
      </w:pPr>
      <w:r>
        <w:rPr>
          <w:rFonts w:ascii="Arial" w:cs="Arial" w:eastAsia="Arial" w:hAnsi="Arial"/>
          <w:b/>
          <w:bCs/>
          <w:color w:val="1F6FA5"/>
          <w:sz w:val="40"/>
          <w:szCs w:val="40"/>
        </w:rPr>
        <w:t xml:space="preserve">14. Reserve accounts and liquidity facilities</w:t>
      </w:r>
    </w:p>
    <w:p>
      <w:pPr>
        <w:pStyle w:val="Heading2"/>
        <w:spacing w:after="120" w:before="240"/>
      </w:pPr>
      <w:r>
        <w:rPr>
          <w:rFonts w:ascii="Arial" w:cs="Arial" w:eastAsia="Arial" w:hAnsi="Arial"/>
          <w:b/>
          <w:bCs/>
          <w:color w:val="263849"/>
          <w:sz w:val="30"/>
          <w:szCs w:val="30"/>
        </w:rPr>
        <w:t xml:space="preserve">14.1 What is tracked</w:t>
      </w:r>
    </w:p>
    <w:p>
      <w:pPr>
        <w:spacing w:after="140" w:line="280"/>
        <w:jc w:val="both"/>
      </w:pPr>
      <w:r>
        <w:rPr>
          <w:rFonts w:ascii="Arial" w:cs="Arial" w:eastAsia="Arial" w:hAnsi="Arial"/>
          <w:sz w:val="22"/>
          <w:szCs w:val="22"/>
        </w:rPr>
        <w:t xml:space="preserve">Each reserve account or liquidity facility on a deal is a row in deal_reserve_accounts. The platform tracks required balance, current balance, funding source (cash / LC / PCG / surety), provider, LC expiry, periods underfunded. Top-up alerts fire when current &lt; required; consecutive underfunded periods trigger escalation logic used by the Distribution Engine.</w:t>
      </w:r>
    </w:p>
    <w:p>
      <w:pPr>
        <w:pStyle w:val="Heading2"/>
        <w:spacing w:after="120" w:before="240"/>
      </w:pPr>
      <w:r>
        <w:rPr>
          <w:rFonts w:ascii="Arial" w:cs="Arial" w:eastAsia="Arial" w:hAnsi="Arial"/>
          <w:b/>
          <w:bCs/>
          <w:color w:val="263849"/>
          <w:sz w:val="30"/>
          <w:szCs w:val="30"/>
        </w:rPr>
        <w:t xml:space="preserve">14.2 History and alerts</w:t>
      </w:r>
    </w:p>
    <w:p>
      <w:pPr>
        <w:pStyle w:val="ListParagraph"/>
        <w:numPr>
          <w:ilvl w:val="0"/>
          <w:numId w:val="2"/>
        </w:numPr>
        <w:spacing w:after="60"/>
      </w:pPr>
      <w:r>
        <w:rPr>
          <w:rFonts w:ascii="Arial" w:cs="Arial" w:eastAsia="Arial" w:hAnsi="Arial"/>
          <w:sz w:val="22"/>
          <w:szCs w:val="22"/>
        </w:rPr>
        <w:t xml:space="preserve">deal_reserve_history — time-series of required / actual / expected / shortfall / variance per account per period.</w:t>
      </w:r>
    </w:p>
    <w:p>
      <w:pPr>
        <w:pStyle w:val="ListParagraph"/>
        <w:numPr>
          <w:ilvl w:val="0"/>
          <w:numId w:val="2"/>
        </w:numPr>
        <w:spacing w:after="60"/>
      </w:pPr>
      <w:r>
        <w:rPr>
          <w:rFonts w:ascii="Arial" w:cs="Arial" w:eastAsia="Arial" w:hAnsi="Arial"/>
          <w:sz w:val="22"/>
          <w:szCs w:val="22"/>
        </w:rPr>
        <w:t xml:space="preserve">Top-up deadline tracking — if the finance docs require a top-up within N business days of underfunding, the calendar surfaces the deadline.</w:t>
      </w:r>
    </w:p>
    <w:p>
      <w:pPr>
        <w:pStyle w:val="ListParagraph"/>
        <w:numPr>
          <w:ilvl w:val="0"/>
          <w:numId w:val="2"/>
        </w:numPr>
        <w:spacing w:after="60"/>
      </w:pPr>
      <w:r>
        <w:rPr>
          <w:rFonts w:ascii="Arial" w:cs="Arial" w:eastAsia="Arial" w:hAnsi="Arial"/>
          <w:sz w:val="22"/>
          <w:szCs w:val="22"/>
        </w:rPr>
        <w:t xml:space="preserve">Funding source breakdown — cash portion, LC portion (with provider), PCG portion (with provider), all displayed on the deal page's Reserve Accounts table.</w:t>
      </w:r>
    </w:p>
    <w:p>
      <w:pPr>
        <w:pStyle w:val="Heading2"/>
        <w:spacing w:after="120" w:before="240"/>
      </w:pPr>
      <w:r>
        <w:rPr>
          <w:rFonts w:ascii="Arial" w:cs="Arial" w:eastAsia="Arial" w:hAnsi="Arial"/>
          <w:b/>
          <w:bCs/>
          <w:color w:val="263849"/>
          <w:sz w:val="30"/>
          <w:szCs w:val="30"/>
        </w:rPr>
        <w:t xml:space="preserve">14.3 UI</w:t>
      </w:r>
    </w:p>
    <w:p>
      <w:pPr>
        <w:pStyle w:val="ListParagraph"/>
        <w:numPr>
          <w:ilvl w:val="0"/>
          <w:numId w:val="2"/>
        </w:numPr>
        <w:spacing w:after="60"/>
      </w:pPr>
      <w:r>
        <w:rPr>
          <w:rFonts w:ascii="Arial" w:cs="Arial" w:eastAsia="Arial" w:hAnsi="Arial"/>
          <w:sz w:val="22"/>
          <w:szCs w:val="22"/>
        </w:rPr>
        <w:t xml:space="preserve">Liquidity &amp; Reserve Accounts table at the bottom of the Deal Overview page (conditional on reserve_accounts being populated).</w:t>
      </w:r>
    </w:p>
    <w:p>
      <w:pPr>
        <w:pStyle w:val="ListParagraph"/>
        <w:numPr>
          <w:ilvl w:val="0"/>
          <w:numId w:val="2"/>
        </w:numPr>
        <w:spacing w:after="60"/>
      </w:pPr>
      <w:r>
        <w:rPr>
          <w:rFonts w:ascii="Arial" w:cs="Arial" w:eastAsia="Arial" w:hAnsi="Arial"/>
          <w:sz w:val="22"/>
          <w:szCs w:val="22"/>
        </w:rPr>
        <w:t xml:space="preserve">Columns: Account / Type (Reserve vs Facility) / Required / Funded / Funding source description / Status tier / Shortfall.</w:t>
      </w:r>
    </w:p>
    <w:p>
      <w:pPr>
        <w:pStyle w:val="Heading1"/>
        <w:pageBreakBefore/>
        <w:spacing w:after="180" w:before="240"/>
      </w:pPr>
      <w:r>
        <w:rPr>
          <w:rFonts w:ascii="Arial" w:cs="Arial" w:eastAsia="Arial" w:hAnsi="Arial"/>
          <w:b/>
          <w:bCs/>
          <w:color w:val="1F6FA5"/>
          <w:sz w:val="40"/>
          <w:szCs w:val="40"/>
        </w:rPr>
        <w:t xml:space="preserve">15. Market feeds</w:t>
      </w:r>
    </w:p>
    <w:p>
      <w:pPr>
        <w:pStyle w:val="Heading2"/>
        <w:spacing w:after="120" w:before="240"/>
      </w:pPr>
      <w:r>
        <w:rPr>
          <w:rFonts w:ascii="Arial" w:cs="Arial" w:eastAsia="Arial" w:hAnsi="Arial"/>
          <w:b/>
          <w:bCs/>
          <w:color w:val="263849"/>
          <w:sz w:val="30"/>
          <w:szCs w:val="30"/>
        </w:rPr>
        <w:t xml:space="preserve">15.1 What it is</w:t>
      </w:r>
    </w:p>
    <w:p>
      <w:pPr>
        <w:spacing w:after="140" w:line="280"/>
        <w:jc w:val="both"/>
      </w:pPr>
      <w:r>
        <w:rPr>
          <w:rFonts w:ascii="Arial" w:cs="Arial" w:eastAsia="Arial" w:hAnsi="Arial"/>
          <w:sz w:val="22"/>
          <w:szCs w:val="22"/>
        </w:rPr>
        <w:t xml:space="preserve">The /feeds page is a centralised view of market-data feeds consumed by the platform. Today it displays the live FX reference rate table (13 currencies, ECB-seed snapshot). Placeholder cards show the planned feeds that will be wired up next: risk-free rates (SONIA / €STR / SOFR), swap curves, credit spreads (iTraxx / CDX), government yields, inflation indices, commodities, equity &amp; property indices, carbon / ESG.</w:t>
      </w:r>
    </w:p>
    <w:p>
      <w:pPr>
        <w:pStyle w:val="Heading2"/>
        <w:spacing w:after="120" w:before="240"/>
      </w:pPr>
      <w:r>
        <w:rPr>
          <w:rFonts w:ascii="Arial" w:cs="Arial" w:eastAsia="Arial" w:hAnsi="Arial"/>
          <w:b/>
          <w:bCs/>
          <w:color w:val="263849"/>
          <w:sz w:val="30"/>
          <w:szCs w:val="30"/>
        </w:rPr>
        <w:t xml:space="preserve">15.2 FX snapshot endpoint</w:t>
      </w:r>
    </w:p>
    <w:p>
      <w:pPr>
        <w:pStyle w:val="ListParagraph"/>
        <w:numPr>
          <w:ilvl w:val="0"/>
          <w:numId w:val="2"/>
        </w:numPr>
        <w:spacing w:after="60"/>
      </w:pPr>
      <w:r>
        <w:rPr>
          <w:rFonts w:ascii="Arial" w:cs="Arial" w:eastAsia="Arial" w:hAnsi="Arial"/>
          <w:sz w:val="22"/>
          <w:szCs w:val="22"/>
        </w:rPr>
        <w:t xml:space="preserve">GET /api/fx/snapshot?reporting_currency=GBP|USD|EUR — returns all 13 EUR-base cross-rates re-expressed against the reporting currency, plus as-of date and source.</w:t>
      </w:r>
    </w:p>
    <w:p>
      <w:pPr>
        <w:pStyle w:val="ListParagraph"/>
        <w:numPr>
          <w:ilvl w:val="0"/>
          <w:numId w:val="2"/>
        </w:numPr>
        <w:spacing w:after="60"/>
      </w:pPr>
      <w:r>
        <w:rPr>
          <w:rFonts w:ascii="Arial" w:cs="Arial" w:eastAsia="Arial" w:hAnsi="Arial"/>
          <w:sz w:val="22"/>
          <w:szCs w:val="22"/>
        </w:rPr>
        <w:t xml:space="preserve">Replace the seed with a live feed (e.g. Frankfurter API) daily to move from demo data to production data.</w:t>
      </w:r>
    </w:p>
    <w:p>
      <w:pPr>
        <w:pStyle w:val="Heading1"/>
        <w:pageBreakBefore/>
        <w:spacing w:after="180" w:before="240"/>
      </w:pPr>
      <w:r>
        <w:rPr>
          <w:rFonts w:ascii="Arial" w:cs="Arial" w:eastAsia="Arial" w:hAnsi="Arial"/>
          <w:b/>
          <w:bCs/>
          <w:color w:val="1F6FA5"/>
          <w:sz w:val="40"/>
          <w:szCs w:val="40"/>
        </w:rPr>
        <w:t xml:space="preserve">16. Reports and snapshots</w:t>
      </w:r>
    </w:p>
    <w:p>
      <w:pPr>
        <w:pStyle w:val="Heading2"/>
        <w:spacing w:after="120" w:before="240"/>
      </w:pPr>
      <w:r>
        <w:rPr>
          <w:rFonts w:ascii="Arial" w:cs="Arial" w:eastAsia="Arial" w:hAnsi="Arial"/>
          <w:b/>
          <w:bCs/>
          <w:color w:val="263849"/>
          <w:sz w:val="30"/>
          <w:szCs w:val="30"/>
        </w:rPr>
        <w:t xml:space="preserve">16.1 Report types</w:t>
      </w:r>
    </w:p>
    <w:p>
      <w:pPr>
        <w:pStyle w:val="ListParagraph"/>
        <w:numPr>
          <w:ilvl w:val="0"/>
          <w:numId w:val="2"/>
        </w:numPr>
        <w:spacing w:after="60"/>
      </w:pPr>
      <w:r>
        <w:rPr>
          <w:rFonts w:ascii="Arial" w:cs="Arial" w:eastAsia="Arial" w:hAnsi="Arial"/>
          <w:sz w:val="22"/>
          <w:szCs w:val="22"/>
        </w:rPr>
        <w:t xml:space="preserve">IC memo pack — annual or periodic investment-committee review.</w:t>
      </w:r>
    </w:p>
    <w:p>
      <w:pPr>
        <w:pStyle w:val="ListParagraph"/>
        <w:numPr>
          <w:ilvl w:val="0"/>
          <w:numId w:val="2"/>
        </w:numPr>
        <w:spacing w:after="60"/>
      </w:pPr>
      <w:r>
        <w:rPr>
          <w:rFonts w:ascii="Arial" w:cs="Arial" w:eastAsia="Arial" w:hAnsi="Arial"/>
          <w:sz w:val="22"/>
          <w:szCs w:val="22"/>
        </w:rPr>
        <w:t xml:space="preserve">Covenant test pack — per-period covenant test results.</w:t>
      </w:r>
    </w:p>
    <w:p>
      <w:pPr>
        <w:pStyle w:val="ListParagraph"/>
        <w:numPr>
          <w:ilvl w:val="0"/>
          <w:numId w:val="2"/>
        </w:numPr>
        <w:spacing w:after="60"/>
      </w:pPr>
      <w:r>
        <w:rPr>
          <w:rFonts w:ascii="Arial" w:cs="Arial" w:eastAsia="Arial" w:hAnsi="Arial"/>
          <w:sz w:val="22"/>
          <w:szCs w:val="22"/>
        </w:rPr>
        <w:t xml:space="preserve">Waiver pack — supporting pack for a consent/waiver vote.</w:t>
      </w:r>
    </w:p>
    <w:p>
      <w:pPr>
        <w:pStyle w:val="ListParagraph"/>
        <w:numPr>
          <w:ilvl w:val="0"/>
          <w:numId w:val="2"/>
        </w:numPr>
        <w:spacing w:after="60"/>
      </w:pPr>
      <w:r>
        <w:rPr>
          <w:rFonts w:ascii="Arial" w:cs="Arial" w:eastAsia="Arial" w:hAnsi="Arial"/>
          <w:sz w:val="22"/>
          <w:szCs w:val="22"/>
        </w:rPr>
        <w:t xml:space="preserve">Compliance summary — portfolio-level compliance status for audit.</w:t>
      </w:r>
    </w:p>
    <w:p>
      <w:pPr>
        <w:pStyle w:val="ListParagraph"/>
        <w:numPr>
          <w:ilvl w:val="0"/>
          <w:numId w:val="2"/>
        </w:numPr>
        <w:spacing w:after="60"/>
      </w:pPr>
      <w:r>
        <w:rPr>
          <w:rFonts w:ascii="Arial" w:cs="Arial" w:eastAsia="Arial" w:hAnsi="Arial"/>
          <w:sz w:val="22"/>
          <w:szCs w:val="22"/>
        </w:rPr>
        <w:t xml:space="preserve">Performance summary — portfolio-level performance summary.</w:t>
      </w:r>
    </w:p>
    <w:p>
      <w:pPr>
        <w:pStyle w:val="Heading2"/>
        <w:spacing w:after="120" w:before="240"/>
      </w:pPr>
      <w:r>
        <w:rPr>
          <w:rFonts w:ascii="Arial" w:cs="Arial" w:eastAsia="Arial" w:hAnsi="Arial"/>
          <w:b/>
          <w:bCs/>
          <w:color w:val="263849"/>
          <w:sz w:val="30"/>
          <w:szCs w:val="30"/>
        </w:rPr>
        <w:t xml:space="preserve">16.2 Snapshot mechanics</w:t>
      </w:r>
    </w:p>
    <w:p>
      <w:pPr>
        <w:spacing w:after="140" w:line="280"/>
        <w:jc w:val="both"/>
      </w:pPr>
      <w:r>
        <w:rPr>
          <w:rFonts w:ascii="Arial" w:cs="Arial" w:eastAsia="Arial" w:hAnsi="Arial"/>
          <w:sz w:val="22"/>
          <w:szCs w:val="22"/>
        </w:rPr>
        <w:t xml:space="preserve">A TopSheet snapshot is a frozen view of the deal at a moment in time. When a snapshot is captured, the engine walks every rendered field on the TopSheet and writes: (1) a deal_topsheet_snapshots parent row with the snapshot label, type, capture actor, summary; (2) one topsheet_snapshot_field_citations row per field, copying the current citation values; (3) a topsheet_snapshot_provenance row recording event-level context ('why was this snapshot taken').</w:t>
      </w:r>
    </w:p>
    <w:p>
      <w:pPr>
        <w:spacing w:after="140" w:line="280"/>
        <w:jc w:val="both"/>
      </w:pPr>
      <w:r>
        <w:rPr>
          <w:rFonts w:ascii="Arial" w:cs="Arial" w:eastAsia="Arial" w:hAnsi="Arial"/>
          <w:sz w:val="22"/>
          <w:szCs w:val="22"/>
        </w:rPr>
        <w:t xml:space="preserve">Snapshots are immutable once captured. They are reproducible even after the underlying documents are superseded — citations are copied, not referenced.</w:t>
      </w:r>
    </w:p>
    <w:p>
      <w:pPr>
        <w:pStyle w:val="Heading2"/>
        <w:spacing w:after="120" w:before="240"/>
      </w:pPr>
      <w:r>
        <w:rPr>
          <w:rFonts w:ascii="Arial" w:cs="Arial" w:eastAsia="Arial" w:hAnsi="Arial"/>
          <w:b/>
          <w:bCs/>
          <w:color w:val="263849"/>
          <w:sz w:val="30"/>
          <w:szCs w:val="30"/>
        </w:rPr>
        <w:t xml:space="preserve">16.3 UIs</w:t>
      </w:r>
    </w:p>
    <w:p>
      <w:pPr>
        <w:pStyle w:val="ListParagraph"/>
        <w:numPr>
          <w:ilvl w:val="0"/>
          <w:numId w:val="2"/>
        </w:numPr>
        <w:spacing w:after="60"/>
      </w:pPr>
      <w:r>
        <w:rPr>
          <w:rFonts w:ascii="Arial" w:cs="Arial" w:eastAsia="Arial" w:hAnsi="Arial"/>
          <w:sz w:val="22"/>
          <w:szCs w:val="22"/>
        </w:rPr>
        <w:t xml:space="preserve">/deals/[slug]/snapshots — history of snapshots for a deal.</w:t>
      </w:r>
    </w:p>
    <w:p>
      <w:pPr>
        <w:pStyle w:val="ListParagraph"/>
        <w:numPr>
          <w:ilvl w:val="0"/>
          <w:numId w:val="2"/>
        </w:numPr>
        <w:spacing w:after="60"/>
      </w:pPr>
      <w:r>
        <w:rPr>
          <w:rFonts w:ascii="Arial" w:cs="Arial" w:eastAsia="Arial" w:hAnsi="Arial"/>
          <w:sz w:val="22"/>
          <w:szCs w:val="22"/>
        </w:rPr>
        <w:t xml:space="preserve">/deals/[slug]/packs — memo packs (a memo is a collection of snapshots + commentary).</w:t>
      </w:r>
    </w:p>
    <w:p>
      <w:pPr>
        <w:pStyle w:val="ListParagraph"/>
        <w:numPr>
          <w:ilvl w:val="0"/>
          <w:numId w:val="2"/>
        </w:numPr>
        <w:spacing w:after="60"/>
      </w:pPr>
      <w:r>
        <w:rPr>
          <w:rFonts w:ascii="Arial" w:cs="Arial" w:eastAsia="Arial" w:hAnsi="Arial"/>
          <w:sz w:val="22"/>
          <w:szCs w:val="22"/>
        </w:rPr>
        <w:t xml:space="preserve">/portfolio/packs — portfolio-level pack library.</w:t>
      </w:r>
    </w:p>
    <w:p>
      <w:pPr>
        <w:pStyle w:val="ListParagraph"/>
        <w:numPr>
          <w:ilvl w:val="0"/>
          <w:numId w:val="2"/>
        </w:numPr>
        <w:spacing w:after="60"/>
      </w:pPr>
      <w:r>
        <w:rPr>
          <w:rFonts w:ascii="Arial" w:cs="Arial" w:eastAsia="Arial" w:hAnsi="Arial"/>
          <w:sz w:val="22"/>
          <w:szCs w:val="22"/>
        </w:rPr>
        <w:t xml:space="preserve">/reports — report generation and export interface.</w:t>
      </w:r>
    </w:p>
    <w:p>
      <w:pPr>
        <w:pStyle w:val="Heading1"/>
        <w:pageBreakBefore/>
        <w:spacing w:after="180" w:before="240"/>
      </w:pPr>
      <w:r>
        <w:rPr>
          <w:rFonts w:ascii="Arial" w:cs="Arial" w:eastAsia="Arial" w:hAnsi="Arial"/>
          <w:b/>
          <w:bCs/>
          <w:color w:val="1F6FA5"/>
          <w:sz w:val="40"/>
          <w:szCs w:val="40"/>
        </w:rPr>
        <w:t xml:space="preserve">17. Deferred items and roadmap</w:t>
      </w:r>
    </w:p>
    <w:p>
      <w:pPr>
        <w:spacing w:after="140" w:line="280"/>
        <w:jc w:val="both"/>
      </w:pPr>
      <w:r>
        <w:rPr>
          <w:rFonts w:ascii="Arial" w:cs="Arial" w:eastAsia="Arial" w:hAnsi="Arial"/>
          <w:sz w:val="22"/>
          <w:szCs w:val="22"/>
        </w:rPr>
        <w:t xml:space="preserve">Items listed here are designed — the schema and machinery are in place — but not yet built out end-to-end. They are deferred on purpose, usually because the trigger for building them has not arrived (the first real client for audit-trail enforcement, the first Excel-sourced deal for the full import pipeline, or a separate initiative like automated ingestion).</w:t>
      </w:r>
    </w:p>
    <w:p>
      <w:pPr>
        <w:pStyle w:val="Heading2"/>
        <w:spacing w:after="120" w:before="240"/>
      </w:pPr>
      <w:r>
        <w:rPr>
          <w:rFonts w:ascii="Arial" w:cs="Arial" w:eastAsia="Arial" w:hAnsi="Arial"/>
          <w:b/>
          <w:bCs/>
          <w:color w:val="263849"/>
          <w:sz w:val="30"/>
          <w:szCs w:val="30"/>
        </w:rPr>
        <w:t xml:space="preserve">17.1 Real-client cutover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Item</w:t>
            </w:r>
          </w:p>
        </w:tc>
        <w:tc>
          <w:tcPr>
            <w:tcW w:type="dxa" w:w="61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What it delivers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Ingestion engine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Extract financial data from uploaded models into forecast_period_items + period_financial_items automatically, with provenance. Current demo portfolio is hand-populated.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Audit-trail hard enforcement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ALTER TABLE … SET NOT NULL on every source_document_id column, CHECK constraint on field_key regex, immutability trigger on topsheet_snapshot_field_citations, CI gate that fails any pipeline would merge a row where missing_count &gt; 0. One migration flips the scaffolding into constraints.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 generation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Auto-generate full life-of-deal deal_reporting_periods from the reporting schedule (today only the historical periods are seeded).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Computed rows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Auto-calculate EBITDA, CFADS, FFO, Moody's ratios from component line items — no separate entry required.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Line-level variance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Line-level actual vs frozen forecast comparison, not just whole-metric variance.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Observation engine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Writer that ingests compliance certificates and writes deal_kpi_observations with period-matched deviation_to_stress. Currently only seeded rows exist.</w:t>
            </w:r>
          </w:p>
        </w:tc>
      </w:tr>
    </w:tbl>
    <w:p>
      <w:pPr>
        <w:pStyle w:val="Heading2"/>
        <w:spacing w:after="120" w:before="240"/>
      </w:pPr>
      <w:r>
        <w:rPr>
          <w:rFonts w:ascii="Arial" w:cs="Arial" w:eastAsia="Arial" w:hAnsi="Arial"/>
          <w:b/>
          <w:bCs/>
          <w:color w:val="263849"/>
          <w:sz w:val="30"/>
          <w:szCs w:val="30"/>
        </w:rPr>
        <w:t xml:space="preserve">17.2 Known latent issues</w:t>
      </w:r>
    </w:p>
    <w:p>
      <w:pPr>
        <w:pStyle w:val="ListParagraph"/>
        <w:numPr>
          <w:ilvl w:val="0"/>
          <w:numId w:val="2"/>
        </w:numPr>
        <w:spacing w:after="60"/>
      </w:pPr>
      <w:r>
        <w:rPr>
          <w:rFonts w:ascii="Arial" w:cs="Arial" w:eastAsia="Arial" w:hAnsi="Arial"/>
          <w:sz w:val="22"/>
          <w:szCs w:val="22"/>
        </w:rPr>
        <w:t xml:space="preserve">parse_capital_structure_sheet col_map in the v8 importer does not fully align with the v9 template's column order for columns 2-25. Tested additions (cols 26-32) are correct; pre-existing columns need reconciliation.</w:t>
      </w:r>
    </w:p>
    <w:p>
      <w:pPr>
        <w:pStyle w:val="ListParagraph"/>
        <w:numPr>
          <w:ilvl w:val="0"/>
          <w:numId w:val="2"/>
        </w:numPr>
        <w:spacing w:after="60"/>
      </w:pPr>
      <w:r>
        <w:rPr>
          <w:rFonts w:ascii="Arial" w:cs="Arial" w:eastAsia="Arial" w:hAnsi="Arial"/>
          <w:sz w:val="22"/>
          <w:szCs w:val="22"/>
        </w:rPr>
        <w:t xml:space="preserve">Spread calc for benchmark values: most deals carry a flat 20bp default benchmark; IC-memo-accurate values entered for Gatwick, M6 Toll, Getlink, Getlink, North Sea OWF shareholder loan only.</w:t>
      </w:r>
    </w:p>
    <w:p>
      <w:pPr>
        <w:pStyle w:val="Heading2"/>
        <w:spacing w:after="120" w:before="240"/>
      </w:pPr>
      <w:r>
        <w:rPr>
          <w:rFonts w:ascii="Arial" w:cs="Arial" w:eastAsia="Arial" w:hAnsi="Arial"/>
          <w:b/>
          <w:bCs/>
          <w:color w:val="263849"/>
          <w:sz w:val="30"/>
          <w:szCs w:val="30"/>
        </w:rPr>
        <w:t xml:space="preserve">17.3 Enhancements to scope</w:t>
      </w:r>
    </w:p>
    <w:p>
      <w:pPr>
        <w:pStyle w:val="ListParagraph"/>
        <w:numPr>
          <w:ilvl w:val="0"/>
          <w:numId w:val="2"/>
        </w:numPr>
        <w:spacing w:after="60"/>
      </w:pPr>
      <w:r>
        <w:rPr>
          <w:rFonts w:ascii="Arial" w:cs="Arial" w:eastAsia="Arial" w:hAnsi="Arial"/>
          <w:sz w:val="22"/>
          <w:szCs w:val="22"/>
        </w:rPr>
        <w:t xml:space="preserve">Line-level stress cases on financial lines (revenue, EBITDA, CFADS) under single_variant_stress scenarios. Today only KPIs carry single-variant stresses.</w:t>
      </w:r>
    </w:p>
    <w:p>
      <w:pPr>
        <w:pStyle w:val="ListParagraph"/>
        <w:numPr>
          <w:ilvl w:val="0"/>
          <w:numId w:val="2"/>
        </w:numPr>
        <w:spacing w:after="60"/>
      </w:pPr>
      <w:r>
        <w:rPr>
          <w:rFonts w:ascii="Arial" w:cs="Arial" w:eastAsia="Arial" w:hAnsi="Arial"/>
          <w:sz w:val="22"/>
          <w:szCs w:val="22"/>
        </w:rPr>
        <w:t xml:space="preserve">Interactive UI to create / edit stress scenarios (currently Excel import only).</w:t>
      </w:r>
    </w:p>
    <w:p>
      <w:pPr>
        <w:pStyle w:val="ListParagraph"/>
        <w:numPr>
          <w:ilvl w:val="0"/>
          <w:numId w:val="2"/>
        </w:numPr>
        <w:spacing w:after="60"/>
      </w:pPr>
      <w:r>
        <w:rPr>
          <w:rFonts w:ascii="Arial" w:cs="Arial" w:eastAsia="Arial" w:hAnsi="Arial"/>
          <w:sz w:val="22"/>
          <w:szCs w:val="22"/>
        </w:rPr>
        <w:t xml:space="preserve">Corporate TopSheet template distinct from the project-finance / SPV template. Different field inventory for holdco / corporate credit investments.</w:t>
      </w:r>
    </w:p>
    <w:p>
      <w:pPr>
        <w:pStyle w:val="Heading1"/>
        <w:pageBreakBefore/>
        <w:spacing w:after="180" w:before="240"/>
      </w:pPr>
      <w:r>
        <w:rPr>
          <w:rFonts w:ascii="Arial" w:cs="Arial" w:eastAsia="Arial" w:hAnsi="Arial"/>
          <w:b/>
          <w:bCs/>
          <w:color w:val="1F6FA5"/>
          <w:sz w:val="40"/>
          <w:szCs w:val="40"/>
        </w:rPr>
        <w:t xml:space="preserve">Appendix A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Layer</w:t>
            </w:r>
          </w:p>
        </w:tc>
        <w:tc>
          <w:tcPr>
            <w:tcW w:type="dxa" w:w="2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Technology</w:t>
            </w:r>
          </w:p>
        </w:tc>
        <w:tc>
          <w:tcPr>
            <w:tcW w:type="dxa" w:w="47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Web UI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Next.js 15.5</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App Router. TypeScript strict. Server Components by default, 'use client' for interactive. Recharts for charts.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React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React 19</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Suspense, concurrent rendering used where appropriate.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Styling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CSS + CSS variables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 Tailwind. CSS variables for the design system: --accent, --good, --warning, --critical, --panel, --line, --ink, --ink-soft, --radius-panel, --radius-card.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Python 3.12 + FastAPI/Starlette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psycopg (not asyncpg). Single main.py is intentional — we can split later when a specific module benefits.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Database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PostgreSQL 16 Alpine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Schema in postgres/init.sql + postgres/migrations.sql. Idempotent migrations.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Container runtime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Docker + docker-compose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image per tier. docker compose up starts the stack.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Package management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npm (client), pip (server)</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 monorepo tooling; tiers are independent.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Testing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Plain Python + pytest-compatible runners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Simple [PASS]/[FAIL] runner; integration tests assume a running server.</w:t>
            </w:r>
          </w:p>
        </w:tc>
      </w:tr>
    </w:tbl>
    <w:p>
      <w:pPr>
        <w:pStyle w:val="Heading1"/>
        <w:pageBreakBefore/>
        <w:spacing w:after="180" w:before="240"/>
      </w:pPr>
      <w:r>
        <w:rPr>
          <w:rFonts w:ascii="Arial" w:cs="Arial" w:eastAsia="Arial" w:hAnsi="Arial"/>
          <w:b/>
          <w:bCs/>
          <w:color w:val="1F6FA5"/>
          <w:sz w:val="40"/>
          <w:szCs w:val="40"/>
        </w:rPr>
        <w:t xml:space="preserve">Appendix B — Primary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Endpoint</w:t>
            </w:r>
          </w:p>
        </w:tc>
        <w:tc>
          <w:tcPr>
            <w:tcW w:type="dxa" w:w="12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Method</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List deals (slug, name, summary, grade, exposure, watchlist)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deal detail (all child tables in a single payload)</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/api/deals/{slug}/topsheet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topsheet data incl. capitalStructure, forecastItems, actualItems, dealLineLabels, reportingPeriods, kpiScenarios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/api/deals/{slug}/capital-stack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Capital stack engine result. ?reporting_currency= for FX conversion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/api/deals/{slug}/assessment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Performance grade + active trends + watchlist/escalation state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/api/deals/{slug}/analytics/run-covenant-tests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covenant-testing engine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/api/deals/{slug}/analytics/run-variance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actuals-vs-management-case variance engine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/api/deals/{slug}/analytics/three-case-comparison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three-case comparison engine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/api/deals/{slug}/covenants/{covenantId}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 covenant detail + history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/api/deals/{slug}/periods/{periodKey}</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Financial period detail (actuals + expected + variance)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/api/deals/{slug}/risk</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Risk register for a deal</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/api/deals/{slug}/amendments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Amendment history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/api/deals/{slug}/distribution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Distribution assessment detail</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/api/portfolio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Portfolio dashboard payload. ?reporting_currency=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/api/fx/snapshot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FX rates snapshot. ?reporting_currency=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/api/intake/submit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Upload a document to the intake queue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/api/intake/proposals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Proposal review queue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/api/topsheet/{slug}/import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Import a TopSheet Excel file</w:t>
            </w:r>
          </w:p>
        </w:tc>
      </w:tr>
    </w:tbl>
    <w:p>
      <w:pPr>
        <w:pStyle w:val="Heading1"/>
        <w:pageBreakBefore/>
        <w:spacing w:after="180" w:before="240"/>
      </w:pPr>
      <w:r>
        <w:rPr>
          <w:rFonts w:ascii="Arial" w:cs="Arial" w:eastAsia="Arial" w:hAnsi="Arial"/>
          <w:b/>
          <w:bCs/>
          <w:color w:val="1F6FA5"/>
          <w:sz w:val="40"/>
          <w:szCs w:val="40"/>
        </w:rPr>
        <w:t xml:space="preserve">Appendix C — Terminology and conventions</w:t>
      </w:r>
    </w:p>
    <w:p>
      <w:pPr>
        <w:pStyle w:val="Heading2"/>
        <w:spacing w:after="120" w:before="240"/>
      </w:pPr>
      <w:r>
        <w:rPr>
          <w:rFonts w:ascii="Arial" w:cs="Arial" w:eastAsia="Arial" w:hAnsi="Arial"/>
          <w:b/>
          <w:bCs/>
          <w:color w:val="263849"/>
          <w:sz w:val="30"/>
          <w:szCs w:val="30"/>
        </w:rPr>
        <w:t xml:space="preserve">Performance grade (not Internal grade)</w:t>
      </w:r>
    </w:p>
    <w:p>
      <w:pPr>
        <w:spacing w:after="140" w:line="280"/>
        <w:jc w:val="both"/>
      </w:pPr>
      <w:r>
        <w:rPr>
          <w:rFonts w:ascii="Arial" w:cs="Arial" w:eastAsia="Arial" w:hAnsi="Arial"/>
          <w:sz w:val="22"/>
          <w:szCs w:val="22"/>
        </w:rPr>
        <w:t xml:space="preserve">The 1–4 deal grade is labelled 'Performance grade' throughout the UI and docs. 'Internal grade' is deprecated wording. When touching legacy code that uses 'Internal grade', rename in place. Database columns (grade, base_grade) keep their current names — only display labels change.</w:t>
      </w:r>
    </w:p>
    <w:p>
      <w:pPr>
        <w:pStyle w:val="Heading2"/>
        <w:spacing w:after="120" w:before="240"/>
      </w:pPr>
      <w:r>
        <w:rPr>
          <w:rFonts w:ascii="Arial" w:cs="Arial" w:eastAsia="Arial" w:hAnsi="Arial"/>
          <w:b/>
          <w:bCs/>
          <w:color w:val="263849"/>
          <w:sz w:val="30"/>
          <w:szCs w:val="30"/>
        </w:rPr>
        <w:t xml:space="preserve">Spread vs Coupon vs Margin</w:t>
      </w:r>
    </w:p>
    <w:p>
      <w:pPr>
        <w:spacing w:after="140" w:line="280"/>
        <w:jc w:val="both"/>
      </w:pPr>
      <w:r>
        <w:rPr>
          <w:rFonts w:ascii="Arial" w:cs="Arial" w:eastAsia="Arial" w:hAnsi="Arial"/>
          <w:sz w:val="22"/>
          <w:szCs w:val="22"/>
        </w:rPr>
        <w:t xml:space="preserve">spread_bps is the canonical credit-spread field on instruments. margin_bps is retained for backward compatibility but the WA Spread aggregator now uses COALESCE(spread_bps, margin_bps). For fixed-rate bonds, coupon_bps holds the full coupon; spread_bps is the coupon minus base_rate_at_issuance_bps.</w:t>
      </w:r>
    </w:p>
    <w:p>
      <w:pPr>
        <w:pStyle w:val="Heading2"/>
        <w:spacing w:after="120" w:before="240"/>
      </w:pPr>
      <w:r>
        <w:rPr>
          <w:rFonts w:ascii="Arial" w:cs="Arial" w:eastAsia="Arial" w:hAnsi="Arial"/>
          <w:b/>
          <w:bCs/>
          <w:color w:val="263849"/>
          <w:sz w:val="30"/>
          <w:szCs w:val="30"/>
        </w:rPr>
        <w:t xml:space="preserve">Scenario kinds</w:t>
      </w:r>
    </w:p>
    <w:p>
      <w:pPr>
        <w:spacing w:after="140" w:line="280"/>
        <w:jc w:val="both"/>
      </w:pPr>
      <w:r>
        <w:rPr>
          <w:rFonts w:ascii="Arial" w:cs="Arial" w:eastAsia="Arial" w:hAnsi="Arial"/>
          <w:sz w:val="22"/>
          <w:szCs w:val="22"/>
        </w:rPr>
        <w:t xml:space="preserve">management_case — IC baseline. combined_downside — aggregate stress. single_variant_stress — individual sensitivity on one risk. credit_case / lender_case — lender-adjusted expectations. custom — escape hatch.</w:t>
      </w:r>
    </w:p>
    <w:p>
      <w:pPr>
        <w:pStyle w:val="Heading2"/>
        <w:spacing w:after="120" w:before="240"/>
      </w:pPr>
      <w:r>
        <w:rPr>
          <w:rFonts w:ascii="Arial" w:cs="Arial" w:eastAsia="Arial" w:hAnsi="Arial"/>
          <w:b/>
          <w:bCs/>
          <w:color w:val="263849"/>
          <w:sz w:val="30"/>
          <w:szCs w:val="30"/>
        </w:rPr>
        <w:t xml:space="preserve">Direction</w:t>
      </w:r>
    </w:p>
    <w:p>
      <w:pPr>
        <w:spacing w:after="140" w:line="280"/>
        <w:jc w:val="both"/>
      </w:pPr>
      <w:r>
        <w:rPr>
          <w:rFonts w:ascii="Arial" w:cs="Arial" w:eastAsia="Arial" w:hAnsi="Arial"/>
          <w:sz w:val="22"/>
          <w:szCs w:val="22"/>
        </w:rPr>
        <w:t xml:space="preserve">'min' = higher-is-better (coverage ratios like DSCR, ICR, LLCR). 'max' = lower-is-better (leverage and collateral ratios like ND:EBITDA, LTV, RAR). Headroom computation and deviation-to-stress both use this.</w:t>
      </w:r>
    </w:p>
    <w:p>
      <w:pPr>
        <w:pStyle w:val="Heading2"/>
        <w:spacing w:after="120" w:before="240"/>
      </w:pPr>
      <w:r>
        <w:rPr>
          <w:rFonts w:ascii="Arial" w:cs="Arial" w:eastAsia="Arial" w:hAnsi="Arial"/>
          <w:b/>
          <w:bCs/>
          <w:color w:val="263849"/>
          <w:sz w:val="30"/>
          <w:szCs w:val="30"/>
        </w:rPr>
        <w:t xml:space="preserve">Dates and periods</w:t>
      </w:r>
    </w:p>
    <w:p>
      <w:pPr>
        <w:spacing w:after="140" w:line="280"/>
        <w:jc w:val="both"/>
      </w:pPr>
      <w:r>
        <w:rPr>
          <w:rFonts w:ascii="Arial" w:cs="Arial" w:eastAsia="Arial" w:hAnsi="Arial"/>
          <w:sz w:val="22"/>
          <w:szCs w:val="22"/>
        </w:rPr>
        <w:t xml:space="preserve">period_flag is the machine-readable key (e.g. 'FY2026', '2026Q1'). period_label is the human label ('FY 2026'). period_ordinal gives the sequential order. Always convert relative dates to absolute dates when writing to the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718A"/>
        <w:sz w:val="18"/>
        <w:szCs w:val="18"/>
      </w:rPr>
      <w:t xml:space="preserve">Page </w:t>
    </w:r>
    <w:r>
      <w:rPr>
        <w:rFonts w:ascii="Arial" w:cs="Arial" w:eastAsia="Arial" w:hAnsi="Arial"/>
        <w:color w:val="5671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718A"/>
        <w:sz w:val="18"/>
        <w:szCs w:val="18"/>
      </w:rPr>
      <w:t xml:space="preserve">Sesame Street —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6FA5"/>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63849"/>
      <w:sz w:val="30"/>
      <w:szCs w:val="30"/>
    </w:rPr>
  </w:style>
  <w:style w:type="paragraph" w:styleId="Heading3">
    <w:name w:val="Heading 3"/>
    <w:basedOn w:val="Normal"/>
    <w:next w:val="Normal"/>
    <w:qFormat/>
    <w:pPr>
      <w:spacing w:after="80" w:before="160"/>
      <w:outlineLvl w:val="2"/>
    </w:pPr>
    <w:rPr>
      <w:rFonts w:ascii="Arial" w:cs="Arial" w:eastAsia="Arial" w:hAnsi="Arial"/>
      <w:b/>
      <w:bCs/>
      <w:color w:val="263849"/>
      <w:sz w:val="26"/>
      <w:szCs w:val="26"/>
    </w:rPr>
  </w:style>
  <w:style w:type="paragraph" w:styleId="Heading4">
    <w:name w:val="Heading 4"/>
    <w:basedOn w:val="Normal"/>
    <w:next w:val="Normal"/>
    <w:qFormat/>
    <w:pPr>
      <w:spacing w:after="60" w:before="120"/>
      <w:outlineLvl w:val="3"/>
    </w:pPr>
    <w:rPr>
      <w:rFonts w:ascii="Arial" w:cs="Arial" w:eastAsia="Arial" w:hAnsi="Arial"/>
      <w:b/>
      <w:bCs/>
      <w:i/>
      <w:iCs/>
      <w:color w:val="5671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2026-04-17T17:42:56.442Z</dcterms:created>
  <dcterms:modified xsi:type="dcterms:W3CDTF">2026-04-17T17:42:56.446Z</dcterms:modified>
</cp:coreProperties>
</file>

<file path=docProps/custom.xml><?xml version="1.0" encoding="utf-8"?>
<Properties xmlns="http://schemas.openxmlformats.org/officeDocument/2006/custom-properties" xmlns:vt="http://schemas.openxmlformats.org/officeDocument/2006/docPropsVTypes"/>
</file>