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Arial" w:cs="Arial" w:eastAsia="Arial" w:hAnsi="Arial"/>
          <w:b/>
          <w:bCs/>
          <w:color w:val="888888"/>
          <w:spacing w:val="40"/>
          <w:sz w:val="18"/>
          <w:szCs w:val="18"/>
        </w:rPr>
        <w:t xml:space="preserve">SESAME STREET</w:t>
      </w:r>
    </w:p>
    <w:p>
      <w:pPr>
        <w:spacing w:after="80"/>
      </w:pPr>
      <w:r>
        <w:rPr>
          <w:rFonts w:ascii="Arial" w:cs="Arial" w:eastAsia="Arial" w:hAnsi="Arial"/>
          <w:b/>
          <w:bCs/>
          <w:color w:val="1F6FA5"/>
          <w:sz w:val="40"/>
          <w:szCs w:val="40"/>
        </w:rPr>
        <w:t xml:space="preserve">Capital Stack — Worked Example</w:t>
      </w:r>
    </w:p>
    <w:p>
      <w:pPr>
        <w:spacing w:after="240"/>
      </w:pPr>
      <w:r>
        <w:rPr>
          <w:rFonts w:ascii="Arial" w:cs="Arial" w:eastAsia="Arial" w:hAnsi="Arial"/>
          <w:i/>
          <w:iCs/>
          <w:color w:val="666666"/>
          <w:sz w:val="22"/>
          <w:szCs w:val="22"/>
        </w:rPr>
        <w:t xml:space="preserve">Gatwick Airport  ·  April 2026  ·  For review</w:t>
      </w:r>
    </w:p>
    <w:p>
      <w:pPr>
        <w:pStyle w:val="Heading2"/>
        <w:spacing w:after="120" w:before="200"/>
      </w:pPr>
      <w:r>
        <w:rPr>
          <w:rFonts w:ascii="Arial" w:cs="Arial" w:eastAsia="Arial" w:hAnsi="Arial"/>
          <w:b/>
          <w:bCs/>
          <w:color w:val="1F6FA5"/>
          <w:sz w:val="26"/>
          <w:szCs w:val="26"/>
        </w:rPr>
        <w:t xml:space="preserve">Purpose</w:t>
      </w:r>
    </w:p>
    <w:p>
      <w:pPr>
        <w:spacing w:after="120"/>
      </w:pPr>
      <w:r>
        <w:rPr>
          <w:rFonts w:ascii="Arial" w:cs="Arial" w:eastAsia="Arial" w:hAnsi="Arial"/>
          <w:sz w:val="22"/>
          <w:szCs w:val="22"/>
        </w:rPr>
        <w:t xml:space="preserve">This note walks the capital stack for Gatwick Airport end-to-end using the v8 TopSheet taxonomy. It demonstrates how ownership percentages and entity levels flow through to an economic picture of each claimant’s position. The methodology is agnostic to Gatwick — the same engine is intended to run on every deal in the portfolio.</w:t>
      </w:r>
    </w:p>
    <w:p>
      <w:pPr>
        <w:spacing w:after="120"/>
      </w:pPr>
      <w:r>
        <w:rPr>
          <w:rFonts w:ascii="Arial" w:cs="Arial" w:eastAsia="Arial" w:hAnsi="Arial"/>
          <w:sz w:val="22"/>
          <w:szCs w:val="22"/>
        </w:rPr>
        <w:t xml:space="preserve">All debt figures below are live from the database. The only input that is not yet in our data model is Enterprise Value; this is the single field proposed to be added to Tab 1 of the TopSheet.</w:t>
      </w:r>
    </w:p>
    <w:p>
      <w:pPr>
        <w:pStyle w:val="Heading2"/>
        <w:spacing w:after="120" w:before="200"/>
      </w:pPr>
      <w:r>
        <w:rPr>
          <w:rFonts w:ascii="Arial" w:cs="Arial" w:eastAsia="Arial" w:hAnsi="Arial"/>
          <w:b/>
          <w:bCs/>
          <w:color w:val="1F6FA5"/>
          <w:sz w:val="26"/>
          <w:szCs w:val="26"/>
        </w:rPr>
        <w:t xml:space="preserve">1. Real Gatwick data from our system</w:t>
      </w:r>
    </w:p>
    <w:p>
      <w:pPr>
        <w:pStyle w:val="Heading3"/>
        <w:spacing w:after="100" w:before="180"/>
      </w:pPr>
      <w:r>
        <w:rPr>
          <w:rFonts w:ascii="Arial" w:cs="Arial" w:eastAsia="Arial" w:hAnsi="Arial"/>
          <w:b/>
          <w:bCs/>
          <w:sz w:val="22"/>
          <w:szCs w:val="22"/>
        </w:rPr>
        <w:t xml:space="preserve">Corporate structure (Tab 7 — corporate_entities)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000"/>
        <w:gridCol w:w="2560"/>
      </w:tblGrid>
      <w:tr>
        <w:trPr>
          <w:tblHeader/>
        </w:trPr>
        <w:tc>
          <w:tcPr>
            <w:tcW w:type="dxa" w:w="30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Entity</w:t>
            </w:r>
          </w:p>
        </w:tc>
        <w:tc>
          <w:tcPr>
            <w:tcW w:type="dxa" w:w="18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Role</w:t>
            </w:r>
          </w:p>
        </w:tc>
        <w:tc>
          <w:tcPr>
            <w:tcW w:type="dxa" w:w="20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Jurisdiction</w:t>
            </w:r>
          </w:p>
        </w:tc>
        <w:tc>
          <w:tcPr>
            <w:tcW w:type="dxa" w:w="256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Parent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Gatwick Airport Limited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OpCo (asset)</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GB</w:t>
            </w:r>
          </w:p>
        </w:tc>
        <w:tc>
          <w:tcPr>
            <w:tcW w:type="dxa" w:w="2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Ivy Holdco Limited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Gatwick Funding Limited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Issuer SPV</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GB</w:t>
            </w:r>
          </w:p>
        </w:tc>
        <w:tc>
          <w:tcPr>
            <w:tcW w:type="dxa" w:w="2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Ivy Holdco Limited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Ivy Holdco Limited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BidCo</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GB</w:t>
            </w:r>
          </w:p>
        </w:tc>
        <w:tc>
          <w:tcPr>
            <w:tcW w:type="dxa" w:w="2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VINCI Airports / GIP (50.01 / 49.99)</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VINCI Airports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HoldCo</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FR</w:t>
            </w:r>
          </w:p>
        </w:tc>
        <w:tc>
          <w:tcPr>
            <w:tcW w:type="dxa" w:w="2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VINCI SA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Global Infrastructure Partners (Blackrock)</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Ultimate parent</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US</w:t>
            </w:r>
          </w:p>
        </w:tc>
        <w:tc>
          <w:tcPr>
            <w:tcW w:type="dxa" w:w="2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VINCI SA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Ultimate parent</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FR</w:t>
            </w:r>
          </w:p>
        </w:tc>
        <w:tc>
          <w:tcPr>
            <w:tcW w:type="dxa" w:w="2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The operating company (Gatwick Airport Limited) and the issuer SPV (Gatwick Funding Limited) are economically a single unit under the 2011 Common Terms Agreement — they are joint debtors, and bonds issued by Gatwick Funding are secured by the assets and cashflows of the operating company.</w:t>
      </w:r>
    </w:p>
    <w:p>
      <w:pPr>
        <w:pStyle w:val="Heading3"/>
        <w:spacing w:after="100" w:before="180"/>
      </w:pPr>
      <w:r>
        <w:rPr>
          <w:rFonts w:ascii="Arial" w:cs="Arial" w:eastAsia="Arial" w:hAnsi="Arial"/>
          <w:b/>
          <w:bCs/>
          <w:sz w:val="22"/>
          <w:szCs w:val="22"/>
        </w:rPr>
        <w:t xml:space="preserve">Debt (Tab 2 — capital_structure_instruments)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400"/>
        <w:gridCol w:w="1800"/>
        <w:gridCol w:w="1560"/>
      </w:tblGrid>
      <w:tr>
        <w:trPr>
          <w:tblHeader/>
        </w:trPr>
        <w:tc>
          <w:tcPr>
            <w:tcW w:type="dxa" w:w="32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Bond</w:t>
            </w:r>
          </w:p>
        </w:tc>
        <w:tc>
          <w:tcPr>
            <w:tcW w:type="dxa" w:w="14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Drawn (£m)</w:t>
            </w:r>
          </w:p>
        </w:tc>
        <w:tc>
          <w:tcPr>
            <w:tcW w:type="dxa" w:w="14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Coupon</w:t>
            </w:r>
          </w:p>
        </w:tc>
        <w:tc>
          <w:tcPr>
            <w:tcW w:type="dxa" w:w="18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Maturity</w:t>
            </w:r>
          </w:p>
        </w:tc>
        <w:tc>
          <w:tcPr>
            <w:tcW w:type="dxa" w:w="156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Class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Class A 6.125% 2026 Bond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300.0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6.125%</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Mar 2026</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Class A 2.5% 2030 Bond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300.0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2.50%</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Apr 2030</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Class A SLB 3.625% 2033 Bond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627.2</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3.625%</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Oct 2033</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 (SLB)</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Class A 4.625% 2034 Bond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350.0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4.625%</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Mar 2034</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Class A 5.75% 2037 Bond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300.0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5.75%</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Jan 2037</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Class A 3.125% 2039 Bond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350.0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3.125%</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Sep 2039</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Class A 5.5% 2040 Bond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250.0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5.50%</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Apr 2040</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Class A 6.5% 2041 Bond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300.0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6.50%</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Mar 2041</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Class A 2.625% 2046 Bond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180.1</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2.625%</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Oct 2046</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Class A 3.25% 2048 Bond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203.3</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3.25%</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Feb 2048</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Class A 2.875% 2049 Bond</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204.0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2.875%</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Jul 2049</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A</w:t>
            </w:r>
          </w:p>
        </w:tc>
      </w:tr>
      <w:tr>
        <w:tc>
          <w:tcPr>
            <w:tcW w:type="dxa" w:w="32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20"/>
                <w:szCs w:val="20"/>
              </w:rPr>
              <w:t xml:space="preserve">Total Class A bonds</w:t>
            </w:r>
          </w:p>
        </w:tc>
        <w:tc>
          <w:tcPr>
            <w:tcW w:type="dxa" w:w="14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jc w:val="right"/>
            </w:pPr>
            <w:r>
              <w:rPr>
                <w:rFonts w:ascii="Arial" w:cs="Arial" w:eastAsia="Arial" w:hAnsi="Arial"/>
                <w:b/>
                <w:bCs/>
                <w:color w:val="000000"/>
                <w:sz w:val="20"/>
                <w:szCs w:val="20"/>
              </w:rPr>
              <w:t xml:space="preserve">3,364.6</w:t>
            </w:r>
          </w:p>
        </w:tc>
        <w:tc>
          <w:tcPr>
            <w:tcW w:type="dxa" w:w="14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
            </w:r>
          </w:p>
        </w:tc>
        <w:tc>
          <w:tcPr>
            <w:tcW w:type="dxa" w:w="18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20"/>
                <w:szCs w:val="20"/>
              </w:rPr>
              <w:t xml:space="preserve">all pari-passu</w:t>
            </w:r>
          </w:p>
        </w:tc>
        <w:tc>
          <w:tcPr>
            <w:tcW w:type="dxa" w:w="156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20"/>
                <w:szCs w:val="20"/>
              </w:rPr>
              <w:t xml:space="preserve">rank 1</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All 11 bonds are Class A, pari-passu with one another, and would be assigned cashflow_priority_rank = 1 by the v8 auto-ranking engine. Weighted average coupon ≈ 3.9%; weighted average life ≈ 11.5 years.</w:t>
      </w:r>
    </w:p>
    <w:p>
      <w:pPr>
        <w:pStyle w:val="Heading2"/>
        <w:spacing w:after="120" w:before="200"/>
      </w:pPr>
      <w:r>
        <w:rPr>
          <w:rFonts w:ascii="Arial" w:cs="Arial" w:eastAsia="Arial" w:hAnsi="Arial"/>
          <w:b/>
          <w:bCs/>
          <w:color w:val="1F6FA5"/>
          <w:sz w:val="26"/>
          <w:szCs w:val="26"/>
        </w:rPr>
        <w:t xml:space="preserve">2. Valuation assumption (the missing piece)</w:t>
      </w:r>
    </w:p>
    <w:p>
      <w:pPr>
        <w:spacing w:after="120"/>
      </w:pPr>
      <w:r>
        <w:rPr>
          <w:rFonts w:ascii="Arial" w:cs="Arial" w:eastAsia="Arial" w:hAnsi="Arial"/>
          <w:sz w:val="22"/>
          <w:szCs w:val="22"/>
        </w:rPr>
        <w:t xml:space="preserve">Gatwick does not yet have an Enterprise Value on file. For this example the working assumption is £6,500m, built from two cross-checks:</w:t>
      </w:r>
    </w:p>
    <w:p>
      <w:pPr>
        <w:pStyle w:val="ListParagraph"/>
        <w:numPr>
          <w:ilvl w:val="0"/>
          <w:numId w:val="2"/>
        </w:numPr>
        <w:spacing w:after="80"/>
      </w:pPr>
      <w:r>
        <w:rPr>
          <w:rFonts w:ascii="Arial" w:cs="Arial" w:eastAsia="Arial" w:hAnsi="Arial"/>
          <w:sz w:val="22"/>
          <w:szCs w:val="22"/>
        </w:rPr>
        <w:t xml:space="preserve">FY2024 EBITDA of £571m at an EV/EBITDA multiple of ∼11.4× (midpoint of the UK regulated airport peer range) → £6.5bn.</w:t>
      </w:r>
    </w:p>
    <w:p>
      <w:pPr>
        <w:pStyle w:val="ListParagraph"/>
        <w:numPr>
          <w:ilvl w:val="0"/>
          <w:numId w:val="2"/>
        </w:numPr>
        <w:spacing w:after="80"/>
      </w:pPr>
      <w:r>
        <w:rPr>
          <w:rFonts w:ascii="Arial" w:cs="Arial" w:eastAsia="Arial" w:hAnsi="Arial"/>
          <w:sz w:val="22"/>
          <w:szCs w:val="22"/>
        </w:rPr>
        <w:t xml:space="preserve">VINCI paid £2.9bn for 50.01% in 2019, which implied £5.8bn total. Post-Covid passenger recovery to 43.2m in 2024 and the refinancing of the capital structure would lift that materially.</w:t>
      </w:r>
    </w:p>
    <w:p>
      <w:pPr>
        <w:spacing w:after="120"/>
      </w:pPr>
      <w:r>
        <w:rPr>
          <w:rFonts w:ascii="Arial" w:cs="Arial" w:eastAsia="Arial" w:hAnsi="Arial"/>
          <w:sz w:val="22"/>
          <w:szCs w:val="22"/>
        </w:rPr>
        <w:t xml:space="preserve">In a live deal this single number would be stamped on Tab 1 with a valuation method (transaction / DCF / multiples / appraisal / mark-to-model) and valuation date. Every subsequent number on this page is derived from it.</w:t>
      </w:r>
    </w:p>
    <w:p>
      <w:pPr>
        <w:pStyle w:val="Heading2"/>
        <w:spacing w:after="120" w:before="200"/>
      </w:pPr>
      <w:r>
        <w:rPr>
          <w:rFonts w:ascii="Arial" w:cs="Arial" w:eastAsia="Arial" w:hAnsi="Arial"/>
          <w:b/>
          <w:bCs/>
          <w:color w:val="1F6FA5"/>
          <w:sz w:val="26"/>
          <w:szCs w:val="26"/>
        </w:rPr>
        <w:t xml:space="preserve">3. The walked capital stack</w:t>
      </w:r>
    </w:p>
    <w:p>
      <w:pPr>
        <w:pStyle w:val="Heading3"/>
        <w:spacing w:after="100" w:before="180"/>
      </w:pPr>
      <w:r>
        <w:rPr>
          <w:rFonts w:ascii="Arial" w:cs="Arial" w:eastAsia="Arial" w:hAnsi="Arial"/>
          <w:b/>
          <w:bCs/>
          <w:sz w:val="22"/>
          <w:szCs w:val="22"/>
        </w:rPr>
        <w:t xml:space="preserve">Step 1 — OpCo / Issuer combined (the asset level)</w:t>
      </w:r>
    </w:p>
    <w:p>
      <w:pPr>
        <w:spacing w:after="120"/>
      </w:pPr>
      <w:r>
        <w:rPr>
          <w:rFonts w:ascii="Arial" w:cs="Arial" w:eastAsia="Arial" w:hAnsi="Arial"/>
          <w:sz w:val="22"/>
          <w:szCs w:val="22"/>
        </w:rPr>
        <w:t xml:space="preserve">This is where the operating cashflow lives and where all external debt is secured. For Gatwick, the CTA makes OpCo and the Issuer a single economic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1600"/>
        <w:gridCol w:w="1600"/>
        <w:gridCol w:w="1660"/>
      </w:tblGrid>
      <w:tr>
        <w:trPr>
          <w:tblHeader/>
        </w:trPr>
        <w:tc>
          <w:tcPr>
            <w:tcW w:type="dxa" w:w="45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Layer</w:t>
            </w:r>
          </w:p>
        </w:tc>
        <w:tc>
          <w:tcPr>
            <w:tcW w:type="dxa" w:w="16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£m</w:t>
            </w:r>
          </w:p>
        </w:tc>
        <w:tc>
          <w:tcPr>
            <w:tcW w:type="dxa" w:w="16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 of EV</w:t>
            </w:r>
          </w:p>
        </w:tc>
        <w:tc>
          <w:tcPr>
            <w:tcW w:type="dxa" w:w="166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Priority</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Class A senior secured (11 bonds, pari-passu)</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3,364.6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51.8%</w:t>
            </w:r>
          </w:p>
        </w:tc>
        <w:tc>
          <w:tcPr>
            <w:tcW w:type="dxa" w:w="1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Rank 1</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bCs/>
                <w:color w:val="2F8B72"/>
                <w:sz w:val="20"/>
                <w:szCs w:val="20"/>
              </w:rPr>
              <w:t xml:space="preserve">OpCo equity value (residual)</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bCs/>
                <w:color w:val="2F8B72"/>
                <w:sz w:val="20"/>
                <w:szCs w:val="20"/>
              </w:rPr>
              <w:t xml:space="preserve">3,135.4</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bCs/>
                <w:color w:val="2F8B72"/>
                <w:sz w:val="20"/>
                <w:szCs w:val="20"/>
              </w:rPr>
              <w:t xml:space="preserve">48.2%</w:t>
            </w:r>
          </w:p>
        </w:tc>
        <w:tc>
          <w:tcPr>
            <w:tcW w:type="dxa" w:w="16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bCs/>
                <w:color w:val="2F8B72"/>
                <w:sz w:val="20"/>
                <w:szCs w:val="20"/>
              </w:rPr>
              <w:t xml:space="preserve">Rank ∞</w:t>
            </w:r>
          </w:p>
        </w:tc>
      </w:tr>
      <w:tr>
        <w:tc>
          <w:tcPr>
            <w:tcW w:type="dxa" w:w="45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20"/>
                <w:szCs w:val="20"/>
              </w:rPr>
              <w:t xml:space="preserve">Enterprise Value (assumed)</w:t>
            </w:r>
          </w:p>
        </w:tc>
        <w:tc>
          <w:tcPr>
            <w:tcW w:type="dxa" w:w="16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jc w:val="right"/>
            </w:pPr>
            <w:r>
              <w:rPr>
                <w:rFonts w:ascii="Arial" w:cs="Arial" w:eastAsia="Arial" w:hAnsi="Arial"/>
                <w:b/>
                <w:bCs/>
                <w:color w:val="000000"/>
                <w:sz w:val="20"/>
                <w:szCs w:val="20"/>
              </w:rPr>
              <w:t xml:space="preserve">6,500.0</w:t>
            </w:r>
          </w:p>
        </w:tc>
        <w:tc>
          <w:tcPr>
            <w:tcW w:type="dxa" w:w="16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jc w:val="right"/>
            </w:pPr>
            <w:r>
              <w:rPr>
                <w:rFonts w:ascii="Arial" w:cs="Arial" w:eastAsia="Arial" w:hAnsi="Arial"/>
                <w:b/>
                <w:bCs/>
                <w:color w:val="000000"/>
                <w:sz w:val="20"/>
                <w:szCs w:val="20"/>
              </w:rPr>
              <w:t xml:space="preserve">100.0%</w:t>
            </w:r>
          </w:p>
        </w:tc>
        <w:tc>
          <w:tcPr>
            <w:tcW w:type="dxa" w:w="166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Leverage metrics at this level:</w:t>
      </w:r>
    </w:p>
    <w:p>
      <w:pPr>
        <w:pStyle w:val="ListParagraph"/>
        <w:numPr>
          <w:ilvl w:val="0"/>
          <w:numId w:val="2"/>
        </w:numPr>
        <w:spacing w:after="80"/>
      </w:pPr>
      <w:r>
        <w:rPr>
          <w:rFonts w:ascii="Arial" w:cs="Arial" w:eastAsia="Arial" w:hAnsi="Arial"/>
          <w:sz w:val="22"/>
          <w:szCs w:val="22"/>
        </w:rPr>
        <w:t xml:space="preserve">LTV (bonds ÷ EV) = 51.8%.</w:t>
      </w:r>
    </w:p>
    <w:p>
      <w:pPr>
        <w:pStyle w:val="ListParagraph"/>
        <w:numPr>
          <w:ilvl w:val="0"/>
          <w:numId w:val="2"/>
        </w:numPr>
        <w:spacing w:after="80"/>
      </w:pPr>
      <w:r>
        <w:rPr>
          <w:rFonts w:ascii="Arial" w:cs="Arial" w:eastAsia="Arial" w:hAnsi="Arial"/>
          <w:sz w:val="22"/>
          <w:szCs w:val="22"/>
        </w:rPr>
        <w:t xml:space="preserve">Net Debt ÷ EBITDA = £3,364.6m ÷ £571m = 5.89×.</w:t>
      </w:r>
    </w:p>
    <w:p>
      <w:pPr>
        <w:pStyle w:val="ListParagraph"/>
        <w:numPr>
          <w:ilvl w:val="0"/>
          <w:numId w:val="2"/>
        </w:numPr>
        <w:spacing w:after="80"/>
      </w:pPr>
      <w:r>
        <w:rPr>
          <w:rFonts w:ascii="Arial" w:cs="Arial" w:eastAsia="Arial" w:hAnsi="Arial"/>
          <w:sz w:val="22"/>
          <w:szCs w:val="22"/>
        </w:rPr>
        <w:t xml:space="preserve">Equity cushion below the bonds = £3,135m.</w:t>
      </w:r>
    </w:p>
    <w:p>
      <w:pPr>
        <w:pStyle w:val="Heading3"/>
        <w:spacing w:after="100" w:before="180"/>
      </w:pPr>
      <w:r>
        <w:rPr>
          <w:rFonts w:ascii="Arial" w:cs="Arial" w:eastAsia="Arial" w:hAnsi="Arial"/>
          <w:b/>
          <w:bCs/>
          <w:sz w:val="22"/>
          <w:szCs w:val="22"/>
        </w:rPr>
        <w:t xml:space="preserve">Step 2 — Ivy Holdco (BidCo)</w:t>
      </w:r>
    </w:p>
    <w:p>
      <w:pPr>
        <w:spacing w:after="120"/>
      </w:pPr>
      <w:r>
        <w:rPr>
          <w:rFonts w:ascii="Arial" w:cs="Arial" w:eastAsia="Arial" w:hAnsi="Arial"/>
          <w:sz w:val="22"/>
          <w:szCs w:val="22"/>
        </w:rPr>
        <w:t xml:space="preserve">Ivy Holdco owns 100% of both the OpCo and the Issuer. There is no external debt at Ivy level. Ivy Holdco is a pass-through: all £3,135.4m of OpCo equity flows up without dilution and without being absorbed by debt.</w:t>
      </w:r>
    </w:p>
    <w:p>
      <w:pPr>
        <w:pStyle w:val="Heading3"/>
        <w:spacing w:after="100" w:before="180"/>
      </w:pPr>
      <w:r>
        <w:rPr>
          <w:rFonts w:ascii="Arial" w:cs="Arial" w:eastAsia="Arial" w:hAnsi="Arial"/>
          <w:b/>
          <w:bCs/>
          <w:sz w:val="22"/>
          <w:szCs w:val="22"/>
        </w:rPr>
        <w:t xml:space="preserve">Step 3 — Shareholder level (VINCI / GIP)</w:t>
      </w:r>
    </w:p>
    <w:p>
      <w:pPr>
        <w:spacing w:after="120"/>
      </w:pPr>
      <w:r>
        <w:rPr>
          <w:rFonts w:ascii="Arial" w:cs="Arial" w:eastAsia="Arial" w:hAnsi="Arial"/>
          <w:sz w:val="22"/>
          <w:szCs w:val="22"/>
        </w:rPr>
        <w:t xml:space="preserve">The Ivy Holdco equity splits along the 50.01 / 49.99 JV: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Shareholder</w:t>
            </w:r>
          </w:p>
        </w:tc>
        <w:tc>
          <w:tcPr>
            <w:tcW w:type="dxa" w:w="20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Ownership</w:t>
            </w:r>
          </w:p>
        </w:tc>
        <w:tc>
          <w:tcPr>
            <w:tcW w:type="dxa" w:w="316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Attributable equity (£m)</w:t>
            </w:r>
          </w:p>
        </w:tc>
      </w:tr>
      <w:tr>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VINCI Airports (VINCI SA)</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50.01%</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1,568.4</w:t>
            </w:r>
          </w:p>
        </w:tc>
      </w:tr>
      <w:tr>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Global Infrastructure Partners (Blackrock)</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49.99%</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jc w:val="right"/>
            </w:pPr>
            <w:r>
              <w:rPr>
                <w:rFonts w:ascii="Arial" w:cs="Arial" w:eastAsia="Arial" w:hAnsi="Arial"/>
                <w:b w:val="false"/>
                <w:bCs w:val="false"/>
                <w:color w:val="000000"/>
                <w:sz w:val="20"/>
                <w:szCs w:val="20"/>
              </w:rPr>
              <w:t xml:space="preserve">1,567.0</w:t>
            </w:r>
          </w:p>
        </w:tc>
      </w:tr>
      <w:tr>
        <w:tc>
          <w:tcPr>
            <w:tcW w:type="dxa" w:w="42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20"/>
                <w:szCs w:val="20"/>
              </w:rPr>
              <w:t xml:space="preserve">Total equity attributable</w:t>
            </w:r>
          </w:p>
        </w:tc>
        <w:tc>
          <w:tcPr>
            <w:tcW w:type="dxa" w:w="20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jc w:val="right"/>
            </w:pPr>
            <w:r>
              <w:rPr>
                <w:rFonts w:ascii="Arial" w:cs="Arial" w:eastAsia="Arial" w:hAnsi="Arial"/>
                <w:b/>
                <w:bCs/>
                <w:color w:val="000000"/>
                <w:sz w:val="20"/>
                <w:szCs w:val="20"/>
              </w:rPr>
              <w:t xml:space="preserve">100.00%</w:t>
            </w:r>
          </w:p>
        </w:tc>
        <w:tc>
          <w:tcPr>
            <w:tcW w:type="dxa" w:w="316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jc w:val="right"/>
            </w:pPr>
            <w:r>
              <w:rPr>
                <w:rFonts w:ascii="Arial" w:cs="Arial" w:eastAsia="Arial" w:hAnsi="Arial"/>
                <w:b/>
                <w:bCs/>
                <w:color w:val="000000"/>
                <w:sz w:val="20"/>
                <w:szCs w:val="20"/>
              </w:rPr>
              <w:t xml:space="preserve">3,135.4</w:t>
            </w:r>
          </w:p>
        </w:tc>
      </w:tr>
    </w:tbl>
    <w:p>
      <w:pPr>
        <w:spacing w:after="120"/>
      </w:pPr>
      <w:r>
        <w:rPr>
          <w:rFonts w:ascii="Arial" w:cs="Arial" w:eastAsia="Arial" w:hAnsi="Arial"/>
          <w:sz w:val="22"/>
          <w:szCs w:val="22"/>
        </w:rPr>
        <w:t xml:space="preserve"/>
      </w:r>
    </w:p>
    <w:p>
      <w:pPr>
        <w:pStyle w:val="Heading2"/>
        <w:spacing w:after="120" w:before="200"/>
      </w:pPr>
      <w:r>
        <w:rPr>
          <w:rFonts w:ascii="Arial" w:cs="Arial" w:eastAsia="Arial" w:hAnsi="Arial"/>
          <w:b/>
          <w:bCs/>
          <w:color w:val="1F6FA5"/>
          <w:sz w:val="26"/>
          <w:szCs w:val="26"/>
        </w:rPr>
        <w:t xml:space="preserve">4. Visual stack summary</w:t>
      </w:r>
    </w:p>
    <w:p>
      <w:pPr>
        <w:spacing w:after="120"/>
      </w:pPr>
      <w:r>
        <w:rPr>
          <w:rFonts w:ascii="Arial" w:cs="Arial" w:eastAsia="Arial" w:hAnsi="Arial"/>
          <w:sz w:val="22"/>
          <w:szCs w:val="22"/>
        </w:rPr>
        <w:t xml:space="preserve">The full stack from bottom (first claim on cashflows) to top (residual claim):</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SHAREHOLDERS  (50.01 / 49.99 JV — ownership split)              ┃</w:t>
      </w:r>
    </w:p>
    <w:p>
      <w:pPr>
        <w:spacing w:after="40"/>
      </w:pPr>
      <w:r>
        <w:rPr>
          <w:rFonts w:ascii="Consolas" w:cs="Consolas" w:eastAsia="Consolas" w:hAnsi="Consolas"/>
          <w:sz w:val="18"/>
          <w:szCs w:val="18"/>
        </w:rPr>
        <w:t xml:space="preserve">┃   VINCI Airports          £1,568m   50.01%                      ┃</w:t>
      </w:r>
    </w:p>
    <w:p>
      <w:pPr>
        <w:spacing w:after="40"/>
      </w:pPr>
      <w:r>
        <w:rPr>
          <w:rFonts w:ascii="Consolas" w:cs="Consolas" w:eastAsia="Consolas" w:hAnsi="Consolas"/>
          <w:sz w:val="18"/>
          <w:szCs w:val="18"/>
        </w:rPr>
        <w:t xml:space="preserve">┃   GIP / Blackrock         £1,567m   49.99%                      ┃</w:t>
      </w:r>
    </w:p>
    <w:p>
      <w:pPr>
        <w:spacing w:after="40"/>
      </w:pPr>
      <w:r>
        <w:rPr>
          <w:rFonts w:ascii="Consolas" w:cs="Consolas" w:eastAsia="Consolas" w:hAnsi="Consolas"/>
          <w:sz w:val="18"/>
          <w:szCs w:val="18"/>
        </w:rPr>
        <w:t xml:space="preserve">┃   Equity attributable     £3,135m    48% of EV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IVY HOLDCO  (100% owner of OpCo)         [pass-through]          ┃</w:t>
      </w:r>
    </w:p>
    <w:p>
      <w:pPr>
        <w:spacing w:after="40"/>
      </w:pPr>
      <w:r>
        <w:rPr>
          <w:rFonts w:ascii="Consolas" w:cs="Consolas" w:eastAsia="Consolas" w:hAnsi="Consolas"/>
          <w:sz w:val="18"/>
          <w:szCs w:val="18"/>
        </w:rPr>
        <w:t xml:space="preserve">┃   No external debt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OPCO / ISSUER  (CTA-linked debtor group)                          ┃</w:t>
      </w:r>
    </w:p>
    <w:p>
      <w:pPr>
        <w:spacing w:after="40"/>
      </w:pPr>
      <w:r>
        <w:rPr>
          <w:rFonts w:ascii="Consolas" w:cs="Consolas" w:eastAsia="Consolas" w:hAnsi="Consolas"/>
          <w:sz w:val="18"/>
          <w:szCs w:val="18"/>
        </w:rPr>
        <w:t xml:space="preserve">┃   Class A bonds (11 tranches)  £3,365m   52%   Rank 1 (pari)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Enterprise Value = £6,500m</w:t>
      </w:r>
    </w:p>
    <w:p>
      <w:pPr>
        <w:spacing w:after="120"/>
      </w:pPr>
      <w:r>
        <w:rPr>
          <w:rFonts w:ascii="Arial" w:cs="Arial" w:eastAsia="Arial" w:hAnsi="Arial"/>
          <w:sz w:val="22"/>
          <w:szCs w:val="22"/>
        </w:rPr>
        <w:t xml:space="preserve"/>
      </w:r>
    </w:p>
    <w:p>
      <w:pPr>
        <w:pStyle w:val="Heading2"/>
        <w:spacing w:after="120" w:before="200"/>
      </w:pPr>
      <w:r>
        <w:rPr>
          <w:rFonts w:ascii="Arial" w:cs="Arial" w:eastAsia="Arial" w:hAnsi="Arial"/>
          <w:b/>
          <w:bCs/>
          <w:color w:val="1F6FA5"/>
          <w:sz w:val="26"/>
          <w:szCs w:val="26"/>
        </w:rPr>
        <w:t xml:space="preserve">5. Our position (as a £125m Class A bondholder)</w:t>
      </w:r>
    </w:p>
    <w:p>
      <w:pPr>
        <w:pStyle w:val="ListParagraph"/>
        <w:numPr>
          <w:ilvl w:val="0"/>
          <w:numId w:val="2"/>
        </w:numPr>
        <w:spacing w:after="80"/>
      </w:pPr>
      <w:r>
        <w:rPr>
          <w:rFonts w:ascii="Arial" w:cs="Arial" w:eastAsia="Arial" w:hAnsi="Arial"/>
          <w:sz w:val="22"/>
          <w:szCs w:val="22"/>
        </w:rPr>
        <w:t xml:space="preserve">Priority rank: 1 — first claim on OpCo cashflows, pari-passu with every other Class A bondholder.</w:t>
      </w:r>
    </w:p>
    <w:p>
      <w:pPr>
        <w:pStyle w:val="ListParagraph"/>
        <w:numPr>
          <w:ilvl w:val="0"/>
          <w:numId w:val="2"/>
        </w:numPr>
        <w:spacing w:after="80"/>
      </w:pPr>
      <w:r>
        <w:rPr>
          <w:rFonts w:ascii="Arial" w:cs="Arial" w:eastAsia="Arial" w:hAnsi="Arial"/>
          <w:sz w:val="22"/>
          <w:szCs w:val="22"/>
        </w:rPr>
        <w:t xml:space="preserve">Total pari-passu debt ahead of us: £3,240m (the other bonds).</w:t>
      </w:r>
    </w:p>
    <w:p>
      <w:pPr>
        <w:pStyle w:val="ListParagraph"/>
        <w:numPr>
          <w:ilvl w:val="0"/>
          <w:numId w:val="2"/>
        </w:numPr>
        <w:spacing w:after="80"/>
      </w:pPr>
      <w:r>
        <w:rPr>
          <w:rFonts w:ascii="Arial" w:cs="Arial" w:eastAsia="Arial" w:hAnsi="Arial"/>
          <w:sz w:val="22"/>
          <w:szCs w:val="22"/>
        </w:rPr>
        <w:t xml:space="preserve">Equity cushion below the most senior debt the lender is exposed to: £3,135m.</w:t>
      </w:r>
    </w:p>
    <w:p>
      <w:pPr>
        <w:pStyle w:val="ListParagraph"/>
        <w:numPr>
          <w:ilvl w:val="0"/>
          <w:numId w:val="2"/>
        </w:numPr>
        <w:spacing w:after="80"/>
      </w:pPr>
      <w:r>
        <w:rPr>
          <w:rFonts w:ascii="Arial" w:cs="Arial" w:eastAsia="Arial" w:hAnsi="Arial"/>
          <w:sz w:val="22"/>
          <w:szCs w:val="22"/>
        </w:rPr>
        <w:t xml:space="preserve">LTV to our level: 51.8%.</w:t>
      </w:r>
    </w:p>
    <w:p>
      <w:pPr>
        <w:pStyle w:val="ListParagraph"/>
        <w:numPr>
          <w:ilvl w:val="0"/>
          <w:numId w:val="2"/>
        </w:numPr>
        <w:spacing w:after="80"/>
      </w:pPr>
      <w:r>
        <w:rPr>
          <w:rFonts w:ascii="Arial" w:cs="Arial" w:eastAsia="Arial" w:hAnsi="Arial"/>
          <w:sz w:val="22"/>
          <w:szCs w:val="22"/>
        </w:rPr>
        <w:t xml:space="preserve">There is no HoldCo debt, no mezzanine, and no contractually subordinated instrument — the only structural layer above the bonds is sponsor equity.</w:t>
      </w:r>
    </w:p>
    <w:p>
      <w:pPr>
        <w:pStyle w:val="Heading2"/>
        <w:spacing w:after="120" w:before="200"/>
      </w:pPr>
      <w:r>
        <w:rPr>
          <w:rFonts w:ascii="Arial" w:cs="Arial" w:eastAsia="Arial" w:hAnsi="Arial"/>
          <w:b/>
          <w:bCs/>
          <w:color w:val="1F6FA5"/>
          <w:sz w:val="26"/>
          <w:szCs w:val="26"/>
        </w:rPr>
        <w:t xml:space="preserve">6.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Theme</w:t>
            </w:r>
          </w:p>
        </w:tc>
        <w:tc>
          <w:tcPr>
            <w:tcW w:type="dxa" w:w="656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Arial" w:cs="Arial" w:eastAsia="Arial" w:hAnsi="Arial"/>
                <w:b/>
                <w:bCs/>
                <w:color w:val="000000"/>
                <w:sz w:val="19"/>
                <w:szCs w:val="19"/>
              </w:rPr>
              <w:t xml:space="preserve">Observation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bCs/>
                <w:color w:val="000000"/>
                <w:sz w:val="20"/>
                <w:szCs w:val="20"/>
              </w:rPr>
              <w:t xml:space="preserve">Structural clarity</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Flat stack — all external debt sits at one level (the CTA-linked OpCo/Issuer). No HoldCo leverage. Simple from a lender perspective.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bCs/>
                <w:color w:val="000000"/>
                <w:sz w:val="20"/>
                <w:szCs w:val="20"/>
              </w:rPr>
              <w:t xml:space="preserve">Equity cushion</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48% of EV. This is strong for regulated airport paper; typical airport LTVs run 55–65%.</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bCs/>
                <w:color w:val="000000"/>
                <w:sz w:val="20"/>
                <w:szCs w:val="20"/>
              </w:rPr>
              <w:t xml:space="preserve">Ownership visibility</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The 50.01/49.99 JV split only matters for events that reach up to shareholder behaviour (change of control, shareholder support undertakings, dilution tests). It does not affect our first-claim position on operating cashflows.</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bCs/>
                <w:color w:val="000000"/>
                <w:sz w:val="20"/>
                <w:szCs w:val="20"/>
              </w:rPr>
              <w:t xml:space="preserve">Gap in current DB</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The £300m RCF and any non-bond facilities are not yet captured in capital_structure_instruments. Once added they would sit as Class A pari-passu alongside the bonds.</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bCs/>
                <w:color w:val="000000"/>
                <w:sz w:val="20"/>
                <w:szCs w:val="20"/>
              </w:rPr>
              <w:t xml:space="preserve">Data we’re missing for a true live stack</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b w:val="false"/>
                <w:bCs w:val="false"/>
                <w:color w:val="000000"/>
                <w:sz w:val="20"/>
                <w:szCs w:val="20"/>
              </w:rPr>
              <w:t xml:space="preserve">Just one field — Enterprise Value on Tab 1. With that populated, every other number in this example is derived from the v8 taxonomy (Tabs 2 and 7).</w:t>
            </w:r>
          </w:p>
        </w:tc>
      </w:tr>
    </w:tbl>
    <w:p>
      <w:pPr>
        <w:spacing w:after="120"/>
      </w:pPr>
      <w:r>
        <w:rPr>
          <w:rFonts w:ascii="Arial" w:cs="Arial" w:eastAsia="Arial" w:hAnsi="Arial"/>
          <w:sz w:val="22"/>
          <w:szCs w:val="22"/>
        </w:rPr>
        <w:t xml:space="preserve"/>
      </w:r>
    </w:p>
    <w:p>
      <w:pPr>
        <w:pStyle w:val="Heading2"/>
        <w:spacing w:after="120" w:before="200"/>
      </w:pPr>
      <w:r>
        <w:rPr>
          <w:rFonts w:ascii="Arial" w:cs="Arial" w:eastAsia="Arial" w:hAnsi="Arial"/>
          <w:b/>
          <w:bCs/>
          <w:color w:val="1F6FA5"/>
          <w:sz w:val="26"/>
          <w:szCs w:val="26"/>
        </w:rPr>
        <w:t xml:space="preserve">7. Proposed implementation</w:t>
      </w:r>
    </w:p>
    <w:p>
      <w:pPr>
        <w:spacing w:after="120"/>
      </w:pPr>
      <w:r>
        <w:rPr>
          <w:rFonts w:ascii="Arial" w:cs="Arial" w:eastAsia="Arial" w:hAnsi="Arial"/>
          <w:sz w:val="22"/>
          <w:szCs w:val="22"/>
        </w:rPr>
        <w:t xml:space="preserve">To produce this view automatically on every deal:</w:t>
      </w:r>
    </w:p>
    <w:p>
      <w:pPr>
        <w:pStyle w:val="ListParagraph"/>
        <w:numPr>
          <w:ilvl w:val="0"/>
          <w:numId w:val="2"/>
        </w:numPr>
        <w:spacing w:after="80"/>
      </w:pPr>
      <w:r>
        <w:rPr>
          <w:rFonts w:ascii="Arial" w:cs="Arial" w:eastAsia="Arial" w:hAnsi="Arial"/>
          <w:sz w:val="22"/>
          <w:szCs w:val="22"/>
        </w:rPr>
        <w:t xml:space="preserve">Add 3 new columns to the deals table: valuation_date, valuation_method, valuation_entity. enterprise_value already exists.</w:t>
      </w:r>
    </w:p>
    <w:p>
      <w:pPr>
        <w:pStyle w:val="ListParagraph"/>
        <w:numPr>
          <w:ilvl w:val="0"/>
          <w:numId w:val="2"/>
        </w:numPr>
        <w:spacing w:after="80"/>
      </w:pPr>
      <w:r>
        <w:rPr>
          <w:rFonts w:ascii="Arial" w:cs="Arial" w:eastAsia="Arial" w:hAnsi="Arial"/>
          <w:sz w:val="22"/>
          <w:szCs w:val="22"/>
        </w:rPr>
        <w:t xml:space="preserve">Add a VALUATION &amp; EQUITY section to Tab 1 of the TopSheet collecting those four inputs (EV, Date, Method, Entity).</w:t>
      </w:r>
    </w:p>
    <w:p>
      <w:pPr>
        <w:pStyle w:val="ListParagraph"/>
        <w:numPr>
          <w:ilvl w:val="0"/>
          <w:numId w:val="2"/>
        </w:numPr>
        <w:spacing w:after="80"/>
      </w:pPr>
      <w:r>
        <w:rPr>
          <w:rFonts w:ascii="Arial" w:cs="Arial" w:eastAsia="Arial" w:hAnsi="Arial"/>
          <w:sz w:val="22"/>
          <w:szCs w:val="22"/>
        </w:rPr>
        <w:t xml:space="preserve">Extend server/capital_structure_engine.py with a build_capital_stack(deal, instruments, entities, ev) helper that walks the ownership chain and returns a tiered stack structure ready for rendering.</w:t>
      </w:r>
    </w:p>
    <w:p>
      <w:pPr>
        <w:pStyle w:val="ListParagraph"/>
        <w:numPr>
          <w:ilvl w:val="0"/>
          <w:numId w:val="2"/>
        </w:numPr>
        <w:spacing w:after="80"/>
      </w:pPr>
      <w:r>
        <w:rPr>
          <w:rFonts w:ascii="Arial" w:cs="Arial" w:eastAsia="Arial" w:hAnsi="Arial"/>
          <w:sz w:val="22"/>
          <w:szCs w:val="22"/>
        </w:rPr>
        <w:t xml:space="preserve">Add a Capital Stack block to the Deal TopSheet page rendering the visual layers, ownership splits, and attributable-equity numbers.</w:t>
      </w:r>
    </w:p>
    <w:p>
      <w:pPr>
        <w:pStyle w:val="ListParagraph"/>
        <w:numPr>
          <w:ilvl w:val="0"/>
          <w:numId w:val="2"/>
        </w:numPr>
        <w:spacing w:after="80"/>
      </w:pPr>
      <w:r>
        <w:rPr>
          <w:rFonts w:ascii="Arial" w:cs="Arial" w:eastAsia="Arial" w:hAnsi="Arial"/>
          <w:sz w:val="22"/>
          <w:szCs w:val="22"/>
        </w:rPr>
        <w:t xml:space="preserve">Bump the Excel template to v9.</w:t>
      </w:r>
    </w:p>
    <w:p>
      <w:pPr>
        <w:spacing w:after="120"/>
      </w:pPr>
      <w:r>
        <w:rPr>
          <w:rFonts w:ascii="Arial" w:cs="Arial" w:eastAsia="Arial" w:hAnsi="Arial"/>
          <w:sz w:val="22"/>
          <w:szCs w:val="22"/>
        </w:rPr>
        <w:t xml:space="preserve"/>
      </w:r>
    </w:p>
    <w:p>
      <w:pPr>
        <w:spacing w:after="120"/>
        <w:rPr>
          <w:i/>
          <w:iCs/>
        </w:rPr>
      </w:pPr>
      <w:r>
        <w:rPr>
          <w:rFonts w:ascii="Arial" w:cs="Arial" w:eastAsia="Arial" w:hAnsi="Arial"/>
          <w:i/>
          <w:iCs/>
          <w:sz w:val="22"/>
          <w:szCs w:val="22"/>
        </w:rPr>
        <w:t xml:space="preserve">Once Enterprise Value is populated for each deal, every other number on this page becomes derived, consistent across the portfolio, and comparable across deals regardless of how many corporate layers sit between the operating asset and the ultimate sponsor.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6FA5"/>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6FA5"/>
      <w:sz w:val="26"/>
      <w:szCs w:val="26"/>
    </w:rPr>
  </w:style>
  <w:style w:type="paragraph" w:styleId="Heading3">
    <w:name w:val="Heading 3"/>
    <w:basedOn w:val="Normal"/>
    <w:next w:val="Normal"/>
    <w:qFormat/>
    <w:pPr>
      <w:spacing w:after="10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Gatwick Capital Stack — Worked Example</dc:title>
  <dc:creator>Sesame Street</dc:creator>
  <dc:description>Multi-level capital stack walked through using the v8 taxonomy.</dc:description>
  <cp:lastModifiedBy>Un-named</cp:lastModifiedBy>
  <cp:revision>1</cp:revision>
  <dcterms:created xsi:type="dcterms:W3CDTF">2026-04-14T18:50:14.660Z</dcterms:created>
  <dcterms:modified xsi:type="dcterms:W3CDTF">2026-04-14T18:50:14.661Z</dcterms:modified>
</cp:coreProperties>
</file>

<file path=docProps/custom.xml><?xml version="1.0" encoding="utf-8"?>
<Properties xmlns="http://schemas.openxmlformats.org/officeDocument/2006/custom-properties" xmlns:vt="http://schemas.openxmlformats.org/officeDocument/2006/docPropsVTypes"/>
</file>