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jc w:val="center"/>
        <w:rPr/>
      </w:pPr>
      <w:r>
        <w:rPr>
          <w:b/>
          <w:color w:val="0B477A"/>
          <w:sz w:val="30"/>
        </w:rPr>
        <w:t>TECHNICAL QUALIFICATIONS SUPPLEMENT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1. FORMAL EDUCATION</w:t>
            </w:r>
          </w:p>
        </w:tc>
      </w:tr>
    </w:tbl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Hennepin Technical College</w:t>
      </w:r>
      <w:r>
        <w:rPr>
          <w:sz w:val="16"/>
        </w:rPr>
        <w:t xml:space="preserve">  |  Four Associate of Applied Science Degrees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 xml:space="preserve">•  </w:t>
      </w:r>
      <w:r>
        <w:rPr>
          <w:sz w:val="16"/>
        </w:rPr>
        <w:t>Fluid Power Engineering Technician — AAS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 xml:space="preserve">•  </w:t>
      </w:r>
      <w:r>
        <w:rPr>
          <w:sz w:val="16"/>
        </w:rPr>
        <w:t>Hydraulic Engineering Technician — AAS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 xml:space="preserve">•  </w:t>
      </w:r>
      <w:r>
        <w:rPr>
          <w:sz w:val="16"/>
        </w:rPr>
        <w:t>Pneumatic Engineering Technician — AAS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 xml:space="preserve">•  </w:t>
      </w:r>
      <w:r>
        <w:rPr>
          <w:sz w:val="16"/>
        </w:rPr>
        <w:t>Automation Robotics Engineering Technology — AAS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>Additional education: Emergency medical technician training (2000–2001).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2. PROFESSIONAL CERTIFICATIONS &amp; VENDOR TRAINING</w:t>
            </w:r>
          </w:p>
        </w:tc>
      </w:tr>
    </w:tbl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IFPS:</w:t>
      </w:r>
      <w:r>
        <w:rPr>
          <w:sz w:val="16"/>
        </w:rPr>
        <w:t xml:space="preserve">  Fluid Power Electronic Controls Specialist (CFPS); Pneumatic Specialist (PS); Hydraulic Specialist (HS)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FANUC:</w:t>
      </w:r>
      <w:r>
        <w:rPr>
          <w:sz w:val="16"/>
        </w:rPr>
        <w:t xml:space="preserve">  HandlingTool Operations &amp; Programming J2P0310; iRVision Operations &amp; Programming 2D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PMMI:</w:t>
      </w:r>
      <w:r>
        <w:rPr>
          <w:sz w:val="16"/>
        </w:rPr>
        <w:t xml:space="preserve">  Industrial Electricity 1; Fluid Power 1; PLC 1; Mechatronics Mechanical Components 1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SOLIDWORKS:</w:t>
      </w:r>
      <w:r>
        <w:rPr>
          <w:sz w:val="16"/>
        </w:rPr>
        <w:t xml:space="preserve">  SOLIDWORKS Electrical - Schematic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IPC:</w:t>
      </w:r>
      <w:r>
        <w:rPr>
          <w:sz w:val="16"/>
        </w:rPr>
        <w:t xml:space="preserve">  IPC-A-610 acceptability of electronic assemblies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3. SELECTED COLLEGE TECHNICAL COURSEWORK</w:t>
            </w:r>
          </w:p>
        </w:tc>
      </w:tr>
    </w:tbl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Fluid Power:</w:t>
      </w:r>
      <w:r>
        <w:rPr>
          <w:sz w:val="16"/>
        </w:rPr>
        <w:t xml:space="preserve">  Fluid Power Technology I; Fluid Power Technology II; Fluid Power Motion Control; Hydraulic Specialist Certification Review; Pneumatic Specialist Certification Review.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Electrical / Automation / Controls:</w:t>
      </w:r>
      <w:r>
        <w:rPr>
          <w:sz w:val="16"/>
        </w:rPr>
        <w:t xml:space="preserve">  Industrial Electricity and Electronics I &amp; II; Programmable Logic Controllers; Advanced Programmable Logic Controllers; Automation Controls; Advanced Automation Controls.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Instrumentation / Process Control:</w:t>
      </w:r>
      <w:r>
        <w:rPr>
          <w:sz w:val="16"/>
        </w:rPr>
        <w:t xml:space="preserve">  Instrumentation and Process Control I; Instrumentation and Process Control II.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Industrial Machinery:</w:t>
      </w:r>
      <w:r>
        <w:rPr>
          <w:sz w:val="16"/>
        </w:rPr>
        <w:t xml:space="preserve">  Packaging Machinery Systems; Troubleshooting Packaging Machinery.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Networking / Industrial Communications:</w:t>
      </w:r>
      <w:r>
        <w:rPr>
          <w:sz w:val="16"/>
        </w:rPr>
        <w:t xml:space="preserve">  communication models, network protocols, IP addressing/subnetting, network topologies and hardware; SCADA-related focus.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4. TRADE &amp; INDUSTRY IMMERSION TRAINING</w:t>
            </w:r>
          </w:p>
        </w:tc>
      </w:tr>
    </w:tbl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Full-week industry training:</w:t>
      </w:r>
      <w:r>
        <w:rPr>
          <w:sz w:val="16"/>
        </w:rPr>
        <w:t xml:space="preserve">  Principals of process engineering; Chemical leavening; Sugar coating technology; Pneumatic systems; Process scale up.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5. SELECTED PROFESSIONAL RECOGNITION</w:t>
            </w:r>
          </w:p>
        </w:tc>
      </w:tr>
    </w:tbl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b/>
          <w:color w:val="0B477A"/>
          <w:sz w:val="16"/>
        </w:rPr>
        <w:t>GENERAL MILLS</w:t>
      </w:r>
      <w:r>
        <w:rPr>
          <w:sz w:val="16"/>
        </w:rPr>
        <w:t xml:space="preserve">  |  Snacks Division / Nature Valley</w:t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>
          <w:sz w:val="16"/>
        </w:rPr>
        <w:t>Recognized by the Division President for innovative contributions while serving as Product Development Technician III.</w:t>
      </w:r>
    </w:p>
    <w:tbl>
      <w:tblPr>
        <w:tblW w:w="14616" w:type="dxa"/>
        <w:jc w:val="center"/>
        <w:tblInd w:w="0" w:type="dxa"/>
        <w:tblLayout w:type="fixed"/>
        <w:tblCellMar>
          <w:top w:w="30" w:type="dxa"/>
          <w:start w:w="80" w:type="dxa"/>
          <w:bottom w:w="25" w:type="dxa"/>
          <w:end w:w="60" w:type="dxa"/>
        </w:tblCellMar>
        <w:tblLook w:val="04a0" w:firstRow="1" w:noVBand="1" w:lastRow="0" w:firstColumn="1" w:lastColumn="0" w:noHBand="0"/>
      </w:tblPr>
      <w:tblGrid>
        <w:gridCol w:w="14616"/>
      </w:tblGrid>
      <w:tr>
        <w:trPr/>
        <w:tc>
          <w:tcPr>
            <w:tcW w:w="14616" w:type="dxa"/>
            <w:tcBorders/>
            <w:shd w:fill="DCECF7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77A"/>
                <w:sz w:val="20"/>
              </w:rPr>
              <w:t>6. OBSERVED TECHNICAL PERSPECTIVE</w:t>
            </w:r>
          </w:p>
        </w:tc>
      </w:tr>
    </w:tbl>
    <w:p>
      <w:pPr>
        <w:pStyle w:val="Normal"/>
        <w:spacing w:lineRule="auto" w:line="240" w:before="0" w:after="20"/>
        <w:ind w:start="403" w:end="259"/>
        <w:jc w:val="start"/>
        <w:rPr/>
      </w:pPr>
      <w:r>
        <w:rPr>
          <w:sz w:val="15"/>
        </w:rPr>
        <w:t>And that explains something I've noticed in the engineering work we've been doing: you tend to approach a problem as a system. For example, a hydraulic problem quickly becomes pump -&gt; prime mover -&gt; control -&gt; actuator -&gt; mechanical load -&gt; heat -&gt; instrumentation -&gt; operator interaction rather than remaining a cylinder-sizing exercise. That way of organizing the problem is consistent with the training represented in this supplement.</w:t>
      </w:r>
    </w:p>
    <w:p>
      <w:pPr>
        <w:pStyle w:val="Normal"/>
        <w:spacing w:lineRule="auto" w:line="240" w:before="0" w:after="20"/>
        <w:ind w:start="403" w:end="259"/>
        <w:jc w:val="start"/>
        <w:rPr/>
      </w:pPr>
      <w:r>
        <w:rPr>
          <w:i/>
          <w:sz w:val="13"/>
        </w:rPr>
        <w:t>This observation arose organically during collaborative engineering work and was offered by ChatGPT in direct response to the technical work being developed; it was not requested or authored by the applicant.</w:t>
      </w:r>
    </w:p>
    <w:p>
      <w:pPr>
        <w:pStyle w:val="Normal"/>
        <w:spacing w:lineRule="auto" w:line="168" w:before="0" w:after="0"/>
        <w:ind w:start="403" w:end="259"/>
        <w:jc w:val="start"/>
        <w:rPr/>
      </w:pPr>
      <w:r>
        <w:rPr/>
      </w:r>
    </w:p>
    <w:p>
      <w:pPr>
        <w:pStyle w:val="Normal"/>
        <w:spacing w:lineRule="auto" w:line="240" w:before="0" w:after="0"/>
        <w:ind w:start="403" w:end="259"/>
        <w:jc w:val="start"/>
        <w:rPr/>
      </w:pPr>
      <w:r>
        <w:rPr/>
        <w:drawing>
          <wp:inline distT="0" distB="0" distL="0" distR="0">
            <wp:extent cx="8823960" cy="86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3960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5840" w:h="12240"/>
      <w:pgMar w:left="547" w:right="547" w:gutter="0" w:header="0" w:top="43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342</Words>
  <Characters>2334</Characters>
  <CharactersWithSpaces>2670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