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D559" w14:textId="6E17BE3C" w:rsidR="00525FF8" w:rsidRPr="00977813" w:rsidRDefault="00977813" w:rsidP="00525FF8">
      <w:pPr>
        <w:rPr>
          <w:b/>
          <w:sz w:val="28"/>
          <w:szCs w:val="28"/>
        </w:rPr>
      </w:pPr>
      <w:r w:rsidRPr="00977813">
        <w:rPr>
          <w:b/>
          <w:sz w:val="28"/>
          <w:szCs w:val="28"/>
        </w:rPr>
        <w:t>General Assignment Description.</w:t>
      </w:r>
    </w:p>
    <w:p w14:paraId="341915EB" w14:textId="6562B764" w:rsidR="00977813" w:rsidRPr="00977813" w:rsidRDefault="00977813" w:rsidP="00525FF8">
      <w:pPr>
        <w:rPr>
          <w:sz w:val="20"/>
          <w:szCs w:val="20"/>
        </w:rPr>
      </w:pPr>
      <w:r>
        <w:rPr>
          <w:bCs/>
          <w:sz w:val="20"/>
          <w:szCs w:val="20"/>
        </w:rPr>
        <w:t xml:space="preserve">For the LLM debate portion of the course, you will be conducting an epistemic analysis of each debate topic. </w:t>
      </w:r>
      <w:r w:rsidRPr="00977813">
        <w:rPr>
          <w:sz w:val="20"/>
          <w:szCs w:val="20"/>
        </w:rPr>
        <w:t>For your chosen topic, you will complete a structured analysis of the debate surrounding large language models. The goal is not to argue for a predetermined position, but to clarify where disagreement comes from, what evidence exists, and how uncertainty should shape reasonable conclusions.</w:t>
      </w:r>
    </w:p>
    <w:p w14:paraId="34D37855" w14:textId="77777777" w:rsidR="00977813" w:rsidRDefault="00977813" w:rsidP="00525FF8">
      <w:pPr>
        <w:rPr>
          <w:bCs/>
          <w:sz w:val="20"/>
          <w:szCs w:val="20"/>
        </w:rPr>
      </w:pPr>
    </w:p>
    <w:p w14:paraId="21D80EA6" w14:textId="416AAF4A" w:rsidR="00977813" w:rsidRDefault="00977813" w:rsidP="00525FF8">
      <w:pPr>
        <w:rPr>
          <w:bCs/>
          <w:sz w:val="20"/>
          <w:szCs w:val="20"/>
        </w:rPr>
      </w:pPr>
      <w:r>
        <w:rPr>
          <w:bCs/>
          <w:sz w:val="20"/>
          <w:szCs w:val="20"/>
        </w:rPr>
        <w:t>For each debate topic, you will work individually on filling out a rough draft of answers to the questions below by class on Monday. You will do this using a combination of assigned materials, self-research materials, and using LLMs to guide your knowledge discovery. Then in class you will discuss your answers with your group. For each question, you will update your individual answer with how your group members differed, and how that information changed your mind about the answers to various questions. At the end of class on Wednesday, your group will present a 5 minute summary of your group’s answers to the questions. Each member of the group will be expected to contribute by presenting one of the answers.</w:t>
      </w:r>
    </w:p>
    <w:p w14:paraId="2B32EA40" w14:textId="77777777" w:rsidR="00977813" w:rsidRPr="00977813" w:rsidRDefault="00977813" w:rsidP="00977813">
      <w:pPr>
        <w:rPr>
          <w:sz w:val="20"/>
          <w:szCs w:val="20"/>
        </w:rPr>
      </w:pPr>
    </w:p>
    <w:p w14:paraId="5CC201A8" w14:textId="172267A6" w:rsidR="00977813" w:rsidRPr="00977813" w:rsidRDefault="00977813" w:rsidP="00977813">
      <w:pPr>
        <w:rPr>
          <w:b/>
          <w:bCs/>
          <w:sz w:val="20"/>
          <w:szCs w:val="20"/>
        </w:rPr>
      </w:pPr>
      <w:r w:rsidRPr="00977813">
        <w:rPr>
          <w:b/>
          <w:bCs/>
          <w:sz w:val="20"/>
          <w:szCs w:val="20"/>
        </w:rPr>
        <w:t>1. Map the Debate</w:t>
      </w:r>
    </w:p>
    <w:p w14:paraId="19C68212" w14:textId="77777777" w:rsidR="00977813" w:rsidRPr="00977813" w:rsidRDefault="00977813" w:rsidP="00977813">
      <w:pPr>
        <w:rPr>
          <w:sz w:val="20"/>
          <w:szCs w:val="20"/>
        </w:rPr>
      </w:pPr>
      <w:r w:rsidRPr="00977813">
        <w:rPr>
          <w:sz w:val="20"/>
          <w:szCs w:val="20"/>
        </w:rPr>
        <w:t>Summarize the main positions in the debate, including at least one strong pro position and one strong con position. Your goal is to present each side in a way that a reasonable advocate would endorse, not to set up a strawman.</w:t>
      </w:r>
    </w:p>
    <w:p w14:paraId="6F789F90" w14:textId="77777777" w:rsidR="00977813" w:rsidRPr="00977813" w:rsidRDefault="00977813" w:rsidP="00977813">
      <w:pPr>
        <w:rPr>
          <w:sz w:val="20"/>
          <w:szCs w:val="20"/>
        </w:rPr>
      </w:pPr>
    </w:p>
    <w:p w14:paraId="4B02A8AC" w14:textId="764C1DD5" w:rsidR="00977813" w:rsidRPr="00977813" w:rsidRDefault="00977813" w:rsidP="00977813">
      <w:pPr>
        <w:rPr>
          <w:b/>
          <w:bCs/>
          <w:sz w:val="20"/>
          <w:szCs w:val="20"/>
        </w:rPr>
      </w:pPr>
      <w:r w:rsidRPr="00977813">
        <w:rPr>
          <w:b/>
          <w:bCs/>
          <w:sz w:val="20"/>
          <w:szCs w:val="20"/>
        </w:rPr>
        <w:t>2. State Your Current Position</w:t>
      </w:r>
      <w:r>
        <w:rPr>
          <w:b/>
          <w:bCs/>
          <w:sz w:val="20"/>
          <w:szCs w:val="20"/>
        </w:rPr>
        <w:t xml:space="preserve"> </w:t>
      </w:r>
    </w:p>
    <w:p w14:paraId="400D9A77" w14:textId="77777777" w:rsidR="00977813" w:rsidRPr="00977813" w:rsidRDefault="00977813" w:rsidP="00977813">
      <w:pPr>
        <w:rPr>
          <w:sz w:val="20"/>
          <w:szCs w:val="20"/>
        </w:rPr>
      </w:pPr>
      <w:r w:rsidRPr="00977813">
        <w:rPr>
          <w:sz w:val="20"/>
          <w:szCs w:val="20"/>
        </w:rPr>
        <w:t>Clearly state your current view on the issue. Explain what considerations—personal experience, prior beliefs, evidence, or values—most influence your position at this stage.</w:t>
      </w:r>
    </w:p>
    <w:p w14:paraId="64EB8D36" w14:textId="77777777" w:rsidR="00977813" w:rsidRPr="00977813" w:rsidRDefault="00977813" w:rsidP="00977813">
      <w:pPr>
        <w:rPr>
          <w:sz w:val="20"/>
          <w:szCs w:val="20"/>
        </w:rPr>
      </w:pPr>
    </w:p>
    <w:p w14:paraId="684AB0FB" w14:textId="61216645" w:rsidR="00977813" w:rsidRPr="00977813" w:rsidRDefault="00977813" w:rsidP="00977813">
      <w:pPr>
        <w:rPr>
          <w:b/>
          <w:bCs/>
          <w:sz w:val="20"/>
          <w:szCs w:val="20"/>
        </w:rPr>
      </w:pPr>
      <w:r w:rsidRPr="00977813">
        <w:rPr>
          <w:b/>
          <w:bCs/>
          <w:sz w:val="20"/>
          <w:szCs w:val="20"/>
        </w:rPr>
        <w:t>3. Identify Empirical vs. Non-Empirical Claims</w:t>
      </w:r>
    </w:p>
    <w:p w14:paraId="14746B39" w14:textId="77777777" w:rsidR="00977813" w:rsidRPr="00977813" w:rsidRDefault="00977813" w:rsidP="00977813">
      <w:pPr>
        <w:rPr>
          <w:sz w:val="20"/>
          <w:szCs w:val="20"/>
        </w:rPr>
      </w:pPr>
      <w:r w:rsidRPr="00977813">
        <w:rPr>
          <w:sz w:val="20"/>
          <w:szCs w:val="20"/>
        </w:rPr>
        <w:t xml:space="preserve">Break the arguments (including your own) into claims that are empirical (about what happens in the world) versus claims that are normative, conceptual, or </w:t>
      </w:r>
      <w:proofErr w:type="gramStart"/>
      <w:r w:rsidRPr="00977813">
        <w:rPr>
          <w:sz w:val="20"/>
          <w:szCs w:val="20"/>
        </w:rPr>
        <w:t>value-based</w:t>
      </w:r>
      <w:proofErr w:type="gramEnd"/>
      <w:r w:rsidRPr="00977813">
        <w:rPr>
          <w:sz w:val="20"/>
          <w:szCs w:val="20"/>
        </w:rPr>
        <w:t>. Be explicit about which disagreements could in principle be settled with data and which cannot.</w:t>
      </w:r>
    </w:p>
    <w:p w14:paraId="51421B9C" w14:textId="77777777" w:rsidR="00977813" w:rsidRPr="00977813" w:rsidRDefault="00977813" w:rsidP="00977813">
      <w:pPr>
        <w:rPr>
          <w:sz w:val="20"/>
          <w:szCs w:val="20"/>
        </w:rPr>
      </w:pPr>
    </w:p>
    <w:p w14:paraId="17937A13" w14:textId="595D4280" w:rsidR="00977813" w:rsidRPr="00977813" w:rsidRDefault="00977813" w:rsidP="00977813">
      <w:pPr>
        <w:rPr>
          <w:b/>
          <w:bCs/>
          <w:sz w:val="20"/>
          <w:szCs w:val="20"/>
        </w:rPr>
      </w:pPr>
      <w:r w:rsidRPr="00977813">
        <w:rPr>
          <w:b/>
          <w:bCs/>
          <w:sz w:val="20"/>
          <w:szCs w:val="20"/>
        </w:rPr>
        <w:t>4. Evaluate the Existing Evidence</w:t>
      </w:r>
    </w:p>
    <w:p w14:paraId="0FBEF143" w14:textId="77777777" w:rsidR="00977813" w:rsidRPr="00977813" w:rsidRDefault="00977813" w:rsidP="00977813">
      <w:pPr>
        <w:rPr>
          <w:sz w:val="20"/>
          <w:szCs w:val="20"/>
        </w:rPr>
      </w:pPr>
      <w:r w:rsidRPr="00977813">
        <w:rPr>
          <w:sz w:val="20"/>
          <w:szCs w:val="20"/>
        </w:rPr>
        <w:t>Assess what empirical evidence currently exists that bears on the debate. Discuss the quality, scope, and limitations of this evidence, and whether it meaningfully supports or undermines any of the major claims.</w:t>
      </w:r>
    </w:p>
    <w:p w14:paraId="2B3A6052" w14:textId="77777777" w:rsidR="00977813" w:rsidRPr="00977813" w:rsidRDefault="00977813" w:rsidP="00977813">
      <w:pPr>
        <w:rPr>
          <w:sz w:val="20"/>
          <w:szCs w:val="20"/>
        </w:rPr>
      </w:pPr>
    </w:p>
    <w:p w14:paraId="57B54E97" w14:textId="56D62AA0" w:rsidR="00977813" w:rsidRPr="00977813" w:rsidRDefault="00977813" w:rsidP="00977813">
      <w:pPr>
        <w:rPr>
          <w:b/>
          <w:bCs/>
          <w:sz w:val="20"/>
          <w:szCs w:val="20"/>
        </w:rPr>
      </w:pPr>
      <w:r w:rsidRPr="00977813">
        <w:rPr>
          <w:b/>
          <w:bCs/>
          <w:sz w:val="20"/>
          <w:szCs w:val="20"/>
        </w:rPr>
        <w:t>5. Specify the Missing Data</w:t>
      </w:r>
    </w:p>
    <w:p w14:paraId="6194E3E0" w14:textId="77777777" w:rsidR="00977813" w:rsidRPr="00977813" w:rsidRDefault="00977813" w:rsidP="00977813">
      <w:pPr>
        <w:rPr>
          <w:sz w:val="20"/>
          <w:szCs w:val="20"/>
        </w:rPr>
      </w:pPr>
      <w:r w:rsidRPr="00977813">
        <w:rPr>
          <w:sz w:val="20"/>
          <w:szCs w:val="20"/>
        </w:rPr>
        <w:t>If key empirical questions remain unanswered, describe what data would be needed to address them. Be concrete: what would be measured, over what time scale, and in which populations or contexts?</w:t>
      </w:r>
    </w:p>
    <w:p w14:paraId="27F6ED3B" w14:textId="77777777" w:rsidR="00977813" w:rsidRPr="00977813" w:rsidRDefault="00977813" w:rsidP="00977813">
      <w:pPr>
        <w:rPr>
          <w:sz w:val="20"/>
          <w:szCs w:val="20"/>
        </w:rPr>
      </w:pPr>
    </w:p>
    <w:p w14:paraId="282692FD" w14:textId="712E22C6" w:rsidR="00977813" w:rsidRPr="00977813" w:rsidRDefault="00977813" w:rsidP="00977813">
      <w:pPr>
        <w:rPr>
          <w:b/>
          <w:bCs/>
          <w:sz w:val="20"/>
          <w:szCs w:val="20"/>
        </w:rPr>
      </w:pPr>
      <w:r w:rsidRPr="00977813">
        <w:rPr>
          <w:b/>
          <w:bCs/>
          <w:sz w:val="20"/>
          <w:szCs w:val="20"/>
        </w:rPr>
        <w:t>6. Feasibility and Epistemic Updating</w:t>
      </w:r>
    </w:p>
    <w:p w14:paraId="7D0E4190" w14:textId="6AE1AC7B" w:rsidR="00977813" w:rsidRPr="00977813" w:rsidRDefault="00977813" w:rsidP="00977813">
      <w:pPr>
        <w:rPr>
          <w:sz w:val="20"/>
          <w:szCs w:val="20"/>
        </w:rPr>
      </w:pPr>
      <w:r w:rsidRPr="00977813">
        <w:rPr>
          <w:sz w:val="20"/>
          <w:szCs w:val="20"/>
        </w:rPr>
        <w:t>Evaluate how realistic it is to obtain this data (e.g., ethical, logistical, temporal constraints). Given that uncertainty, explain how confident you think anyone should be right now, and whether your own position should be tentative, conditional, or revised.</w:t>
      </w:r>
    </w:p>
    <w:p w14:paraId="1476A5DD" w14:textId="77777777" w:rsidR="00977813" w:rsidRDefault="00977813" w:rsidP="00977813">
      <w:pPr>
        <w:rPr>
          <w:b/>
          <w:bCs/>
        </w:rPr>
      </w:pPr>
    </w:p>
    <w:p w14:paraId="4C2B1592" w14:textId="147F2737" w:rsidR="00977813" w:rsidRPr="00977813" w:rsidRDefault="00977813" w:rsidP="00977813">
      <w:pPr>
        <w:rPr>
          <w:b/>
          <w:bCs/>
          <w:sz w:val="28"/>
          <w:szCs w:val="28"/>
        </w:rPr>
      </w:pPr>
      <w:r w:rsidRPr="00977813">
        <w:rPr>
          <w:b/>
          <w:bCs/>
          <w:sz w:val="28"/>
          <w:szCs w:val="28"/>
        </w:rPr>
        <w:t>Topic List</w:t>
      </w:r>
    </w:p>
    <w:p w14:paraId="43E263CF" w14:textId="77777777" w:rsidR="00977813" w:rsidRPr="00977813" w:rsidRDefault="00977813" w:rsidP="00977813">
      <w:pPr>
        <w:rPr>
          <w:b/>
          <w:bCs/>
        </w:rPr>
      </w:pPr>
    </w:p>
    <w:p w14:paraId="1A886F2B" w14:textId="77777777" w:rsidR="004113CA" w:rsidRPr="00A47E49" w:rsidRDefault="004113CA" w:rsidP="004113CA">
      <w:pPr>
        <w:pStyle w:val="ListParagraph"/>
        <w:numPr>
          <w:ilvl w:val="0"/>
          <w:numId w:val="19"/>
        </w:numPr>
        <w:rPr>
          <w:b/>
          <w:bCs/>
        </w:rPr>
      </w:pPr>
      <w:r w:rsidRPr="00A47E49">
        <w:rPr>
          <w:b/>
          <w:bCs/>
        </w:rPr>
        <w:t>Cognitive Offloading and Skill Change</w:t>
      </w:r>
    </w:p>
    <w:p w14:paraId="7F1D7193" w14:textId="77777777" w:rsidR="004113CA" w:rsidRPr="004113CA" w:rsidRDefault="004113CA" w:rsidP="004113CA">
      <w:pPr>
        <w:rPr>
          <w:sz w:val="20"/>
          <w:szCs w:val="20"/>
        </w:rPr>
      </w:pPr>
      <w:r w:rsidRPr="004113CA">
        <w:rPr>
          <w:sz w:val="20"/>
          <w:szCs w:val="20"/>
        </w:rPr>
        <w:t>This topic examines whether reliance on LLMs for thinking, writing, and problem-solving changes human cognitive skills over time, and if so, in what direction. One position argues that offloading routine cognitive work is beneficial, allowing people to focus on higher-level reasoning, creativity, and judgment—much like writing or calculators did in earlier eras. A competing concern is that frequent LLM use may weaken core skills such as explanation, synthesis, and critical reasoning, leading to superficial competence and overconfidence. A central question is which aspects of this debate are empirical, what evidence we currently have, and whether meaningful data about long-term cognitive change is even feasible to collect.</w:t>
      </w:r>
    </w:p>
    <w:p w14:paraId="279B1402" w14:textId="77777777" w:rsidR="004113CA" w:rsidRPr="004113CA" w:rsidRDefault="004113CA" w:rsidP="004113CA">
      <w:pPr>
        <w:rPr>
          <w:sz w:val="20"/>
          <w:szCs w:val="20"/>
        </w:rPr>
      </w:pPr>
    </w:p>
    <w:p w14:paraId="035B5118" w14:textId="77777777" w:rsidR="004113CA" w:rsidRPr="00A47E49" w:rsidRDefault="004113CA" w:rsidP="004113CA">
      <w:pPr>
        <w:pStyle w:val="ListParagraph"/>
        <w:numPr>
          <w:ilvl w:val="0"/>
          <w:numId w:val="19"/>
        </w:numPr>
        <w:rPr>
          <w:b/>
          <w:bCs/>
        </w:rPr>
      </w:pPr>
      <w:r w:rsidRPr="00A47E49">
        <w:rPr>
          <w:b/>
          <w:bCs/>
        </w:rPr>
        <w:t>Content Theft, Plagiarism, Academic and Professional Integrity</w:t>
      </w:r>
    </w:p>
    <w:p w14:paraId="6142BA51" w14:textId="77777777" w:rsidR="004113CA" w:rsidRPr="004113CA" w:rsidRDefault="004113CA" w:rsidP="004113CA">
      <w:pPr>
        <w:rPr>
          <w:sz w:val="20"/>
          <w:szCs w:val="20"/>
        </w:rPr>
      </w:pPr>
      <w:r w:rsidRPr="004113CA">
        <w:rPr>
          <w:sz w:val="20"/>
          <w:szCs w:val="20"/>
        </w:rPr>
        <w:t>This topic examines whether and how LLM use constitutes plagiarism, content theft, or a violation of academic and professional norms. One position argues that LLMs are trained on vast corpora of human-created text without consent, and that their outputs can reproduce ideas, phrasing, or styles in ways that undermine authorship, intellectual property, and fair credit. A competing view holds that LLMs function more like transformative tools—similar to search engines, inspiration, or statistical remixing—and that existing notions of plagiarism and originality need to be updated rather than strictly enforced. Central questions include how authorship should be defined in an AI-mediated world, what harms are empirical versus moral or legal, and whether current institutional policies track the realities of how these systems work.</w:t>
      </w:r>
    </w:p>
    <w:p w14:paraId="57F2A2E5" w14:textId="77777777" w:rsidR="004113CA" w:rsidRPr="004113CA" w:rsidRDefault="004113CA" w:rsidP="004113CA">
      <w:pPr>
        <w:rPr>
          <w:sz w:val="20"/>
          <w:szCs w:val="20"/>
        </w:rPr>
      </w:pPr>
    </w:p>
    <w:p w14:paraId="1260137F" w14:textId="77777777" w:rsidR="004113CA" w:rsidRPr="00A47E49" w:rsidRDefault="004113CA" w:rsidP="004113CA">
      <w:pPr>
        <w:pStyle w:val="ListParagraph"/>
        <w:numPr>
          <w:ilvl w:val="0"/>
          <w:numId w:val="19"/>
        </w:numPr>
        <w:rPr>
          <w:b/>
          <w:bCs/>
        </w:rPr>
      </w:pPr>
      <w:r w:rsidRPr="00A47E49">
        <w:rPr>
          <w:b/>
          <w:bCs/>
        </w:rPr>
        <w:t>Mental Health and Emotional Well-Being</w:t>
      </w:r>
    </w:p>
    <w:p w14:paraId="0AD89C9F" w14:textId="77777777" w:rsidR="004113CA" w:rsidRPr="004113CA" w:rsidRDefault="004113CA" w:rsidP="004113CA">
      <w:pPr>
        <w:rPr>
          <w:sz w:val="20"/>
          <w:szCs w:val="20"/>
        </w:rPr>
      </w:pPr>
      <w:r w:rsidRPr="004113CA">
        <w:rPr>
          <w:sz w:val="20"/>
          <w:szCs w:val="20"/>
        </w:rPr>
        <w:t>This topic examines how LLMs may affect mental health and emotional well-being, ranging from uses as supportive tools (e.g., reflection, coaching, crisis triage) to concerns about dependence, emotional outsourcing, misinformation, or inappropriate substitution for human care. One position emphasizes potential benefits: scalable access to support, reduced stigma, and assistance where mental health resources are scarce. A competing concern is that LLMs may foster unhealthy attachment, provide unreliable guidance, or blunt the development of coping skills. A key issue is distinguishing short-term utility from long-term effects, identifying what outcomes are empirical versus normative, and assessing whether robust evidence can be gathered ethically and at scale.</w:t>
      </w:r>
    </w:p>
    <w:p w14:paraId="32FD3D0E" w14:textId="77777777" w:rsidR="004113CA" w:rsidRPr="004113CA" w:rsidRDefault="004113CA" w:rsidP="004113CA">
      <w:pPr>
        <w:rPr>
          <w:sz w:val="20"/>
          <w:szCs w:val="20"/>
        </w:rPr>
      </w:pPr>
    </w:p>
    <w:p w14:paraId="381C0BE4" w14:textId="58FF7171" w:rsidR="004113CA" w:rsidRPr="00A47E49" w:rsidRDefault="004113CA" w:rsidP="004113CA">
      <w:pPr>
        <w:pStyle w:val="ListParagraph"/>
        <w:numPr>
          <w:ilvl w:val="0"/>
          <w:numId w:val="19"/>
        </w:numPr>
        <w:rPr>
          <w:b/>
          <w:bCs/>
        </w:rPr>
      </w:pPr>
      <w:r w:rsidRPr="00A47E49">
        <w:rPr>
          <w:b/>
          <w:bCs/>
        </w:rPr>
        <w:t>Scientific Discovery and Knowledge</w:t>
      </w:r>
      <w:r w:rsidR="00A47E49">
        <w:rPr>
          <w:b/>
          <w:bCs/>
        </w:rPr>
        <w:t xml:space="preserve"> Generation</w:t>
      </w:r>
    </w:p>
    <w:p w14:paraId="27010072" w14:textId="77777777" w:rsidR="004113CA" w:rsidRPr="004113CA" w:rsidRDefault="004113CA" w:rsidP="004113CA">
      <w:pPr>
        <w:rPr>
          <w:sz w:val="20"/>
          <w:szCs w:val="20"/>
        </w:rPr>
      </w:pPr>
      <w:r w:rsidRPr="004113CA">
        <w:rPr>
          <w:sz w:val="20"/>
          <w:szCs w:val="20"/>
        </w:rPr>
        <w:t>This topic examines whether and how LLMs can meaningfully contribute to scientific discovery, theory development, and knowledge production. One position argues that LLMs can accelerate research by synthesizing literature, generating hypotheses, translating across disciplines, and automating routine cognitive work, potentially speeding discovery and broadening participation in science. A competing concern is that LLMs lack causal understanding, may hallucinate or smooth over disagreement, and could entrench existing paradigms rather than produce genuine insight. Central questions include which scientific tasks are empirical and automatable, what kinds of contributions count as “discovery,” and whether claims about acceleration are supported by evidence or speculative optimism.</w:t>
      </w:r>
    </w:p>
    <w:p w14:paraId="6C7AEE5A" w14:textId="77777777" w:rsidR="004113CA" w:rsidRPr="004113CA" w:rsidRDefault="004113CA" w:rsidP="004113CA">
      <w:pPr>
        <w:rPr>
          <w:sz w:val="20"/>
          <w:szCs w:val="20"/>
        </w:rPr>
      </w:pPr>
    </w:p>
    <w:p w14:paraId="4316E3D6" w14:textId="77777777" w:rsidR="004113CA" w:rsidRPr="00A47E49" w:rsidRDefault="004113CA" w:rsidP="004113CA">
      <w:pPr>
        <w:pStyle w:val="ListParagraph"/>
        <w:numPr>
          <w:ilvl w:val="0"/>
          <w:numId w:val="19"/>
        </w:numPr>
        <w:rPr>
          <w:b/>
          <w:bCs/>
        </w:rPr>
      </w:pPr>
      <w:r w:rsidRPr="00A47E49">
        <w:rPr>
          <w:b/>
          <w:bCs/>
        </w:rPr>
        <w:t>Cognitive Ecology and the Attention Economy</w:t>
      </w:r>
    </w:p>
    <w:p w14:paraId="602F6D38" w14:textId="77777777" w:rsidR="004113CA" w:rsidRPr="004113CA" w:rsidRDefault="004113CA" w:rsidP="004113CA">
      <w:pPr>
        <w:rPr>
          <w:sz w:val="20"/>
          <w:szCs w:val="20"/>
        </w:rPr>
      </w:pPr>
      <w:r w:rsidRPr="004113CA">
        <w:rPr>
          <w:sz w:val="20"/>
          <w:szCs w:val="20"/>
        </w:rPr>
        <w:t>This topic examines how widespread use of LLMs may reshape individual attention, collective reasoning, and the broader information environment. One position argues that LLMs can help manage cognitive overload by summarizing, filtering, and structuring information, potentially supporting focus, planning, and reflective thinking. A competing concern is that these systems may further fragment attention, encourage shallow engagement, and amplify persuasive or manipulative content at scale. Central questions include whether LLMs meaningfully improve how people allocate attention, how they interact with existing media ecosystems, and which claims about cognitive harm or benefit are empirically testable.</w:t>
      </w:r>
    </w:p>
    <w:p w14:paraId="167DED70" w14:textId="77777777" w:rsidR="004113CA" w:rsidRPr="004113CA" w:rsidRDefault="004113CA" w:rsidP="004113CA">
      <w:pPr>
        <w:rPr>
          <w:sz w:val="20"/>
          <w:szCs w:val="20"/>
        </w:rPr>
      </w:pPr>
    </w:p>
    <w:p w14:paraId="780AB155" w14:textId="77777777" w:rsidR="004113CA" w:rsidRPr="00A47E49" w:rsidRDefault="004113CA" w:rsidP="004113CA">
      <w:pPr>
        <w:pStyle w:val="ListParagraph"/>
        <w:numPr>
          <w:ilvl w:val="0"/>
          <w:numId w:val="19"/>
        </w:numPr>
        <w:rPr>
          <w:b/>
          <w:bCs/>
        </w:rPr>
      </w:pPr>
      <w:r w:rsidRPr="00A47E49">
        <w:rPr>
          <w:b/>
          <w:bCs/>
        </w:rPr>
        <w:t>Misinformation, Propaganda, and Information Ecosystems</w:t>
      </w:r>
    </w:p>
    <w:p w14:paraId="4D420D4D" w14:textId="77777777" w:rsidR="004113CA" w:rsidRPr="004113CA" w:rsidRDefault="004113CA" w:rsidP="004113CA">
      <w:pPr>
        <w:rPr>
          <w:sz w:val="20"/>
          <w:szCs w:val="20"/>
        </w:rPr>
      </w:pPr>
      <w:r w:rsidRPr="004113CA">
        <w:rPr>
          <w:sz w:val="20"/>
          <w:szCs w:val="20"/>
        </w:rPr>
        <w:t xml:space="preserve">This topic examines how LLMs may transform the production, spread, and correction of information in digital ecosystems. One position argues that generative models dramatically lower the cost of producing persuasive misinformation, enabling large-scale propaganda, impersonation, and erosion of trust in media and institutions. A competing view holds that the same technologies can strengthen information ecosystems by assisting with </w:t>
      </w:r>
      <w:proofErr w:type="gramStart"/>
      <w:r w:rsidRPr="004113CA">
        <w:rPr>
          <w:sz w:val="20"/>
          <w:szCs w:val="20"/>
        </w:rPr>
        <w:t>fact-checking</w:t>
      </w:r>
      <w:proofErr w:type="gramEnd"/>
      <w:r w:rsidRPr="004113CA">
        <w:rPr>
          <w:sz w:val="20"/>
          <w:szCs w:val="20"/>
        </w:rPr>
        <w:t>, content moderation, counter-speech, and public understanding. Central questions include whether LLMs shift the balance toward deception or resilience, how these effects interact with existing social and political dynamics, and what empirical evidence can meaningfully distinguish between these outcomes.</w:t>
      </w:r>
    </w:p>
    <w:p w14:paraId="7A0533BD" w14:textId="77777777" w:rsidR="004113CA" w:rsidRPr="004113CA" w:rsidRDefault="004113CA" w:rsidP="004113CA">
      <w:pPr>
        <w:rPr>
          <w:sz w:val="20"/>
          <w:szCs w:val="20"/>
        </w:rPr>
      </w:pPr>
    </w:p>
    <w:p w14:paraId="349EC1A9" w14:textId="77777777" w:rsidR="004113CA" w:rsidRPr="00A47E49" w:rsidRDefault="004113CA" w:rsidP="004113CA">
      <w:pPr>
        <w:pStyle w:val="ListParagraph"/>
        <w:numPr>
          <w:ilvl w:val="0"/>
          <w:numId w:val="19"/>
        </w:numPr>
        <w:rPr>
          <w:b/>
          <w:bCs/>
        </w:rPr>
      </w:pPr>
      <w:r w:rsidRPr="00A47E49">
        <w:rPr>
          <w:b/>
          <w:bCs/>
        </w:rPr>
        <w:t>Automation, Expertise, and the Future of Work</w:t>
      </w:r>
    </w:p>
    <w:p w14:paraId="49784EBB" w14:textId="77777777" w:rsidR="004113CA" w:rsidRPr="004113CA" w:rsidRDefault="004113CA" w:rsidP="004113CA">
      <w:pPr>
        <w:rPr>
          <w:sz w:val="20"/>
          <w:szCs w:val="20"/>
        </w:rPr>
      </w:pPr>
      <w:r w:rsidRPr="004113CA">
        <w:rPr>
          <w:sz w:val="20"/>
          <w:szCs w:val="20"/>
        </w:rPr>
        <w:t xml:space="preserve">This topic examines how LLMs may reshape professional work, expertise, and the division of cognitive labor. One position argues that automation of routine and semi-routine knowledge work can increase productivity, reduce </w:t>
      </w:r>
      <w:r w:rsidRPr="004113CA">
        <w:rPr>
          <w:sz w:val="20"/>
          <w:szCs w:val="20"/>
        </w:rPr>
        <w:lastRenderedPageBreak/>
        <w:t>error, and free humans to focus on judgment, creativity, and interpersonal skills. A competing concern is that widespread automation may deskill professions, hollow out training pipelines, and displace workers faster than new roles emerge. Central questions include which forms of expertise are most vulnerable or most complementary to LLMs, how skill erosion versus augmentation can be measured, and whether historical analogies to past technological shifts are informative or misleading.</w:t>
      </w:r>
    </w:p>
    <w:p w14:paraId="277129B6" w14:textId="77777777" w:rsidR="004113CA" w:rsidRPr="004113CA" w:rsidRDefault="004113CA" w:rsidP="004113CA">
      <w:pPr>
        <w:rPr>
          <w:sz w:val="20"/>
          <w:szCs w:val="20"/>
        </w:rPr>
      </w:pPr>
    </w:p>
    <w:p w14:paraId="3B59F36C" w14:textId="77777777" w:rsidR="004113CA" w:rsidRPr="00A47E49" w:rsidRDefault="004113CA" w:rsidP="004113CA">
      <w:pPr>
        <w:pStyle w:val="ListParagraph"/>
        <w:numPr>
          <w:ilvl w:val="0"/>
          <w:numId w:val="19"/>
        </w:numPr>
        <w:rPr>
          <w:b/>
          <w:bCs/>
        </w:rPr>
      </w:pPr>
      <w:r w:rsidRPr="00A47E49">
        <w:rPr>
          <w:b/>
          <w:bCs/>
        </w:rPr>
        <w:t>Concentration of Power, Equality, and Access to AI Benefits</w:t>
      </w:r>
    </w:p>
    <w:p w14:paraId="04DC5AF1" w14:textId="77777777" w:rsidR="004113CA" w:rsidRPr="004113CA" w:rsidRDefault="004113CA" w:rsidP="004113CA">
      <w:pPr>
        <w:rPr>
          <w:sz w:val="20"/>
          <w:szCs w:val="20"/>
        </w:rPr>
      </w:pPr>
      <w:r w:rsidRPr="004113CA">
        <w:rPr>
          <w:sz w:val="20"/>
          <w:szCs w:val="20"/>
        </w:rPr>
        <w:t>This topic examines how control over data, compute, and AI deployment may concentrate power among a small number of corporations, institutions, or nations, shaping who benefits from LLMs and who is left out. One position argues that centralized development enables safety, coordination, and rapid progress, while also offering broad downstream access through inexpensive interfaces. A competing concern is that such concentration entrenches economic and epistemic inequality, limits transparency, and creates forms of digital dependence or data colonialism. Central questions include whether access to AI tools meaningfully democratizes expertise, how power asymmetries can be measured, and what policy or technical interventions could alter these trajectories.</w:t>
      </w:r>
    </w:p>
    <w:p w14:paraId="149987D3" w14:textId="77777777" w:rsidR="004113CA" w:rsidRPr="004113CA" w:rsidRDefault="004113CA" w:rsidP="004113CA">
      <w:pPr>
        <w:rPr>
          <w:sz w:val="20"/>
          <w:szCs w:val="20"/>
        </w:rPr>
      </w:pPr>
    </w:p>
    <w:p w14:paraId="60FC6CF0" w14:textId="77777777" w:rsidR="004113CA" w:rsidRPr="00A47E49" w:rsidRDefault="004113CA" w:rsidP="004113CA">
      <w:pPr>
        <w:pStyle w:val="ListParagraph"/>
        <w:numPr>
          <w:ilvl w:val="0"/>
          <w:numId w:val="19"/>
        </w:numPr>
        <w:rPr>
          <w:b/>
          <w:bCs/>
        </w:rPr>
      </w:pPr>
      <w:r w:rsidRPr="00A47E49">
        <w:rPr>
          <w:b/>
          <w:bCs/>
        </w:rPr>
        <w:t>Linguistic Diversity, Equity, and Cultural Homogenization</w:t>
      </w:r>
    </w:p>
    <w:p w14:paraId="4EEC115F" w14:textId="77777777" w:rsidR="004113CA" w:rsidRPr="004113CA" w:rsidRDefault="004113CA" w:rsidP="004113CA">
      <w:pPr>
        <w:rPr>
          <w:sz w:val="20"/>
          <w:szCs w:val="20"/>
        </w:rPr>
      </w:pPr>
      <w:r w:rsidRPr="004113CA">
        <w:rPr>
          <w:sz w:val="20"/>
          <w:szCs w:val="20"/>
        </w:rPr>
        <w:t>This topic examines how globally trained LLMs may shape language use, cultural expression, and whose voices are represented in digital spaces. One position argues that LLMs risk amplifying majority languages and dominant cultural norms, marginalizing low-resource languages and flattening linguistic diversity. A competing view holds that these same models can support translation, preservation, and revitalization of underrepresented languages by lowering technical barriers and enabling new forms of cultural participation. Central questions include how linguistic bias can be measured, whether gains in access offset risks of homogenization, and what kinds of data or interventions are needed to support equitable outcomes.</w:t>
      </w:r>
    </w:p>
    <w:p w14:paraId="51634FB7" w14:textId="77777777" w:rsidR="004113CA" w:rsidRPr="004113CA" w:rsidRDefault="004113CA" w:rsidP="004113CA">
      <w:pPr>
        <w:rPr>
          <w:sz w:val="20"/>
          <w:szCs w:val="20"/>
        </w:rPr>
      </w:pPr>
    </w:p>
    <w:p w14:paraId="69F5F007" w14:textId="77777777" w:rsidR="004113CA" w:rsidRPr="00A47E49" w:rsidRDefault="004113CA" w:rsidP="004113CA">
      <w:pPr>
        <w:pStyle w:val="ListParagraph"/>
        <w:numPr>
          <w:ilvl w:val="0"/>
          <w:numId w:val="19"/>
        </w:numPr>
        <w:rPr>
          <w:b/>
          <w:bCs/>
        </w:rPr>
      </w:pPr>
      <w:r w:rsidRPr="00A47E49">
        <w:rPr>
          <w:b/>
          <w:bCs/>
        </w:rPr>
        <w:t>Environmental Costs and Computational Sustainability</w:t>
      </w:r>
    </w:p>
    <w:p w14:paraId="1B062080" w14:textId="77777777" w:rsidR="004113CA" w:rsidRPr="004113CA" w:rsidRDefault="004113CA" w:rsidP="004113CA">
      <w:pPr>
        <w:rPr>
          <w:sz w:val="20"/>
          <w:szCs w:val="20"/>
        </w:rPr>
      </w:pPr>
      <w:r w:rsidRPr="004113CA">
        <w:rPr>
          <w:sz w:val="20"/>
          <w:szCs w:val="20"/>
        </w:rPr>
        <w:t>This topic examines the environmental footprint of large language models, including energy use, carbon emissions, water consumption, and hardware supply chains. One position argues that the computational demands of training and deploying LLMs are environmentally unsustainable and exacerbate existing ecological harms, especially as models continue to scale. A competing view emphasizes efficiency gains, model reuse, improved hardware, and the possibility that AI-driven optimization could reduce environmental costs elsewhere in the economy. Central questions include how environmental impact should be measured, what tradeoffs are acceptable, and whether projected harms are inevitable or contingent on current design and policy choices.</w:t>
      </w:r>
    </w:p>
    <w:p w14:paraId="55198DD0" w14:textId="77777777" w:rsidR="004113CA" w:rsidRPr="004113CA" w:rsidRDefault="004113CA" w:rsidP="004113CA">
      <w:pPr>
        <w:rPr>
          <w:sz w:val="20"/>
          <w:szCs w:val="20"/>
        </w:rPr>
      </w:pPr>
    </w:p>
    <w:p w14:paraId="5062510F" w14:textId="77777777" w:rsidR="004113CA" w:rsidRPr="00A47E49" w:rsidRDefault="004113CA" w:rsidP="004113CA">
      <w:pPr>
        <w:pStyle w:val="ListParagraph"/>
        <w:numPr>
          <w:ilvl w:val="0"/>
          <w:numId w:val="19"/>
        </w:numPr>
        <w:rPr>
          <w:b/>
          <w:bCs/>
        </w:rPr>
      </w:pPr>
      <w:r w:rsidRPr="00A47E49">
        <w:rPr>
          <w:b/>
          <w:bCs/>
        </w:rPr>
        <w:t>P(doom) and P(utopia)</w:t>
      </w:r>
    </w:p>
    <w:p w14:paraId="66CC86E3" w14:textId="77777777" w:rsidR="004113CA" w:rsidRPr="004113CA" w:rsidRDefault="004113CA" w:rsidP="004113CA">
      <w:pPr>
        <w:rPr>
          <w:sz w:val="20"/>
          <w:szCs w:val="20"/>
        </w:rPr>
      </w:pPr>
      <w:r w:rsidRPr="004113CA">
        <w:rPr>
          <w:sz w:val="20"/>
          <w:szCs w:val="20"/>
        </w:rPr>
        <w:t xml:space="preserve">This topic examines competing forecasts about the long-term societal impact of advanced AI systems, ranging from catastrophic failure scenarios to transformative positive futures. One position emphasizes existential risks: misaligned systems, loss of human control, or cascading societal disruption that could cause irreversible harm. A competing view argues that such scenarios are speculative and that AI could instead lead to unprecedented gains in health, education, scientific progress, and human flourishing if developed responsibly. Central questions include which claims are grounded in empirical trends versus conjecture, how uncertainty should affect policy and research priorities, and whether it is possible to meaningfully estimate </w:t>
      </w:r>
      <w:proofErr w:type="gramStart"/>
      <w:r w:rsidRPr="004113CA">
        <w:rPr>
          <w:sz w:val="20"/>
          <w:szCs w:val="20"/>
        </w:rPr>
        <w:t>either extreme</w:t>
      </w:r>
      <w:proofErr w:type="gramEnd"/>
      <w:r w:rsidRPr="004113CA">
        <w:rPr>
          <w:sz w:val="20"/>
          <w:szCs w:val="20"/>
        </w:rPr>
        <w:t xml:space="preserve"> outcome.</w:t>
      </w:r>
    </w:p>
    <w:p w14:paraId="4F5F9585" w14:textId="77777777" w:rsidR="004113CA" w:rsidRPr="004113CA" w:rsidRDefault="004113CA" w:rsidP="004113CA">
      <w:pPr>
        <w:rPr>
          <w:b/>
          <w:bCs/>
          <w:sz w:val="20"/>
          <w:szCs w:val="20"/>
        </w:rPr>
      </w:pPr>
    </w:p>
    <w:p w14:paraId="20F7EE1A" w14:textId="77777777" w:rsidR="004113CA" w:rsidRPr="00A47E49" w:rsidRDefault="004113CA" w:rsidP="004113CA">
      <w:pPr>
        <w:pStyle w:val="ListParagraph"/>
        <w:numPr>
          <w:ilvl w:val="0"/>
          <w:numId w:val="19"/>
        </w:numPr>
        <w:rPr>
          <w:b/>
          <w:bCs/>
        </w:rPr>
      </w:pPr>
      <w:r w:rsidRPr="00A47E49">
        <w:rPr>
          <w:b/>
          <w:bCs/>
        </w:rPr>
        <w:t>Posthumanism and Anthropocentrism</w:t>
      </w:r>
    </w:p>
    <w:p w14:paraId="62762CAA" w14:textId="77777777" w:rsidR="004113CA" w:rsidRPr="004113CA" w:rsidRDefault="004113CA" w:rsidP="004113CA">
      <w:pPr>
        <w:rPr>
          <w:sz w:val="20"/>
          <w:szCs w:val="20"/>
        </w:rPr>
      </w:pPr>
      <w:r w:rsidRPr="004113CA">
        <w:rPr>
          <w:sz w:val="20"/>
          <w:szCs w:val="20"/>
        </w:rPr>
        <w:t>This topic examines how the development of LLMs challenges assumptions about human uniqueness, intelligence, and moral status. One position argues that increasingly capable AI systems force a rethinking of anthropocentric views that place humans at the center of cognition, creativity, and agency, potentially opening space for new ethical frameworks. A competing view holds that equating machine performance with human cognition risks category mistakes, moral confusion, and the erosion of human-centered values. Central questions include whether AI capabilities genuinely threaten human exceptionalism, which distinctions still matter, and how shifts in perspective should influence ethics and social norms.</w:t>
      </w:r>
    </w:p>
    <w:p w14:paraId="6A9C7210" w14:textId="77777777" w:rsidR="004113CA" w:rsidRPr="004113CA" w:rsidRDefault="004113CA" w:rsidP="004113CA">
      <w:pPr>
        <w:rPr>
          <w:sz w:val="20"/>
          <w:szCs w:val="20"/>
        </w:rPr>
      </w:pPr>
    </w:p>
    <w:p w14:paraId="0ED0B6C4" w14:textId="77777777" w:rsidR="004113CA" w:rsidRPr="00A47E49" w:rsidRDefault="004113CA" w:rsidP="004113CA">
      <w:pPr>
        <w:pStyle w:val="ListParagraph"/>
        <w:numPr>
          <w:ilvl w:val="0"/>
          <w:numId w:val="19"/>
        </w:numPr>
        <w:rPr>
          <w:b/>
          <w:bCs/>
        </w:rPr>
      </w:pPr>
      <w:r w:rsidRPr="00A47E49">
        <w:rPr>
          <w:b/>
          <w:bCs/>
        </w:rPr>
        <w:lastRenderedPageBreak/>
        <w:t>What Is Intelligence?</w:t>
      </w:r>
    </w:p>
    <w:p w14:paraId="780046B4" w14:textId="77777777" w:rsidR="004113CA" w:rsidRPr="004113CA" w:rsidRDefault="004113CA" w:rsidP="004113CA">
      <w:pPr>
        <w:rPr>
          <w:sz w:val="20"/>
          <w:szCs w:val="20"/>
        </w:rPr>
      </w:pPr>
      <w:r w:rsidRPr="004113CA">
        <w:rPr>
          <w:sz w:val="20"/>
          <w:szCs w:val="20"/>
        </w:rPr>
        <w:t>This topic examines competing definitions of intelligence and whether LLMs satisfy them. One position emphasizes performance-based criteria—flexibility, generalization, problem-solving, and learning—arguing that LLMs already meet many functional benchmarks of intelligence. A competing view argues that intelligence requires deeper properties such as understanding, goals, embodiment, or adaptive agency that LLMs lack. Central questions include which criteria matter, whether definitions should be revised in light of new systems, and how much of the disagreement is empirical versus conceptual.</w:t>
      </w:r>
    </w:p>
    <w:p w14:paraId="3DA56EDD" w14:textId="77777777" w:rsidR="004113CA" w:rsidRPr="004113CA" w:rsidRDefault="004113CA" w:rsidP="004113CA">
      <w:pPr>
        <w:rPr>
          <w:sz w:val="20"/>
          <w:szCs w:val="20"/>
        </w:rPr>
      </w:pPr>
    </w:p>
    <w:p w14:paraId="0E9AD759" w14:textId="77777777" w:rsidR="004113CA" w:rsidRPr="00A47E49" w:rsidRDefault="004113CA" w:rsidP="004113CA">
      <w:pPr>
        <w:pStyle w:val="ListParagraph"/>
        <w:numPr>
          <w:ilvl w:val="0"/>
          <w:numId w:val="19"/>
        </w:numPr>
        <w:rPr>
          <w:b/>
          <w:bCs/>
        </w:rPr>
      </w:pPr>
      <w:r w:rsidRPr="00A47E49">
        <w:rPr>
          <w:b/>
          <w:bCs/>
        </w:rPr>
        <w:t>Do Cognitive Systems Require Explicit Symbols?</w:t>
      </w:r>
    </w:p>
    <w:p w14:paraId="65443A9C" w14:textId="77777777" w:rsidR="004113CA" w:rsidRPr="004113CA" w:rsidRDefault="004113CA" w:rsidP="004113CA">
      <w:pPr>
        <w:rPr>
          <w:sz w:val="20"/>
          <w:szCs w:val="20"/>
        </w:rPr>
      </w:pPr>
      <w:r w:rsidRPr="004113CA">
        <w:rPr>
          <w:sz w:val="20"/>
          <w:szCs w:val="20"/>
        </w:rPr>
        <w:t xml:space="preserve">This topic revisits the classic symbolic vs. </w:t>
      </w:r>
      <w:proofErr w:type="spellStart"/>
      <w:r w:rsidRPr="004113CA">
        <w:rPr>
          <w:sz w:val="20"/>
          <w:szCs w:val="20"/>
        </w:rPr>
        <w:t>subsymbolic</w:t>
      </w:r>
      <w:proofErr w:type="spellEnd"/>
      <w:r w:rsidRPr="004113CA">
        <w:rPr>
          <w:sz w:val="20"/>
          <w:szCs w:val="20"/>
        </w:rPr>
        <w:t xml:space="preserve"> debate in light of modern LLMs. One position argues that systematic reasoning, compositionality, and abstraction require explicit symbolic representations and rules, which LLMs do not genuinely possess. A competing view holds that distributed, learned representations can support symbol-like behavior without explicit symbols, and that LLMs demonstrate this at scale. Key questions include what counts as a symbol, how systematicity should be tested, and whether failures of LLMs reflect missing structure or current limitations of training and evaluation.</w:t>
      </w:r>
    </w:p>
    <w:p w14:paraId="0589653E" w14:textId="77777777" w:rsidR="004113CA" w:rsidRPr="004113CA" w:rsidRDefault="004113CA" w:rsidP="004113CA">
      <w:pPr>
        <w:rPr>
          <w:sz w:val="20"/>
          <w:szCs w:val="20"/>
        </w:rPr>
      </w:pPr>
    </w:p>
    <w:p w14:paraId="02FDA497" w14:textId="77777777" w:rsidR="004113CA" w:rsidRPr="00A47E49" w:rsidRDefault="004113CA" w:rsidP="004113CA">
      <w:pPr>
        <w:pStyle w:val="ListParagraph"/>
        <w:numPr>
          <w:ilvl w:val="0"/>
          <w:numId w:val="19"/>
        </w:numPr>
        <w:rPr>
          <w:b/>
          <w:bCs/>
        </w:rPr>
      </w:pPr>
      <w:r w:rsidRPr="00A47E49">
        <w:rPr>
          <w:b/>
          <w:bCs/>
        </w:rPr>
        <w:t>Reasoning Without Rules: How Do LLMs Think?</w:t>
      </w:r>
    </w:p>
    <w:p w14:paraId="579FD6A6" w14:textId="77777777" w:rsidR="004113CA" w:rsidRPr="004113CA" w:rsidRDefault="004113CA" w:rsidP="004113CA">
      <w:pPr>
        <w:rPr>
          <w:sz w:val="20"/>
          <w:szCs w:val="20"/>
        </w:rPr>
      </w:pPr>
      <w:r w:rsidRPr="004113CA">
        <w:rPr>
          <w:sz w:val="20"/>
          <w:szCs w:val="20"/>
        </w:rPr>
        <w:t>This topic examines whether LLMs genuinely reason or merely produce outputs that resemble reasoning. One position argues that multi-step reasoning, planning, and problem-solving in LLMs emerge from pattern completion guided by statistical regularities, not from rule-based inference. A competing view suggests that learned internal structures may implement functional reasoning even without explicit rules. Central questions include how reasoning should be defined, how fragile LLM reasoning is across contexts, and what kinds of empirical tests can distinguish reasoning from mimicry.</w:t>
      </w:r>
    </w:p>
    <w:p w14:paraId="29FA7513" w14:textId="77777777" w:rsidR="004113CA" w:rsidRPr="004113CA" w:rsidRDefault="004113CA" w:rsidP="004113CA">
      <w:pPr>
        <w:rPr>
          <w:sz w:val="20"/>
          <w:szCs w:val="20"/>
        </w:rPr>
      </w:pPr>
    </w:p>
    <w:p w14:paraId="086A316C" w14:textId="77777777" w:rsidR="004113CA" w:rsidRPr="00A47E49" w:rsidRDefault="004113CA" w:rsidP="004113CA">
      <w:pPr>
        <w:pStyle w:val="ListParagraph"/>
        <w:numPr>
          <w:ilvl w:val="0"/>
          <w:numId w:val="19"/>
        </w:numPr>
        <w:rPr>
          <w:b/>
          <w:bCs/>
        </w:rPr>
      </w:pPr>
      <w:r w:rsidRPr="00A47E49">
        <w:rPr>
          <w:b/>
          <w:bCs/>
        </w:rPr>
        <w:t xml:space="preserve">Representation and </w:t>
      </w:r>
      <w:proofErr w:type="gramStart"/>
      <w:r w:rsidRPr="00A47E49">
        <w:rPr>
          <w:b/>
          <w:bCs/>
        </w:rPr>
        <w:t>Meaning</w:t>
      </w:r>
      <w:proofErr w:type="gramEnd"/>
      <w:r w:rsidRPr="00A47E49">
        <w:rPr>
          <w:b/>
          <w:bCs/>
        </w:rPr>
        <w:t xml:space="preserve"> in LLMs</w:t>
      </w:r>
    </w:p>
    <w:p w14:paraId="6CF6B5B4" w14:textId="77777777" w:rsidR="004113CA" w:rsidRPr="004113CA" w:rsidRDefault="004113CA" w:rsidP="004113CA">
      <w:pPr>
        <w:rPr>
          <w:sz w:val="20"/>
          <w:szCs w:val="20"/>
        </w:rPr>
      </w:pPr>
      <w:r w:rsidRPr="004113CA">
        <w:rPr>
          <w:sz w:val="20"/>
          <w:szCs w:val="20"/>
        </w:rPr>
        <w:t>This topic explores how LLMs represent meaning and whether purely distributional information is sufficient for understanding. One position argues that meaning can emerge from patterns of language use alone, and that LLMs’ success supports the distributional hypothesis. A competing view holds that meaning requires grounding in perception, action, or world interaction, which LLMs lack. Key issues include what counts as semantic understanding, how grounding should be operationalized, and whether current evidence supports one view over the other.</w:t>
      </w:r>
    </w:p>
    <w:p w14:paraId="4FA5A071" w14:textId="77777777" w:rsidR="004113CA" w:rsidRPr="004113CA" w:rsidRDefault="004113CA" w:rsidP="004113CA">
      <w:pPr>
        <w:rPr>
          <w:sz w:val="20"/>
          <w:szCs w:val="20"/>
        </w:rPr>
      </w:pPr>
    </w:p>
    <w:p w14:paraId="2008F807" w14:textId="77777777" w:rsidR="004113CA" w:rsidRPr="00A47E49" w:rsidRDefault="004113CA" w:rsidP="004113CA">
      <w:pPr>
        <w:pStyle w:val="ListParagraph"/>
        <w:numPr>
          <w:ilvl w:val="0"/>
          <w:numId w:val="19"/>
        </w:numPr>
        <w:rPr>
          <w:b/>
          <w:bCs/>
        </w:rPr>
      </w:pPr>
      <w:r w:rsidRPr="00A47E49">
        <w:rPr>
          <w:b/>
          <w:bCs/>
        </w:rPr>
        <w:t>Agency and Intentionality in Artificial Systems</w:t>
      </w:r>
    </w:p>
    <w:p w14:paraId="131FEA61" w14:textId="77777777" w:rsidR="004113CA" w:rsidRPr="004113CA" w:rsidRDefault="004113CA" w:rsidP="004113CA">
      <w:pPr>
        <w:rPr>
          <w:sz w:val="20"/>
          <w:szCs w:val="20"/>
        </w:rPr>
      </w:pPr>
      <w:r w:rsidRPr="004113CA">
        <w:rPr>
          <w:sz w:val="20"/>
          <w:szCs w:val="20"/>
        </w:rPr>
        <w:t>This topic examines whether it makes sense to attribute agency, goals, or intentions to LLMs. One position argues that goal-directed behavior, planning, and responsiveness justify limited attributions of agency, at least at a functional level. A competing view holds that LLMs lack genuine intentions because they do not initiate goals, have no intrinsic motivations, and operate entirely under external control. Central questions include how agency should be defined, whether attribution is explanatory or misleading, and which aspects of agency are empirical versus normative.</w:t>
      </w:r>
    </w:p>
    <w:p w14:paraId="4A6F49CE" w14:textId="77777777" w:rsidR="004113CA" w:rsidRPr="004113CA" w:rsidRDefault="004113CA" w:rsidP="004113CA">
      <w:pPr>
        <w:rPr>
          <w:sz w:val="20"/>
          <w:szCs w:val="20"/>
        </w:rPr>
      </w:pPr>
    </w:p>
    <w:p w14:paraId="2A6F3104" w14:textId="77777777" w:rsidR="004113CA" w:rsidRPr="00A47E49" w:rsidRDefault="004113CA" w:rsidP="004113CA">
      <w:pPr>
        <w:pStyle w:val="ListParagraph"/>
        <w:numPr>
          <w:ilvl w:val="0"/>
          <w:numId w:val="19"/>
        </w:numPr>
        <w:rPr>
          <w:b/>
          <w:bCs/>
        </w:rPr>
      </w:pPr>
      <w:r w:rsidRPr="00A47E49">
        <w:rPr>
          <w:b/>
          <w:bCs/>
        </w:rPr>
        <w:t>Are LLMs Good Models of Human Cognition?</w:t>
      </w:r>
    </w:p>
    <w:p w14:paraId="06B81D61" w14:textId="77777777" w:rsidR="004113CA" w:rsidRPr="004113CA" w:rsidRDefault="004113CA" w:rsidP="004113CA">
      <w:pPr>
        <w:rPr>
          <w:sz w:val="20"/>
          <w:szCs w:val="20"/>
        </w:rPr>
      </w:pPr>
      <w:r w:rsidRPr="004113CA">
        <w:rPr>
          <w:sz w:val="20"/>
          <w:szCs w:val="20"/>
        </w:rPr>
        <w:t>This topic examines whether LLMs should be treated as models of human cognitive processes or merely as engineering artifacts. One position argues that similarities in behavior, representations, and predictive patterns make LLMs valuable cognitive models, especially for language and memory. A competing view holds that fundamental differences in learning, embodiment, development, and neural implementation limit their explanatory relevance. Key questions include what kind of “model” LLMs are, which levels of explanation they address, and how mismatches should affect their scientific use.</w:t>
      </w:r>
    </w:p>
    <w:p w14:paraId="604BCB2F" w14:textId="77777777" w:rsidR="004113CA" w:rsidRPr="004113CA" w:rsidRDefault="004113CA" w:rsidP="004113CA">
      <w:pPr>
        <w:rPr>
          <w:sz w:val="20"/>
          <w:szCs w:val="20"/>
        </w:rPr>
      </w:pPr>
    </w:p>
    <w:p w14:paraId="56BEA5B6" w14:textId="77777777" w:rsidR="004113CA" w:rsidRPr="00A47E49" w:rsidRDefault="004113CA" w:rsidP="004113CA">
      <w:pPr>
        <w:pStyle w:val="ListParagraph"/>
        <w:numPr>
          <w:ilvl w:val="0"/>
          <w:numId w:val="19"/>
        </w:numPr>
        <w:rPr>
          <w:b/>
          <w:bCs/>
        </w:rPr>
      </w:pPr>
      <w:r w:rsidRPr="00A47E49">
        <w:rPr>
          <w:b/>
          <w:bCs/>
        </w:rPr>
        <w:t>Embodiment and the Limits of Language-Only Learning</w:t>
      </w:r>
    </w:p>
    <w:p w14:paraId="6AE81693" w14:textId="77777777" w:rsidR="004113CA" w:rsidRPr="004113CA" w:rsidRDefault="004113CA" w:rsidP="004113CA">
      <w:pPr>
        <w:rPr>
          <w:sz w:val="20"/>
          <w:szCs w:val="20"/>
        </w:rPr>
      </w:pPr>
      <w:r w:rsidRPr="004113CA">
        <w:rPr>
          <w:sz w:val="20"/>
          <w:szCs w:val="20"/>
        </w:rPr>
        <w:t xml:space="preserve">This topic investigates whether cognition requires a body and sensorimotor experience. One position argues that embodied interaction is essential for grounding concepts, developing commonsense knowledge, and supporting </w:t>
      </w:r>
      <w:r w:rsidRPr="004113CA">
        <w:rPr>
          <w:sz w:val="20"/>
          <w:szCs w:val="20"/>
        </w:rPr>
        <w:lastRenderedPageBreak/>
        <w:t>flexible reasoning, implying fundamental limits for language-only models. A competing view holds that large-scale linguistic data may implicitly encode much of the structure needed for cognition, making embodiment less central than traditionally assumed. Central questions include what embodiment contributes empirically, how to test its necessity, and what multimodal models change about the debate.</w:t>
      </w:r>
    </w:p>
    <w:p w14:paraId="64B6EEF9" w14:textId="77777777" w:rsidR="004113CA" w:rsidRPr="004113CA" w:rsidRDefault="004113CA" w:rsidP="004113CA">
      <w:pPr>
        <w:rPr>
          <w:sz w:val="20"/>
          <w:szCs w:val="20"/>
        </w:rPr>
      </w:pPr>
    </w:p>
    <w:p w14:paraId="58FAC41C" w14:textId="77777777" w:rsidR="004113CA" w:rsidRPr="00A47E49" w:rsidRDefault="004113CA" w:rsidP="004113CA">
      <w:pPr>
        <w:pStyle w:val="ListParagraph"/>
        <w:numPr>
          <w:ilvl w:val="0"/>
          <w:numId w:val="19"/>
        </w:numPr>
        <w:rPr>
          <w:b/>
          <w:bCs/>
        </w:rPr>
      </w:pPr>
      <w:r w:rsidRPr="00A47E49">
        <w:rPr>
          <w:b/>
          <w:bCs/>
        </w:rPr>
        <w:t>Levels of Explanation: What Does It Mean to Explain Cognition?</w:t>
      </w:r>
    </w:p>
    <w:p w14:paraId="2357C851" w14:textId="27425777" w:rsidR="003E7C8C" w:rsidRPr="004113CA" w:rsidRDefault="004113CA" w:rsidP="004113CA">
      <w:pPr>
        <w:rPr>
          <w:sz w:val="20"/>
          <w:szCs w:val="20"/>
        </w:rPr>
      </w:pPr>
      <w:r w:rsidRPr="004113CA">
        <w:rPr>
          <w:sz w:val="20"/>
          <w:szCs w:val="20"/>
        </w:rPr>
        <w:t>This topic examines what counts as an explanation in cognitive science and AI. One position emphasizes behavioral success and functional equivalence, arguing that models need only reproduce relevant outputs. A competing view insists that true explanation requires mechanistic insight into internal processes, not just performance. Key questions include how Marr’s levels apply to LLMs, whether interpretability is necessary for explanation, and how explanatory goals should guide model evaluation.</w:t>
      </w:r>
    </w:p>
    <w:sectPr w:rsidR="003E7C8C" w:rsidRPr="004113C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C97E" w14:textId="77777777" w:rsidR="00CA53A6" w:rsidRDefault="00CA53A6" w:rsidP="000A16DA">
      <w:r>
        <w:separator/>
      </w:r>
    </w:p>
  </w:endnote>
  <w:endnote w:type="continuationSeparator" w:id="0">
    <w:p w14:paraId="2F4E9831" w14:textId="77777777" w:rsidR="00CA53A6" w:rsidRDefault="00CA53A6" w:rsidP="000A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7553" w14:textId="77777777" w:rsidR="00CA53A6" w:rsidRDefault="00CA53A6" w:rsidP="000A16DA">
      <w:r>
        <w:separator/>
      </w:r>
    </w:p>
  </w:footnote>
  <w:footnote w:type="continuationSeparator" w:id="0">
    <w:p w14:paraId="090E2B1E" w14:textId="77777777" w:rsidR="00CA53A6" w:rsidRDefault="00CA53A6" w:rsidP="000A1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19F6" w14:textId="71A7880C" w:rsidR="000A16DA" w:rsidRPr="000A16DA" w:rsidRDefault="000A16DA" w:rsidP="000A16DA">
    <w:pPr>
      <w:rPr>
        <w:b/>
        <w:sz w:val="32"/>
        <w:szCs w:val="32"/>
      </w:rPr>
    </w:pPr>
    <w:r w:rsidRPr="000A16DA">
      <w:rPr>
        <w:b/>
        <w:sz w:val="32"/>
        <w:szCs w:val="32"/>
      </w:rPr>
      <w:t>LLM</w:t>
    </w:r>
    <w:r w:rsidR="00977813">
      <w:rPr>
        <w:b/>
        <w:sz w:val="32"/>
        <w:szCs w:val="32"/>
      </w:rPr>
      <w:t xml:space="preserve"> Debates Topic Descriptions</w:t>
    </w:r>
  </w:p>
  <w:p w14:paraId="2E99B275" w14:textId="77777777" w:rsidR="000A16DA" w:rsidRPr="000A16DA" w:rsidRDefault="000A16DA" w:rsidP="000A1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76E"/>
    <w:multiLevelType w:val="hybridMultilevel"/>
    <w:tmpl w:val="8380559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6D18E2"/>
    <w:multiLevelType w:val="hybridMultilevel"/>
    <w:tmpl w:val="B5A0636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8D5ABD"/>
    <w:multiLevelType w:val="hybridMultilevel"/>
    <w:tmpl w:val="8630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053ED"/>
    <w:multiLevelType w:val="hybridMultilevel"/>
    <w:tmpl w:val="AD761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92A43B2"/>
    <w:multiLevelType w:val="hybridMultilevel"/>
    <w:tmpl w:val="3BF0C37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3E2739"/>
    <w:multiLevelType w:val="hybridMultilevel"/>
    <w:tmpl w:val="52E2284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A62E31"/>
    <w:multiLevelType w:val="hybridMultilevel"/>
    <w:tmpl w:val="CEBED71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7F0B9C"/>
    <w:multiLevelType w:val="hybridMultilevel"/>
    <w:tmpl w:val="DB6E91F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5613220"/>
    <w:multiLevelType w:val="hybridMultilevel"/>
    <w:tmpl w:val="090C6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C952D9"/>
    <w:multiLevelType w:val="hybridMultilevel"/>
    <w:tmpl w:val="2062A1F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F175176"/>
    <w:multiLevelType w:val="hybridMultilevel"/>
    <w:tmpl w:val="0504C88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2925AB"/>
    <w:multiLevelType w:val="hybridMultilevel"/>
    <w:tmpl w:val="A59601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404906"/>
    <w:multiLevelType w:val="hybridMultilevel"/>
    <w:tmpl w:val="1D9C354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591CCB"/>
    <w:multiLevelType w:val="hybridMultilevel"/>
    <w:tmpl w:val="31BEB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4605BF"/>
    <w:multiLevelType w:val="hybridMultilevel"/>
    <w:tmpl w:val="9142380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6F287A"/>
    <w:multiLevelType w:val="hybridMultilevel"/>
    <w:tmpl w:val="61D462E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F31ED2"/>
    <w:multiLevelType w:val="hybridMultilevel"/>
    <w:tmpl w:val="3F6A5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973571"/>
    <w:multiLevelType w:val="hybridMultilevel"/>
    <w:tmpl w:val="4D9249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CD374D4"/>
    <w:multiLevelType w:val="hybridMultilevel"/>
    <w:tmpl w:val="FFA64F4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6601484">
    <w:abstractNumId w:val="8"/>
  </w:num>
  <w:num w:numId="2" w16cid:durableId="1392732620">
    <w:abstractNumId w:val="10"/>
  </w:num>
  <w:num w:numId="3" w16cid:durableId="92822024">
    <w:abstractNumId w:val="2"/>
  </w:num>
  <w:num w:numId="4" w16cid:durableId="1452241620">
    <w:abstractNumId w:val="16"/>
  </w:num>
  <w:num w:numId="5" w16cid:durableId="715543382">
    <w:abstractNumId w:val="14"/>
  </w:num>
  <w:num w:numId="6" w16cid:durableId="1530796947">
    <w:abstractNumId w:val="13"/>
  </w:num>
  <w:num w:numId="7" w16cid:durableId="1439106123">
    <w:abstractNumId w:val="1"/>
  </w:num>
  <w:num w:numId="8" w16cid:durableId="1193154029">
    <w:abstractNumId w:val="6"/>
  </w:num>
  <w:num w:numId="9" w16cid:durableId="1006589091">
    <w:abstractNumId w:val="0"/>
  </w:num>
  <w:num w:numId="10" w16cid:durableId="1976178626">
    <w:abstractNumId w:val="5"/>
  </w:num>
  <w:num w:numId="11" w16cid:durableId="966161921">
    <w:abstractNumId w:val="11"/>
  </w:num>
  <w:num w:numId="12" w16cid:durableId="308170748">
    <w:abstractNumId w:val="15"/>
  </w:num>
  <w:num w:numId="13" w16cid:durableId="542139985">
    <w:abstractNumId w:val="9"/>
  </w:num>
  <w:num w:numId="14" w16cid:durableId="351418911">
    <w:abstractNumId w:val="7"/>
  </w:num>
  <w:num w:numId="15" w16cid:durableId="2085905942">
    <w:abstractNumId w:val="17"/>
  </w:num>
  <w:num w:numId="16" w16cid:durableId="765930985">
    <w:abstractNumId w:val="18"/>
  </w:num>
  <w:num w:numId="17" w16cid:durableId="558514273">
    <w:abstractNumId w:val="12"/>
  </w:num>
  <w:num w:numId="18" w16cid:durableId="1361588941">
    <w:abstractNumId w:val="4"/>
  </w:num>
  <w:num w:numId="19" w16cid:durableId="1553032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F8"/>
    <w:rsid w:val="0001789B"/>
    <w:rsid w:val="000A16DA"/>
    <w:rsid w:val="002B3389"/>
    <w:rsid w:val="00340C8D"/>
    <w:rsid w:val="003E7C8C"/>
    <w:rsid w:val="004113CA"/>
    <w:rsid w:val="004A366C"/>
    <w:rsid w:val="00525FF8"/>
    <w:rsid w:val="006F170D"/>
    <w:rsid w:val="007B38B6"/>
    <w:rsid w:val="007E2D5D"/>
    <w:rsid w:val="00875B4F"/>
    <w:rsid w:val="009143E5"/>
    <w:rsid w:val="00977813"/>
    <w:rsid w:val="009B1937"/>
    <w:rsid w:val="009F77A0"/>
    <w:rsid w:val="00A47E49"/>
    <w:rsid w:val="00B00845"/>
    <w:rsid w:val="00CA53A6"/>
    <w:rsid w:val="00CB70E2"/>
    <w:rsid w:val="00EA52A3"/>
    <w:rsid w:val="00ED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CAC1F"/>
  <w15:chartTrackingRefBased/>
  <w15:docId w15:val="{9010E29A-5399-6949-9C56-04C1A4A4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F8"/>
    <w:pPr>
      <w:ind w:firstLine="0"/>
      <w:jc w:val="left"/>
    </w:pPr>
    <w:rPr>
      <w:rFonts w:ascii="Calibri" w:eastAsia="Calibri" w:hAnsi="Calibri" w:cs="Calibri"/>
      <w:kern w:val="0"/>
      <w:lang w:eastAsia="ja-JP"/>
      <w14:ligatures w14:val="none"/>
    </w:rPr>
  </w:style>
  <w:style w:type="paragraph" w:styleId="Heading1">
    <w:name w:val="heading 1"/>
    <w:basedOn w:val="Normal"/>
    <w:next w:val="Normal"/>
    <w:link w:val="Heading1Char"/>
    <w:uiPriority w:val="9"/>
    <w:qFormat/>
    <w:rsid w:val="00525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F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F8"/>
    <w:rPr>
      <w:rFonts w:eastAsiaTheme="majorEastAsia" w:cstheme="majorBidi"/>
      <w:color w:val="272727" w:themeColor="text1" w:themeTint="D8"/>
    </w:rPr>
  </w:style>
  <w:style w:type="paragraph" w:styleId="Title">
    <w:name w:val="Title"/>
    <w:basedOn w:val="Normal"/>
    <w:next w:val="Normal"/>
    <w:link w:val="TitleChar"/>
    <w:uiPriority w:val="10"/>
    <w:qFormat/>
    <w:rsid w:val="00525F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F8"/>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FF8"/>
    <w:rPr>
      <w:i/>
      <w:iCs/>
      <w:color w:val="404040" w:themeColor="text1" w:themeTint="BF"/>
    </w:rPr>
  </w:style>
  <w:style w:type="paragraph" w:styleId="ListParagraph">
    <w:name w:val="List Paragraph"/>
    <w:basedOn w:val="Normal"/>
    <w:uiPriority w:val="34"/>
    <w:qFormat/>
    <w:rsid w:val="00525FF8"/>
    <w:pPr>
      <w:ind w:left="720"/>
      <w:contextualSpacing/>
    </w:pPr>
  </w:style>
  <w:style w:type="character" w:styleId="IntenseEmphasis">
    <w:name w:val="Intense Emphasis"/>
    <w:basedOn w:val="DefaultParagraphFont"/>
    <w:uiPriority w:val="21"/>
    <w:qFormat/>
    <w:rsid w:val="00525FF8"/>
    <w:rPr>
      <w:i/>
      <w:iCs/>
      <w:color w:val="0F4761" w:themeColor="accent1" w:themeShade="BF"/>
    </w:rPr>
  </w:style>
  <w:style w:type="paragraph" w:styleId="IntenseQuote">
    <w:name w:val="Intense Quote"/>
    <w:basedOn w:val="Normal"/>
    <w:next w:val="Normal"/>
    <w:link w:val="IntenseQuoteChar"/>
    <w:uiPriority w:val="30"/>
    <w:qFormat/>
    <w:rsid w:val="00525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FF8"/>
    <w:rPr>
      <w:i/>
      <w:iCs/>
      <w:color w:val="0F4761" w:themeColor="accent1" w:themeShade="BF"/>
    </w:rPr>
  </w:style>
  <w:style w:type="character" w:styleId="IntenseReference">
    <w:name w:val="Intense Reference"/>
    <w:basedOn w:val="DefaultParagraphFont"/>
    <w:uiPriority w:val="32"/>
    <w:qFormat/>
    <w:rsid w:val="00525FF8"/>
    <w:rPr>
      <w:b/>
      <w:bCs/>
      <w:smallCaps/>
      <w:color w:val="0F4761" w:themeColor="accent1" w:themeShade="BF"/>
      <w:spacing w:val="5"/>
    </w:rPr>
  </w:style>
  <w:style w:type="paragraph" w:styleId="Header">
    <w:name w:val="header"/>
    <w:basedOn w:val="Normal"/>
    <w:link w:val="HeaderChar"/>
    <w:uiPriority w:val="99"/>
    <w:unhideWhenUsed/>
    <w:rsid w:val="000A16DA"/>
    <w:pPr>
      <w:tabs>
        <w:tab w:val="center" w:pos="4680"/>
        <w:tab w:val="right" w:pos="9360"/>
      </w:tabs>
    </w:pPr>
  </w:style>
  <w:style w:type="character" w:customStyle="1" w:styleId="HeaderChar">
    <w:name w:val="Header Char"/>
    <w:basedOn w:val="DefaultParagraphFont"/>
    <w:link w:val="Header"/>
    <w:uiPriority w:val="99"/>
    <w:rsid w:val="000A16DA"/>
    <w:rPr>
      <w:rFonts w:ascii="Calibri" w:eastAsia="Calibri" w:hAnsi="Calibri" w:cs="Calibri"/>
      <w:kern w:val="0"/>
      <w:lang w:eastAsia="ja-JP"/>
      <w14:ligatures w14:val="none"/>
    </w:rPr>
  </w:style>
  <w:style w:type="paragraph" w:styleId="Footer">
    <w:name w:val="footer"/>
    <w:basedOn w:val="Normal"/>
    <w:link w:val="FooterChar"/>
    <w:uiPriority w:val="99"/>
    <w:unhideWhenUsed/>
    <w:rsid w:val="000A16DA"/>
    <w:pPr>
      <w:tabs>
        <w:tab w:val="center" w:pos="4680"/>
        <w:tab w:val="right" w:pos="9360"/>
      </w:tabs>
    </w:pPr>
  </w:style>
  <w:style w:type="character" w:customStyle="1" w:styleId="FooterChar">
    <w:name w:val="Footer Char"/>
    <w:basedOn w:val="DefaultParagraphFont"/>
    <w:link w:val="Footer"/>
    <w:uiPriority w:val="99"/>
    <w:rsid w:val="000A16DA"/>
    <w:rPr>
      <w:rFonts w:ascii="Calibri" w:eastAsia="Calibri" w:hAnsi="Calibri" w:cs="Calibri"/>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2414</Words>
  <Characters>14851</Characters>
  <Application>Microsoft Office Word</Application>
  <DocSecurity>0</DocSecurity>
  <Lines>215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Willits, Jon Anthony</dc:creator>
  <cp:keywords/>
  <dc:description/>
  <cp:lastModifiedBy>Willits, Jon Anthony</cp:lastModifiedBy>
  <cp:revision>4</cp:revision>
  <dcterms:created xsi:type="dcterms:W3CDTF">2026-01-21T18:44:00Z</dcterms:created>
  <dcterms:modified xsi:type="dcterms:W3CDTF">2026-01-26T15:10:00Z</dcterms:modified>
</cp:coreProperties>
</file>