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85FDE" w14:textId="77777777" w:rsidR="00281CDE" w:rsidRPr="00281CDE" w:rsidRDefault="00281CDE" w:rsidP="00281CDE">
      <w:pPr>
        <w:spacing w:before="480" w:after="0" w:line="276" w:lineRule="auto"/>
        <w:contextualSpacing/>
        <w:jc w:val="center"/>
        <w:outlineLvl w:val="0"/>
        <w:rPr>
          <w:rFonts w:ascii="Times New Roman" w:eastAsia="Times New Roman" w:hAnsi="Times New Roman" w:cs="Times New Roman"/>
          <w:smallCaps/>
          <w:spacing w:val="5"/>
          <w:sz w:val="28"/>
          <w:szCs w:val="28"/>
        </w:rPr>
      </w:pPr>
      <w:bookmarkStart w:id="0" w:name="X75fe007ddcc585a107c1003cf01bc454a0c4372"/>
      <w:r w:rsidRPr="00281CDE">
        <w:rPr>
          <w:rFonts w:ascii="Times New Roman" w:eastAsia="Times New Roman" w:hAnsi="Times New Roman" w:cs="Times New Roman"/>
          <w:smallCaps/>
          <w:spacing w:val="5"/>
          <w:sz w:val="28"/>
          <w:szCs w:val="28"/>
        </w:rPr>
        <w:t>Cross-Asset Sentiment Regime Detector: Automating Market Psychology Analysis Through Multi-Source NLP</w:t>
      </w:r>
    </w:p>
    <w:p w14:paraId="6862AEBF" w14:textId="77777777" w:rsidR="00281CDE" w:rsidRPr="00281CDE" w:rsidRDefault="00281CDE" w:rsidP="00281CDE">
      <w:pPr>
        <w:spacing w:before="180" w:after="180" w:line="276" w:lineRule="auto"/>
        <w:jc w:val="center"/>
        <w:rPr>
          <w:rFonts w:ascii="Times New Roman" w:eastAsia="Times New Roman" w:hAnsi="Times New Roman" w:cs="Times New Roman"/>
          <w:sz w:val="22"/>
          <w:szCs w:val="22"/>
        </w:rPr>
      </w:pPr>
    </w:p>
    <w:p w14:paraId="2E703536" w14:textId="77777777" w:rsidR="002F6042" w:rsidRDefault="00281CDE" w:rsidP="00281CDE">
      <w:pPr>
        <w:spacing w:before="180" w:after="180" w:line="276" w:lineRule="auto"/>
        <w:jc w:val="center"/>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Jonathan Rocha</w:t>
      </w:r>
    </w:p>
    <w:p w14:paraId="2CD6D331" w14:textId="21B635AE" w:rsidR="00281CDE" w:rsidRPr="00281CDE" w:rsidRDefault="002F6042" w:rsidP="00281CDE">
      <w:pPr>
        <w:spacing w:before="180" w:after="180" w:line="276"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sidR="002054C3" w:rsidRPr="002054C3">
        <w:rPr>
          <w:rFonts w:ascii="Times New Roman" w:eastAsia="Times New Roman" w:hAnsi="Times New Roman" w:cs="Times New Roman"/>
          <w:sz w:val="22"/>
          <w:szCs w:val="22"/>
        </w:rPr>
        <w:t>David (King Ip) Lin, Ph.D.</w:t>
      </w:r>
    </w:p>
    <w:p w14:paraId="4870D7AA" w14:textId="77777777" w:rsidR="00281CDE" w:rsidRPr="00281CDE" w:rsidRDefault="00281CDE" w:rsidP="00281CDE">
      <w:pPr>
        <w:spacing w:before="180" w:after="180" w:line="276" w:lineRule="auto"/>
        <w:jc w:val="center"/>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Master of Science in Data Science, Southern Methodist University, Dallas, TX 75275 USA</w:t>
      </w:r>
    </w:p>
    <w:p w14:paraId="2C0E7EEF" w14:textId="77777777" w:rsidR="00281CDE" w:rsidRPr="00281CDE" w:rsidRDefault="00281CDE" w:rsidP="00281CDE">
      <w:pPr>
        <w:spacing w:before="180" w:after="180" w:line="276" w:lineRule="auto"/>
        <w:jc w:val="center"/>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 </w:t>
      </w:r>
      <w:hyperlink r:id="rId8">
        <w:r w:rsidRPr="00281CDE">
          <w:rPr>
            <w:rFonts w:ascii="Times New Roman" w:eastAsia="Times New Roman" w:hAnsi="Times New Roman" w:cs="Times New Roman"/>
            <w:i/>
            <w:sz w:val="22"/>
            <w:szCs w:val="22"/>
          </w:rPr>
          <w:t>jrocha@smu.edu</w:t>
        </w:r>
      </w:hyperlink>
    </w:p>
    <w:p w14:paraId="43285910"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bookmarkStart w:id="1" w:name="abstract"/>
    </w:p>
    <w:p w14:paraId="7DED842A"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r w:rsidRPr="00281CDE">
        <w:rPr>
          <w:rFonts w:ascii="Times New Roman" w:eastAsia="Times New Roman" w:hAnsi="Times New Roman" w:cs="Times New Roman"/>
          <w:smallCaps/>
          <w:sz w:val="28"/>
          <w:szCs w:val="28"/>
        </w:rPr>
        <w:t>Abstract</w:t>
      </w:r>
    </w:p>
    <w:p w14:paraId="5016E436" w14:textId="77777777" w:rsidR="001E4C4B" w:rsidRDefault="001E4C4B" w:rsidP="00281CDE">
      <w:pPr>
        <w:spacing w:before="200" w:after="0" w:line="271" w:lineRule="auto"/>
        <w:outlineLvl w:val="1"/>
        <w:rPr>
          <w:rFonts w:ascii="Times New Roman" w:eastAsia="Times New Roman" w:hAnsi="Times New Roman" w:cs="Times New Roman"/>
          <w:sz w:val="22"/>
          <w:szCs w:val="22"/>
        </w:rPr>
      </w:pPr>
      <w:bookmarkStart w:id="2" w:name="introduction"/>
      <w:bookmarkEnd w:id="1"/>
      <w:r w:rsidRPr="001E4C4B">
        <w:rPr>
          <w:rFonts w:ascii="Times New Roman" w:eastAsia="Times New Roman" w:hAnsi="Times New Roman" w:cs="Times New Roman"/>
          <w:sz w:val="22"/>
          <w:szCs w:val="22"/>
        </w:rPr>
        <w:t xml:space="preserve">Market regime shifts often precede measurable price movements, driven by changes in collective market psychology. However, traditional risk indicators such as the VIX are inherently lagging, registering stress only after volatility has materialized. This research develops an automated </w:t>
      </w:r>
      <w:r w:rsidRPr="001E4C4B">
        <w:rPr>
          <w:rFonts w:ascii="Times New Roman" w:eastAsia="Times New Roman" w:hAnsi="Times New Roman" w:cs="Times New Roman"/>
          <w:b/>
          <w:bCs/>
          <w:sz w:val="22"/>
          <w:szCs w:val="22"/>
        </w:rPr>
        <w:t>Cross-Asset Sentiment Regime Detector</w:t>
      </w:r>
      <w:r w:rsidRPr="001E4C4B">
        <w:rPr>
          <w:rFonts w:ascii="Times New Roman" w:eastAsia="Times New Roman" w:hAnsi="Times New Roman" w:cs="Times New Roman"/>
          <w:sz w:val="22"/>
          <w:szCs w:val="22"/>
        </w:rPr>
        <w:t xml:space="preserve"> to identify market transitions 1–5 trading days prior to volatility spikes. By applying ensemble transformer models (FinBERT, Llama 3) to financial news and social media across Equities, Crypto, Forex, and Commodities, we construct asset-specific sentiment indices. Methodologically, we introduce a novel </w:t>
      </w:r>
      <w:r w:rsidRPr="001E4C4B">
        <w:rPr>
          <w:rFonts w:ascii="Times New Roman" w:eastAsia="Times New Roman" w:hAnsi="Times New Roman" w:cs="Times New Roman"/>
          <w:b/>
          <w:bCs/>
          <w:sz w:val="22"/>
          <w:szCs w:val="22"/>
        </w:rPr>
        <w:t>Two-Layer Regime Model</w:t>
      </w:r>
      <w:r w:rsidRPr="001E4C4B">
        <w:rPr>
          <w:rFonts w:ascii="Times New Roman" w:eastAsia="Times New Roman" w:hAnsi="Times New Roman" w:cs="Times New Roman"/>
          <w:sz w:val="22"/>
          <w:szCs w:val="22"/>
        </w:rPr>
        <w:t xml:space="preserve">: first, </w:t>
      </w:r>
      <w:r w:rsidRPr="001E4C4B">
        <w:rPr>
          <w:rFonts w:ascii="Times New Roman" w:eastAsia="Times New Roman" w:hAnsi="Times New Roman" w:cs="Times New Roman"/>
          <w:b/>
          <w:bCs/>
          <w:sz w:val="22"/>
          <w:szCs w:val="22"/>
        </w:rPr>
        <w:t>Asymmetric GARCH-MIDAS</w:t>
      </w:r>
      <w:r w:rsidRPr="001E4C4B">
        <w:rPr>
          <w:rFonts w:ascii="Times New Roman" w:eastAsia="Times New Roman" w:hAnsi="Times New Roman" w:cs="Times New Roman"/>
          <w:sz w:val="22"/>
          <w:szCs w:val="22"/>
        </w:rPr>
        <w:t xml:space="preserve"> isolates long-term volatility components driven by sentiment; second, these estimates—augmented by </w:t>
      </w:r>
      <w:r w:rsidRPr="001E4C4B">
        <w:rPr>
          <w:rFonts w:ascii="Times New Roman" w:eastAsia="Times New Roman" w:hAnsi="Times New Roman" w:cs="Times New Roman"/>
          <w:b/>
          <w:bCs/>
          <w:sz w:val="22"/>
          <w:szCs w:val="22"/>
        </w:rPr>
        <w:t>Entropy-based Sentiment Connectedness</w:t>
      </w:r>
      <w:r w:rsidRPr="001E4C4B">
        <w:rPr>
          <w:rFonts w:ascii="Times New Roman" w:eastAsia="Times New Roman" w:hAnsi="Times New Roman" w:cs="Times New Roman"/>
          <w:sz w:val="22"/>
          <w:szCs w:val="22"/>
        </w:rPr>
        <w:t xml:space="preserve"> and </w:t>
      </w:r>
      <w:r w:rsidRPr="001E4C4B">
        <w:rPr>
          <w:rFonts w:ascii="Times New Roman" w:eastAsia="Times New Roman" w:hAnsi="Times New Roman" w:cs="Times New Roman"/>
          <w:b/>
          <w:bCs/>
          <w:sz w:val="22"/>
          <w:szCs w:val="22"/>
        </w:rPr>
        <w:t>Transfer Entropy Divergenc</w:t>
      </w:r>
      <w:r w:rsidRPr="001E4C4B">
        <w:rPr>
          <w:rFonts w:ascii="Times New Roman" w:eastAsia="Times New Roman" w:hAnsi="Times New Roman" w:cs="Times New Roman"/>
          <w:sz w:val="22"/>
          <w:szCs w:val="22"/>
        </w:rPr>
        <w:t xml:space="preserve">e features—feed into a </w:t>
      </w:r>
      <w:r w:rsidRPr="001E4C4B">
        <w:rPr>
          <w:rFonts w:ascii="Times New Roman" w:eastAsia="Times New Roman" w:hAnsi="Times New Roman" w:cs="Times New Roman"/>
          <w:b/>
          <w:bCs/>
          <w:sz w:val="22"/>
          <w:szCs w:val="22"/>
        </w:rPr>
        <w:t>Statistical Jump Model (JM)</w:t>
      </w:r>
      <w:r w:rsidRPr="001E4C4B">
        <w:rPr>
          <w:rFonts w:ascii="Times New Roman" w:eastAsia="Times New Roman" w:hAnsi="Times New Roman" w:cs="Times New Roman"/>
          <w:sz w:val="22"/>
          <w:szCs w:val="22"/>
        </w:rPr>
        <w:t>. Unlike traditional Hidden Markov Models, the JM explicitly penalizes frequent state switching, ensuring signal persistence and reducing “whipsaw” false positives. We hypothesize that high sentiment connectedness and cross-asset divergence serve as leading indicators of “Risk-Off” transitions. This system is validated through walk-forward back-testing against major market events (e.g., the COVID-19 crash, the 2022 Crypto Winter), providing a robust, open-source framework for predictive risk management that democratizes institutional-grade sentiment analysis.</w:t>
      </w:r>
    </w:p>
    <w:p w14:paraId="6C03AE40" w14:textId="2825E034"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r w:rsidRPr="00281CDE">
        <w:rPr>
          <w:rFonts w:ascii="Times New Roman" w:eastAsia="Times New Roman" w:hAnsi="Times New Roman" w:cs="Times New Roman"/>
          <w:smallCaps/>
          <w:sz w:val="28"/>
          <w:szCs w:val="28"/>
        </w:rPr>
        <w:t>1. Introduction</w:t>
      </w:r>
    </w:p>
    <w:p w14:paraId="6440C6DC"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bookmarkStart w:id="3" w:name="literature-review"/>
      <w:bookmarkEnd w:id="2"/>
      <w:r w:rsidRPr="00281CDE">
        <w:rPr>
          <w:rFonts w:ascii="Times New Roman" w:eastAsia="Times New Roman" w:hAnsi="Times New Roman" w:cs="Times New Roman"/>
          <w:sz w:val="22"/>
          <w:szCs w:val="22"/>
        </w:rPr>
        <w:lastRenderedPageBreak/>
        <w:t>Financial markets operate in distinct psychological regimes characterized by collective risk appetite and sentiment. Traditional technical indicators such as moving averages, RSI, and the VIX are inherently lagging; they register regime changes only after these shifts have already been reflected in price data. Yet market psychology often changes first in textual channels, including social media conversations, news coverage, and forum discussions. High-profile episodes such as the 2021 GameStop short squeeze, the 2020 COVID-19 crash, and the 2022 crypto winter all displayed recognizable sentiment patterns before, during, and after regime transitions.</w:t>
      </w:r>
    </w:p>
    <w:p w14:paraId="2419CF33"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Existing sentiment analysis tools are not well-suited to systematic, portfolio-level regime detection. Most solutions focus on single asset classes or individual securities, forcing analysts to manually synthesize sentiment with technical indicators and macro data. Where more sophisticated, institutional-grade sentiment platforms do exist—such as Bloomberg and RavenPack—costs often exceed $20,000 per year, limiting accessibility for smaller institutions and retail investors. Moreover, many sentiment methods still rely on rudimentary keyword-based scoring rather than leveraging modern transformer architectures that can capture nuance, sarcasm, and context.</w:t>
      </w:r>
    </w:p>
    <w:p w14:paraId="0D2E92E0"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central challenge in modern algorithmic risk management is the reliance on lagging indicators to detect structural regime shifts. Traditional volatility metrics, such as the VIX or realized variance, are inherently reactive; they register “Risk-Off” states only after significant price deterioration. While behavioral finance theory suggests that shifts in collective market psychology precede price action, operationalizing this “lead time” has proven computationally difficult. This difficulty stems from three specific failures in current modeling approaches: regime instability, mixed-frequency data, and siloed asset analysis.</w:t>
      </w:r>
    </w:p>
    <w:p w14:paraId="4EC54975" w14:textId="46905ECE"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Regime instability—the classic “whipsaw” problem—arises because standard regime detection methods, particularly Hidden Markov Models (HMMs), lack mechanisms to enforce signal persistence. Shu et al. (2024) demonstrate that HMMs are overly sensitive to daily market noise, generating frequent, spurious state transitions that erode returns through excessive transaction costs. At the same time, financial sentiment data is stochastic and irregular (arriving via news and social feeds), while price data is deterministic and regular. Traditional models often force-align these data streams using simple rolling averages, destroying the high-frequency signal contained in sentiment bursts. Cai et al. (2024) highlight that failing to account for these mixed frequencies </w:t>
      </w:r>
      <w:r w:rsidR="00D75316">
        <w:rPr>
          <w:rFonts w:ascii="Times New Roman" w:eastAsia="Times New Roman" w:hAnsi="Times New Roman" w:cs="Times New Roman"/>
          <w:sz w:val="22"/>
          <w:szCs w:val="22"/>
        </w:rPr>
        <w:t>reduces</w:t>
      </w:r>
      <w:r w:rsidRPr="00281CDE">
        <w:rPr>
          <w:rFonts w:ascii="Times New Roman" w:eastAsia="Times New Roman" w:hAnsi="Times New Roman" w:cs="Times New Roman"/>
          <w:sz w:val="22"/>
          <w:szCs w:val="22"/>
        </w:rPr>
        <w:t xml:space="preserve"> predictive accuracy for short-term return volatility. Finally, existing sentiment frameworks predominantly focus on </w:t>
      </w:r>
      <w:r w:rsidR="00D75316">
        <w:rPr>
          <w:rFonts w:ascii="Times New Roman" w:eastAsia="Times New Roman" w:hAnsi="Times New Roman" w:cs="Times New Roman"/>
          <w:sz w:val="22"/>
          <w:szCs w:val="22"/>
        </w:rPr>
        <w:t>a single asset class, such as Equities or Crypto.</w:t>
      </w:r>
      <w:r w:rsidRPr="00281CDE">
        <w:rPr>
          <w:rFonts w:ascii="Times New Roman" w:eastAsia="Times New Roman" w:hAnsi="Times New Roman" w:cs="Times New Roman"/>
          <w:sz w:val="22"/>
          <w:szCs w:val="22"/>
        </w:rPr>
        <w:t xml:space="preserve"> However, recent findings by Shi (2025) </w:t>
      </w:r>
      <w:r w:rsidRPr="00281CDE">
        <w:rPr>
          <w:rFonts w:ascii="Times New Roman" w:eastAsia="Times New Roman" w:hAnsi="Times New Roman" w:cs="Times New Roman"/>
          <w:sz w:val="22"/>
          <w:szCs w:val="22"/>
        </w:rPr>
        <w:lastRenderedPageBreak/>
        <w:t>and Sarfarazurrehman et al. (2025) indicate that volatility transmission is a cross-asset phenomenon, where sentiment shocks in one market (e.g., Commodities or REITs) act as leading indicators for others. Current systems lack the unified architecture required to detect these cross-asset “decoupling” or “spillover” signals.</w:t>
      </w:r>
    </w:p>
    <w:p w14:paraId="019FDC2F"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study addresses these gaps by bridging theoretical behavioral finance and practical, automated risk management through the development of a Two-Layer Cross-Asset Sentiment Regime Detector. Methodologically, it integrates GARCH-MIDAS for volatility-state estimation with Statistical Jump Models (JMs) for discrete classification, thereby overcoming the whipsaw limitations of HMMs. We validate the application of jump penalties to enforce regime persistence, a technique shown by Shu et al. (2024) to reduce portfolio turnover by approximately 44% and to improve Sharpe ratios. This establishes a more robust regime detection standard that filters noise without sacrificing responsiveness.</w:t>
      </w:r>
    </w:p>
    <w:p w14:paraId="6CCE9FE8"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research also provides theoretical validation of sentiment transmission by empirically operationalizing the Network Effect Hypothesis (H3) and the Divergence Signal Hypothesis (H2). By employing entropy-based connectedness measures (following Cao et al., 2025) and Transfer Entropy (following Caferra, 2022), we quantify how sentiment contagion across Equities, Crypto, and Commodities precedes systemic crashes. In doing so, the analysis moves beyond simple correlation toward a causal network mapping of market psychology.</w:t>
      </w:r>
    </w:p>
    <w:p w14:paraId="4DD98742"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Finally, the project contributes to the practical democratization of institutional-grade sentiment analysis. Historically, such capabilities have been limited to expensive terminals such as Bloomberg and RavenPack. By leveraging open-source Large Language Models (LLMs) such as Llama 3 and fine-tuned BERT architectures, this research delivers a reproducible, high-performance framework that makes “lead-time” risk signals accessible to smaller institutions and retail algorithmic traders, enabling them to anticipate volatility one to five days in advance.</w:t>
      </w:r>
    </w:p>
    <w:p w14:paraId="2D26DDA6" w14:textId="77777777" w:rsidR="00281CDE" w:rsidRPr="00281CDE" w:rsidRDefault="00281CDE" w:rsidP="00281CDE">
      <w:pPr>
        <w:spacing w:before="200" w:after="0" w:line="271" w:lineRule="auto"/>
        <w:outlineLvl w:val="1"/>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Overall, the objective is to develop an automated, cross-asset sentiment analysis system designed explicitly for market regime detection. The framework aims to identify regime transitions as leading indicators rather than contemporaneous reflections of price behavior, while remaining accessible through an intuitive web interface. Methodologically, the project applies ensemble transformer models to aggregate sentiment across diverse text sources and asset classes, extending recent advances in financial NLP to a multi-source, cross-asset setting. In practice, it delivers an open-source system that lowers the barrier to institutional-grade sentiment analysis and makes regime-level insights available to firms beyond large buy-side firms. Theoretically, it proposes and tests a </w:t>
      </w:r>
      <w:r w:rsidRPr="00281CDE">
        <w:rPr>
          <w:rFonts w:ascii="Times New Roman" w:eastAsia="Times New Roman" w:hAnsi="Times New Roman" w:cs="Times New Roman"/>
          <w:sz w:val="22"/>
          <w:szCs w:val="22"/>
        </w:rPr>
        <w:lastRenderedPageBreak/>
        <w:t>structured mapping from multi-source sentiment patterns to macroeconomic regime states, contributing to a richer understanding of how collective market psychology manifests in text data and precedes observable price and volatility dynamics.</w:t>
      </w:r>
    </w:p>
    <w:p w14:paraId="4711E7A5"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r w:rsidRPr="00281CDE">
        <w:rPr>
          <w:rFonts w:ascii="Times New Roman" w:eastAsia="Times New Roman" w:hAnsi="Times New Roman" w:cs="Times New Roman"/>
          <w:smallCaps/>
          <w:sz w:val="28"/>
          <w:szCs w:val="28"/>
        </w:rPr>
        <w:t>2. Literature Review</w:t>
      </w:r>
    </w:p>
    <w:p w14:paraId="14F08394"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4" w:name="X796f94b28526ab28feab09cf4fd741c7e4e6777"/>
      <w:r w:rsidRPr="00281CDE">
        <w:rPr>
          <w:rFonts w:ascii="Times New Roman" w:eastAsia="Times New Roman" w:hAnsi="Times New Roman" w:cs="Times New Roman"/>
          <w:i/>
          <w:iCs/>
          <w:smallCaps/>
          <w:spacing w:val="5"/>
          <w:sz w:val="26"/>
          <w:szCs w:val="26"/>
        </w:rPr>
        <w:t>2.1 Transformer Models in Financial Sentiment Analysis</w:t>
      </w:r>
    </w:p>
    <w:p w14:paraId="69F4880D" w14:textId="77777777" w:rsidR="00281CDE" w:rsidRPr="00281CDE" w:rsidRDefault="00281CDE" w:rsidP="00281CDE">
      <w:pPr>
        <w:spacing w:line="276" w:lineRule="auto"/>
        <w:rPr>
          <w:rFonts w:ascii="Times New Roman" w:eastAsia="Times New Roman" w:hAnsi="Times New Roman" w:cs="Times New Roman"/>
          <w:sz w:val="22"/>
          <w:szCs w:val="22"/>
        </w:rPr>
      </w:pPr>
    </w:p>
    <w:p w14:paraId="651438E8"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 w:name="from-lexicons-to-bert"/>
      <w:r w:rsidRPr="00281CDE">
        <w:rPr>
          <w:rFonts w:ascii="Times New Roman" w:eastAsia="Times New Roman" w:hAnsi="Times New Roman" w:cs="Times New Roman"/>
          <w:b/>
          <w:bCs/>
          <w:spacing w:val="5"/>
        </w:rPr>
        <w:t>2.1.1 From Lexicons to BERT</w:t>
      </w:r>
    </w:p>
    <w:p w14:paraId="53D8027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evolution of financial sentiment analysis mirrors the transition in natural language processing from symbolic, rule-based methods to neural network-based contextual language models. Initial approaches applied domain-adapted sentiment lexicons to extract polarity-bearing terms in financial corpora. Loughran and McDonald (2011) showed that generic sentiment dictionaries yield low precision for financial texts, as terms like “liability” possess distinct semantic valence in finance compared to general English. Their finance-oriented lexicon remediated this mismatch and established a benchmark resource for subsequent computational finance research.</w:t>
      </w:r>
    </w:p>
    <w:p w14:paraId="20E41F99" w14:textId="56F2DA06"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 introduction of transformer-based architectures marked a paradigm shift in financial sentiment analysis. For instance, Araci (2019) introduced FinBERT, a BERT model fine-tuned on financial news and analyst reports, achieving a 15% </w:t>
      </w:r>
      <w:r w:rsidR="00D75316">
        <w:rPr>
          <w:rFonts w:ascii="Times New Roman" w:eastAsia="Times New Roman" w:hAnsi="Times New Roman" w:cs="Times New Roman"/>
          <w:sz w:val="22"/>
          <w:szCs w:val="22"/>
        </w:rPr>
        <w:t>improvement</w:t>
      </w:r>
      <w:r w:rsidRPr="00281CDE">
        <w:rPr>
          <w:rFonts w:ascii="Times New Roman" w:eastAsia="Times New Roman" w:hAnsi="Times New Roman" w:cs="Times New Roman"/>
          <w:sz w:val="22"/>
          <w:szCs w:val="22"/>
        </w:rPr>
        <w:t xml:space="preserve"> i</w:t>
      </w:r>
      <w:r w:rsidR="00D75316">
        <w:rPr>
          <w:rFonts w:ascii="Times New Roman" w:eastAsia="Times New Roman" w:hAnsi="Times New Roman" w:cs="Times New Roman"/>
          <w:sz w:val="22"/>
          <w:szCs w:val="22"/>
        </w:rPr>
        <w:t>n accuracy</w:t>
      </w:r>
      <w:r w:rsidRPr="00281CDE">
        <w:rPr>
          <w:rFonts w:ascii="Times New Roman" w:eastAsia="Times New Roman" w:hAnsi="Times New Roman" w:cs="Times New Roman"/>
          <w:sz w:val="22"/>
          <w:szCs w:val="22"/>
        </w:rPr>
        <w:t xml:space="preserve"> over previous state-of-the-art methods. Moreover, FinBERT demonstrated effectiveness even with limited labeled data, outperforming baseline models when trained on as few as 500 examples. As a result, this finding established the viability of transfer learning for financial NLP tasks with scarce labeled datasets.</w:t>
      </w:r>
    </w:p>
    <w:p w14:paraId="6A9CEE2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Mishev et al. (2020) conducted over 100 experiments to systematically evaluate sentiment analysis approaches ranging from lexicons to transformers. Their comprehensive study compared BERT variants, including RoBERTa, XLNet, ALBERT, and DistilBERT, across multiple financial datasets. The results showed that contextual embeddings are substantially more efficient than lexicons and fixed-word encoders. BART and ALBERT-xxlarge achieved the highest performance with Matthews Correlation Coefficient scores of 0.895 and 0.881, respectively. Notably, distilled versions of transformers, such as DistilBERT, retained more than 95% of BERT’s accuracy while requiring 40% fewer parameters, making them suitable for production environments with constrained computational resources.</w:t>
      </w:r>
    </w:p>
    <w:p w14:paraId="2169F3AA"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 w:name="large-language-models"/>
      <w:bookmarkEnd w:id="5"/>
      <w:r w:rsidRPr="00281CDE">
        <w:rPr>
          <w:rFonts w:ascii="Times New Roman" w:eastAsia="Times New Roman" w:hAnsi="Times New Roman" w:cs="Times New Roman"/>
          <w:b/>
          <w:bCs/>
          <w:spacing w:val="5"/>
        </w:rPr>
        <w:lastRenderedPageBreak/>
        <w:t>2.1.2 Large Language Models</w:t>
      </w:r>
    </w:p>
    <w:p w14:paraId="78B586E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rise of large language models (LLMs) has enhanced financial sentiment analysis, especially via zero-shot and few-shot learning frameworks. Fatouros et al. (2023) assessed ChatGPT 3.5 for FX market sentiment evaluation, observing approximately 35% greater sentiment classification accuracy and 36% higher correlation with market returns than the domain-adapted FinBERT. Their zero-shot evaluation confirmed that LLMs can parse and classify financial texts without supervised domain adaptation, although prompt engineering was identified as a critical variable affecting output.</w:t>
      </w:r>
    </w:p>
    <w:p w14:paraId="6704B34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Konstantinidis et al. (2024) introduced FinLlama, a fine-tuned Llama 2 7B model optimized for financial sentiment analysis. They implemented Low-Rank Adaptation (LoRA) to reduce computational complexity, lowering the number of trainable parameters to 0.0638% of the total while maintaining model accuracy. In portfolio optimization tasks, FinLlama produced cumulative returns 44.7% higher than those of FinBERT-based portfolios, along with higher Sharpe ratios and lower annualized volatility. Beyond binary sentiment detection, FinLlama provides sentiment polarity scores, enabling traders to extract nuanced insights from financial news articles.</w:t>
      </w:r>
    </w:p>
    <w:p w14:paraId="3A5E1AD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Luo and Gong (2024) demonstrated that supervised fine-tuning of LLaMA-2 7B achieves state-of-the-art performance on the Financial PhraseBank benchmark, improving accuracy from 0.86 to 0.90. Their experiments compared few-shot learning, further pre-training, and supervised fine-tuning, finding that further pre-training alone does not yield noticeable improvement over baseline performance. The supervised fine-tuning approach proved most effective, confirming that task-specific adaptation remains essential even for large pre-trained models.</w:t>
      </w:r>
    </w:p>
    <w:p w14:paraId="47384322"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Shen and Zhang (2024) compared FinBERT against GPT-3.5-turbo and GPT-4o for sentiment analysis on financial news articles and reports. Their findings indicated that FinBERT with domain-specific pre-training consistently outperformed general-purpose LLMs in accuracy, precision, recall, and F1-score. However, GPT-4o, given few-shot examples of financial texts, achieved competitive results, suggesting that effective prompt engineering can make general-purpose LLMs viable tools for financial sentiment analysis without extensive fine-tuning.</w:t>
      </w:r>
    </w:p>
    <w:p w14:paraId="54743C74"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7" w:name="model-comparison-and-selection-criteria"/>
      <w:bookmarkEnd w:id="6"/>
      <w:r w:rsidRPr="00281CDE">
        <w:rPr>
          <w:rFonts w:ascii="Times New Roman" w:eastAsia="Times New Roman" w:hAnsi="Times New Roman" w:cs="Times New Roman"/>
          <w:b/>
          <w:bCs/>
          <w:spacing w:val="5"/>
        </w:rPr>
        <w:t>2.1.3 Model Comparison and Selection Criteria</w:t>
      </w:r>
    </w:p>
    <w:p w14:paraId="0A40047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Systematic comparisons across model architectures have clarified the trade-offs between accuracy, computational cost, and deployment considerations. Nasiopoulos et al. (2025) conducted a comparative study </w:t>
      </w:r>
      <w:r w:rsidRPr="00281CDE">
        <w:rPr>
          <w:rFonts w:ascii="Times New Roman" w:eastAsia="Times New Roman" w:hAnsi="Times New Roman" w:cs="Times New Roman"/>
          <w:sz w:val="22"/>
          <w:szCs w:val="22"/>
        </w:rPr>
        <w:lastRenderedPageBreak/>
        <w:t>of fine-tuned deep learning models, including GPT-4o, GPT-4o-mini, BERT, and FinBERT, benchmarked against traditional machine learning classifiers. Using Bayesian optimization across 100 trials for hyperparameter tuning, they found that fine-tuned GPT-4o and GPT-4o-mini achieved 87.79% accuracy on the combined FiQA and Financial PhraseBank datasets. Traditional approaches, including Support Vector Machines, Random Forests, and Logistic Regression, lagged substantially behind, with accuracies of 64.53% to 65.31%. Fine-tuned LLMs outperformed fine-tuned BERT models by approximately 9% in mean accuracy, though at the cost of increased computational time and inference expense.</w:t>
      </w:r>
    </w:p>
    <w:p w14:paraId="54F7DFE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Mahendran et al. (2025) reviewed advances in financial sentiment analysis using BERT, FinBERT, and large language models, highlighting practical considerations for deployment. Their analysis noted that DistilBERT retains 97% of BERT’s capabilities while requiring only half the parameters, making it suitable for low-latency applications such as algorithmic trading and real-time market monitoring. The review identified persistent challenges, including model bias, limited interpretability, high computational requirements, and ethical concerns around data privacy and market manipulation. Domain-specific adaptation remains essential because financial language contains jargon and subtle expressions that general-purpose models may misinterpret.</w:t>
      </w:r>
    </w:p>
    <w:p w14:paraId="4456AF1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Liu et al. (2024) provided a comprehensive review of large language models and sentiment analysis in financial markets, synthesizing advances across datasets, methodologies, and application domains. Their analysis cataloged publicly available financial sentiment datasets and evaluated both traditional machine learning approaches and modern transformer-based methods. The review emphasized that while LLMs demonstrate impressive zero-shot capabilities, their practical deployment in financial contexts requires careful consideration of inference latency, computational costs, and the need for domain-specific calibration. Their case study on market prediction illustrated how sentiment features derived from news and social media can be integrated with technical indicators to improve forecasting accuracy.</w:t>
      </w:r>
    </w:p>
    <w:p w14:paraId="4C87C1F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Ergun and Sefer (2025) proposed FinSentiment, a comprehensive transfer-learning framework that produces finance-specific versions of multiple pretrained models, including Fin-BERT, Fin-XLNet, Fin-RoBERTa, Fin-GPT, Fin-Llama, and Fin-T5. Their experiments across three financial sentiment datasets demonstrated that models pretrained on financial corpora consistently outperform their general-domain counterparts. RoBERTa pretrained on financial text exhibited exceptional performance and robustness, achieving state-of-the-art </w:t>
      </w:r>
      <w:r w:rsidRPr="00281CDE">
        <w:rPr>
          <w:rFonts w:ascii="Times New Roman" w:eastAsia="Times New Roman" w:hAnsi="Times New Roman" w:cs="Times New Roman"/>
          <w:sz w:val="22"/>
          <w:szCs w:val="22"/>
        </w:rPr>
        <w:lastRenderedPageBreak/>
        <w:t>results even when fine-tuned on as few as 250 labeled samples. This finding suggests that transfer learning techniques offer effective solutions for financial sentiment analysis, particularly in data-scarce settings.</w:t>
      </w:r>
    </w:p>
    <w:p w14:paraId="0F294547"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8" w:name="domain-specific-fine-tuning-approaches"/>
      <w:bookmarkEnd w:id="7"/>
      <w:r w:rsidRPr="00281CDE">
        <w:rPr>
          <w:rFonts w:ascii="Times New Roman" w:eastAsia="Times New Roman" w:hAnsi="Times New Roman" w:cs="Times New Roman"/>
          <w:b/>
          <w:bCs/>
          <w:spacing w:val="5"/>
        </w:rPr>
        <w:t>2.1.4 Domain-Specific Fine-Tuning Approaches</w:t>
      </w:r>
    </w:p>
    <w:p w14:paraId="3D5363C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Beyond architecture selection, recent research has investigated how the composition of the pre-training corpus and feature engineering influence model performance. Delgadillo et al. (2024) developed FinSoSent, a domain-specific language model pretrained on 49 million words from the Thomas Reuters Corpus of financial news articles. Through over 860 experiments with varying learning rates, epochs, and batch sizes, they found that selecting the right hyperparameter configuration is as critical as domain-specific pre-training for achieving optimal performance. While FinSoSent outperformed baseline models, including Amazon Comprehend, GPT-3.5-Turbo, IBM Watson, SentiStrength, and VADER, the performance differences were marginal, with accuracy in the 50-60% range across the datasets tested. Ensemble methods using majority voting provided modest additional improvements, underscoring the difficulty of sentiment analysis even with domain-specific approaches.</w:t>
      </w:r>
    </w:p>
    <w:p w14:paraId="4327787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Cicekyurt and Bakal (2025) explored BERT-based knowledge transfer to enhance sentiment analysis of stock market tweets. Their approach leveraged pre-trained BERT representations and applied targeted fine-tuning on Twitter-specific financial discourse, addressing the unique linguistic characteristics of social media text, including abbreviations, hashtags, and informal language. The study demonstrated that knowledge transfer from general-domain BERT to finance-specific Twitter data yields significant performance improvements over training from scratch, particularly when labeled data is limited. Their findings reinforce the value of transfer learning strategies for sentiment analysis of noisy, informal financial text.</w:t>
      </w:r>
    </w:p>
    <w:p w14:paraId="5C468A9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Sun et al. (2025) addressed persistent challenges in neutral sentiment recognition with EnhancedFinSentiBERT, a three-branch architecture integrating financial-domain pre-training, dictionary knowledge embedding, and neutral feature extraction. The dictionary knowledge component employs dynamic weight adjustment based on word performance across financial contexts and implements a multi-dimensional sentiment representation that captures not only polarity but also intensity and market impact. The neutral feature extractor uses multi-head attention mechanisms to capture subtle distinctions between neutral and sentiment-bearing expressions. In experiments comparing against BERT-base, XLNet, GPT-4, Llama 2, FinBERT, and BloombergGPT, EnhancedFinSentiBERT achieved F1 scores of 87.0% on Financial PhraseBank, 88.0% on FiQA, and 97.6% on Headline </w:t>
      </w:r>
      <w:r w:rsidRPr="00281CDE">
        <w:rPr>
          <w:rFonts w:ascii="Times New Roman" w:eastAsia="Times New Roman" w:hAnsi="Times New Roman" w:cs="Times New Roman"/>
          <w:sz w:val="22"/>
          <w:szCs w:val="22"/>
        </w:rPr>
        <w:lastRenderedPageBreak/>
        <w:t>datasets. On consensus-labeled subsets, F1 scores reached 98.0%, indicating that the model performs exceptionally well when annotator agreement is high. Ablation analysis revealed that dictionary knowledge embedding and neutral feature extraction contribute most significantly to performance improvement, suggesting that architectural innovations beyond model scaling remain valuable for financial sentiment analysis.</w:t>
      </w:r>
    </w:p>
    <w:p w14:paraId="194060C9"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9" w:name="X7d91fe5182ed046c328934e4fef75b0ad9cd20c"/>
      <w:bookmarkEnd w:id="8"/>
      <w:r w:rsidRPr="00281CDE">
        <w:rPr>
          <w:rFonts w:ascii="Times New Roman" w:eastAsia="Times New Roman" w:hAnsi="Times New Roman" w:cs="Times New Roman"/>
          <w:b/>
          <w:bCs/>
          <w:spacing w:val="5"/>
        </w:rPr>
        <w:t>2.1.5 The Generative Shift: Encoder vs. Decoder Architectures</w:t>
      </w:r>
    </w:p>
    <w:p w14:paraId="55CDB7E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While encoder-only architectures such as FinBERT (Araci, 2019) established the benchmark for financial sentiment analysis by leveraging bidirectional context for classification, recent scholarship indicates a paradigm shift toward decoder-based Generative AI models. Encoder models excel at feature extraction but often struggle with the nuanced, implicit sentiment characteristic of complex financial discourse. In contrast, decoder-based Large Language Models (LLMs), such as Llama 2 and GPT-4, utilize autoregressive capabilities to capture broader contextual dependencies.</w:t>
      </w:r>
    </w:p>
    <w:p w14:paraId="50147A7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Empirical comparisons highlight the superior efficacy of these generative approaches. Konstantinidis et al. (2024) introduced </w:t>
      </w:r>
      <w:r w:rsidRPr="00281CDE">
        <w:rPr>
          <w:rFonts w:ascii="Times New Roman" w:eastAsia="Times New Roman" w:hAnsi="Times New Roman" w:cs="Times New Roman"/>
          <w:b/>
          <w:bCs/>
          <w:sz w:val="22"/>
          <w:szCs w:val="22"/>
        </w:rPr>
        <w:t>FinLlama</w:t>
      </w:r>
      <w:r w:rsidRPr="00281CDE">
        <w:rPr>
          <w:rFonts w:ascii="Times New Roman" w:eastAsia="Times New Roman" w:hAnsi="Times New Roman" w:cs="Times New Roman"/>
          <w:sz w:val="22"/>
          <w:szCs w:val="22"/>
        </w:rPr>
        <w:t>, a fine-tuned Llama 2 7B model, which outperformed FinBERT in portfolio construction tasks, achieving 44.7% higher cumulative returns and a superior Sharpe ratio (2.4 vs. 1.5) by better quantifying sentiment strength rather than just polarity. Similarly, Fatouros et al. (2023) found that ChatGPT (a decoder-only model) exhibited a 35% performance improvement over FinBERT in classifying Forex news sentiment and demonstrated a 36% higher correlation with market returns, largely due to its ability to interpret domain-specific jargon in zero-shot settings.</w:t>
      </w:r>
    </w:p>
    <w:p w14:paraId="3CAC3DB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Furthermore, Nasiopoulos et al. (2025) reported that fine-tuned LLMs (specifically GPT-4o) outperformed fine-tuned FinBERT by approximately 9.68% in classification accuracy on the FiQA and Financial PhraseBank datasets. Luo and Gong (2024) corroborated this, demonstrating that a Supervised Fine-Tuned (SFT) Llama 2-7B achieved state-of-the-art accuracy (0.90) compared to FinBERT (0.86), validating that generative architectures offer a more robust framework for detecting market signals despite their higher computational latency. Consequently, this research posits that while Encoder models offer speed, Decoder models provide the requisite semantic depth for accurate regime detection.</w:t>
      </w:r>
    </w:p>
    <w:p w14:paraId="36C87EA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10" w:name="Xbf94d6efbadde699083a5ad132d2a5af477b9f2"/>
      <w:bookmarkEnd w:id="4"/>
      <w:bookmarkEnd w:id="9"/>
      <w:r w:rsidRPr="00281CDE">
        <w:rPr>
          <w:rFonts w:ascii="Times New Roman" w:eastAsia="Times New Roman" w:hAnsi="Times New Roman" w:cs="Times New Roman"/>
          <w:i/>
          <w:iCs/>
          <w:smallCaps/>
          <w:spacing w:val="5"/>
          <w:sz w:val="26"/>
          <w:szCs w:val="26"/>
        </w:rPr>
        <w:t>2.2 Financial Sentiment and Market Prediction</w:t>
      </w:r>
    </w:p>
    <w:p w14:paraId="44B0B3F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Market sentiment has long been recognized as a fundamental driver of asset prices, extending far beyond rational expectations models of price formation. This section examines the theoretical foundations of investor sentiment, empirical evidence linking sentiment to market returns, and recent advances in computational sentiment analysis that enable real-time prediction across traditional and digital asset classes.</w:t>
      </w:r>
    </w:p>
    <w:p w14:paraId="49F449D8"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1" w:name="foundational-work-on-investor-sentiment"/>
      <w:r w:rsidRPr="00281CDE">
        <w:rPr>
          <w:rFonts w:ascii="Times New Roman" w:eastAsia="Times New Roman" w:hAnsi="Times New Roman" w:cs="Times New Roman"/>
          <w:b/>
          <w:bCs/>
          <w:spacing w:val="5"/>
        </w:rPr>
        <w:t>2.2.1 Foundational Work on Investor Sentiment</w:t>
      </w:r>
    </w:p>
    <w:p w14:paraId="3BC1B1C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theoretical foundations of behavioral finance trace back to Keynes’ (1936) concept of “animal spirits”—the spontaneous urge to act rather than inact that drives economic decisions beyond cold calculation. This insight anticipated decades of research demonstrating that markets are not merely information-processing mechanisms but also arenas of collective psychology.</w:t>
      </w:r>
    </w:p>
    <w:p w14:paraId="10CDA54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Baker and Wurgler (2007) operationalized investor sentiment measurement through a composite index derived from six market-based proxies: the closed-end fund discount, NYSE share turnover, the number of IPOs, the average first-day IPO return, equity share in new issues, and the dividend premium. Their seminal finding revealed that sentiment predicts cross-sectional stock returns, with the effect concentrated in difficult-to-arbitrage, hard-to-value stocks—small, young, high-volatility, unprofitable, non-dividend-paying, extreme-growth, and distressed. The sentiment index exhibits a correlation of 0.43 with contemporaneous market returns and demonstrates significant predictive power for future returns, particularly during sentiment extremes. Baker and Wurgler’s framework established that sentiment is not merely noise but a systematic factor that professional investors cannot fully arbitrage away because of limits on short selling and the costs of trading in affected securities.</w:t>
      </w:r>
    </w:p>
    <w:p w14:paraId="3C4ACFBD"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2" w:name="social-media-as-predictive-signal"/>
      <w:bookmarkEnd w:id="11"/>
      <w:r w:rsidRPr="00281CDE">
        <w:rPr>
          <w:rFonts w:ascii="Times New Roman" w:eastAsia="Times New Roman" w:hAnsi="Times New Roman" w:cs="Times New Roman"/>
          <w:b/>
          <w:bCs/>
          <w:spacing w:val="5"/>
        </w:rPr>
        <w:t>2.2.2 Social Media as Predictive Signal</w:t>
      </w:r>
    </w:p>
    <w:p w14:paraId="1D1066E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 emergence of social media platforms created unprecedented opportunities for real-time, scale sentiment measurement. Bollen et al. (2011) conducted a foundational study using approximately 9.8 million tweets collected over ten months in 2008. Their methodology employed two sentiment tools: OpinionFinder for binary positive/negative classification and Google Profile of Mood States (GPOMS) for six-dimensional mood measurement (Calm, Alert, Sure, Vital, Kind, Happy). The critical finding was that the “Calm” dimension demonstrated Granger causality with DJIA movements at lags of 2-6 days. A Self-Organizing Fuzzy Neural Network (SOFNN) trained on historical DJIA and the Calm mood dimension achieved 86.7% directional accuracy in predicting DJIA closing values, a significant </w:t>
      </w:r>
      <w:r w:rsidRPr="00281CDE">
        <w:rPr>
          <w:rFonts w:ascii="Times New Roman" w:eastAsia="Times New Roman" w:hAnsi="Times New Roman" w:cs="Times New Roman"/>
          <w:sz w:val="22"/>
          <w:szCs w:val="22"/>
        </w:rPr>
        <w:lastRenderedPageBreak/>
        <w:t>improvement over baseline models using only historical price data. This study established the principle that aggregate social media mood contains forward-looking information about market movements.</w:t>
      </w:r>
    </w:p>
    <w:p w14:paraId="1949165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Renault (2017) extended social media sentiment research to intraday timeframes using StockTwits, a platform specifically designed for financial discussion. Analyzing S&amp;P 500 stock discussions, the study found that first-half-hour sentiment predicts last-half-hour returns on the same trading day, with accuracy ranging from 74% to 76%. Notably, novice-labeled traders drove this effect more strongly than expert-labeled traders, suggesting that StockTwits sentiment captures retail investor psychology rather than institutional views. This finding is particularly relevant for regime detection, as retail sentiment extremes often precede market turning points when institutional investors have not yet repositioned.</w:t>
      </w:r>
    </w:p>
    <w:p w14:paraId="23EBFB8D"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3" w:name="X0f04e7bcdb0f28c89455764b936f4cbd74bac68"/>
      <w:bookmarkEnd w:id="12"/>
      <w:r w:rsidRPr="00281CDE">
        <w:rPr>
          <w:rFonts w:ascii="Times New Roman" w:eastAsia="Times New Roman" w:hAnsi="Times New Roman" w:cs="Times New Roman"/>
          <w:b/>
          <w:bCs/>
          <w:spacing w:val="5"/>
        </w:rPr>
        <w:t>2.2.3 Cryptocurrency-Specific Sentiment Analysis</w:t>
      </w:r>
    </w:p>
    <w:p w14:paraId="2F1E1D2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Cryptocurrency markets, characterized by 24/7 trading, high retail participation, and strong social media presence, provide a natural laboratory for sentiment-based prediction research. The asset class’s sensitivity to narrative and community dynamics makes it particularly amenable to sentiment analysis approaches.</w:t>
      </w:r>
    </w:p>
    <w:p w14:paraId="31520FB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Kraaijeveld and De Smedt (2020) examined the predictive power of Twitter sentiment for nine major cryptocurrencies: Bitcoin, Bitcoin Cash, EOS, Ethereum, IOTA, Litecoin, NEO, Ripple, and Tron. Using a labeled dataset and machine learning classifiers, they found significant predictive relationships for Bitcoin, Bitcoin Cash, and Litecoin with lead times of 1-4 days. The study also documented that 1-14% of tweets in their corpus originated from bot accounts, highlighting data quality challenges specific to crypto sentiment analysis. Their Granger causality tests showed that social media sentiment contains information not fully reflected in prices, supporting its use as a leading indicator.</w:t>
      </w:r>
    </w:p>
    <w:p w14:paraId="34323E3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Roumeliotis et al. (2024) conducted a comprehensive comparison of language models for cryptocurrency sentiment analysis, providing crucial benchmarking data for model selection. Their evaluation found:</w:t>
      </w:r>
    </w:p>
    <w:p w14:paraId="068AAB0A" w14:textId="77777777" w:rsidR="00281CDE" w:rsidRPr="00281CDE" w:rsidRDefault="00281CDE" w:rsidP="00281CDE">
      <w:pPr>
        <w:wordWrap w:val="0"/>
        <w:spacing w:line="276" w:lineRule="auto"/>
        <w:ind w:left="720"/>
        <w:rPr>
          <w:rFonts w:ascii="Times New Roman" w:eastAsia="Times New Roman" w:hAnsi="Times New Roman" w:cs="Times New Roman"/>
          <w:i/>
          <w:sz w:val="22"/>
          <w:szCs w:val="22"/>
        </w:rPr>
      </w:pPr>
      <w:r w:rsidRPr="00281CDE">
        <w:rPr>
          <w:rFonts w:ascii="Times New Roman" w:eastAsia="Times New Roman" w:hAnsi="Times New Roman" w:cs="Times New Roman"/>
          <w:sz w:val="22"/>
          <w:szCs w:val="22"/>
        </w:rPr>
        <w:t>• Fine-tuned GPT-4: 86.7% accuracy</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FinBERT (domain-specific): 84.3% accuracy</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BERT (general): 83.3% accuracy</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Base GPT-4 (zero-shot): 82.9% accuracy</w:t>
      </w:r>
    </w:p>
    <w:p w14:paraId="10D0624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These results demonstrate that domain-specific fine-tuning (FinBERT) achieves near-parity with state-of-the-art LLMs at substantially lower computational cost. The marginal improvement from GPT-4 fine-tuning </w:t>
      </w:r>
      <w:r w:rsidRPr="00281CDE">
        <w:rPr>
          <w:rFonts w:ascii="Times New Roman" w:eastAsia="Times New Roman" w:hAnsi="Times New Roman" w:cs="Times New Roman"/>
          <w:sz w:val="22"/>
          <w:szCs w:val="22"/>
        </w:rPr>
        <w:lastRenderedPageBreak/>
        <w:t>(2.4 percentage points over FinBERT) must be weighed against significant increases in inference cost and latency, which are practical considerations for real-time regime detection systems.</w:t>
      </w:r>
    </w:p>
    <w:p w14:paraId="2557B1E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Raheman et al. (2022) evaluated 21 machine learning models for social media sentiment-based cryptocurrency prediction, finding that the best-performing model achieved a correlation of 0.57 between predicted and actual returns after fine-tuning. Their analysis revealed that interpretable models (gradient boosting, random forests) often outperformed black-box deep learning approaches, with peak predictive power at a -2 day lag. This finding supports the use of ensemble methods combining interpretable and neural components for robust sentiment-based prediction.</w:t>
      </w:r>
    </w:p>
    <w:p w14:paraId="3051093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Trushkovskyi (2025) quantified the economic significance of social media sentiment for cryptocurrency returns, finding that a one-unit increase in sentiment score corresponds to 0.24-0.25% higher next-day returns. XGBoost models outperformed linear specifications, and Granger causality tests confirmed bidirectional relationships between sentiment and returns. The study’s emphasis on practical trading applications—demonstrating that sentiment signals survive transaction costs—provides validation for sentiment-based regime detection approaches.</w:t>
      </w:r>
    </w:p>
    <w:p w14:paraId="2FDC61F2"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4" w:name="lead-time-evidence-synthesis"/>
      <w:bookmarkEnd w:id="13"/>
      <w:r w:rsidRPr="00281CDE">
        <w:rPr>
          <w:rFonts w:ascii="Times New Roman" w:eastAsia="Times New Roman" w:hAnsi="Times New Roman" w:cs="Times New Roman"/>
          <w:b/>
          <w:bCs/>
          <w:spacing w:val="5"/>
        </w:rPr>
        <w:t>2.2.4 Lead Time Evidence Synthesis</w:t>
      </w:r>
    </w:p>
    <w:p w14:paraId="34A6534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Across asset classes and methodologies, the literature consistently demonstrates that sentiment signals precede market movements. Table 2.2.1 synthesizes predictive lead times from major studies:</w:t>
      </w:r>
    </w:p>
    <w:p w14:paraId="6BD4FCB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Table 2.2.1: Lead Time Evidence Synthesis</w:t>
      </w:r>
    </w:p>
    <w:tbl>
      <w:tblPr>
        <w:tblStyle w:val="TableGrid"/>
        <w:tblW w:w="6516" w:type="dxa"/>
        <w:tblLayout w:type="fixed"/>
        <w:tblLook w:val="04A0" w:firstRow="1" w:lastRow="0" w:firstColumn="1" w:lastColumn="0" w:noHBand="0" w:noVBand="1"/>
      </w:tblPr>
      <w:tblGrid>
        <w:gridCol w:w="1838"/>
        <w:gridCol w:w="992"/>
        <w:gridCol w:w="993"/>
        <w:gridCol w:w="2693"/>
      </w:tblGrid>
      <w:tr w:rsidR="00CD4F73" w:rsidRPr="00CD4F73" w14:paraId="17D6DAA0" w14:textId="77777777" w:rsidTr="00B94C36">
        <w:tc>
          <w:tcPr>
            <w:tcW w:w="1838" w:type="dxa"/>
          </w:tcPr>
          <w:p w14:paraId="2D8F33FD" w14:textId="77777777" w:rsidR="00CD4F73" w:rsidRPr="00B94C36" w:rsidRDefault="00CD4F73" w:rsidP="001576CB">
            <w:pPr>
              <w:spacing w:before="180" w:after="180" w:line="276" w:lineRule="auto"/>
              <w:rPr>
                <w:rFonts w:ascii="Times New Roman" w:eastAsia="Times New Roman" w:hAnsi="Times New Roman" w:cs="Times New Roman"/>
                <w:b/>
                <w:bCs/>
                <w:sz w:val="22"/>
                <w:szCs w:val="22"/>
              </w:rPr>
            </w:pPr>
            <w:r w:rsidRPr="00B94C36">
              <w:rPr>
                <w:rFonts w:ascii="Times New Roman" w:eastAsia="Times New Roman" w:hAnsi="Times New Roman" w:cs="Times New Roman"/>
                <w:b/>
                <w:bCs/>
                <w:sz w:val="22"/>
                <w:szCs w:val="22"/>
              </w:rPr>
              <w:t>Study</w:t>
            </w:r>
          </w:p>
        </w:tc>
        <w:tc>
          <w:tcPr>
            <w:tcW w:w="992" w:type="dxa"/>
          </w:tcPr>
          <w:p w14:paraId="69CA3C70" w14:textId="77777777" w:rsidR="00CD4F73" w:rsidRPr="00B94C36" w:rsidRDefault="00CD4F73" w:rsidP="001576CB">
            <w:pPr>
              <w:spacing w:before="180" w:after="180" w:line="276" w:lineRule="auto"/>
              <w:rPr>
                <w:rFonts w:ascii="Times New Roman" w:eastAsia="Times New Roman" w:hAnsi="Times New Roman" w:cs="Times New Roman"/>
                <w:b/>
                <w:bCs/>
                <w:sz w:val="22"/>
                <w:szCs w:val="22"/>
              </w:rPr>
            </w:pPr>
            <w:r w:rsidRPr="00B94C36">
              <w:rPr>
                <w:rFonts w:ascii="Times New Roman" w:eastAsia="Times New Roman" w:hAnsi="Times New Roman" w:cs="Times New Roman"/>
                <w:b/>
                <w:bCs/>
                <w:sz w:val="22"/>
                <w:szCs w:val="22"/>
              </w:rPr>
              <w:t>Asset Class</w:t>
            </w:r>
          </w:p>
        </w:tc>
        <w:tc>
          <w:tcPr>
            <w:tcW w:w="993" w:type="dxa"/>
          </w:tcPr>
          <w:p w14:paraId="0E7D7220" w14:textId="77777777" w:rsidR="00CD4F73" w:rsidRPr="00B94C36" w:rsidRDefault="00CD4F73" w:rsidP="001576CB">
            <w:pPr>
              <w:spacing w:before="180" w:after="180" w:line="276" w:lineRule="auto"/>
              <w:rPr>
                <w:rFonts w:ascii="Times New Roman" w:eastAsia="Times New Roman" w:hAnsi="Times New Roman" w:cs="Times New Roman"/>
                <w:b/>
                <w:bCs/>
                <w:sz w:val="22"/>
                <w:szCs w:val="22"/>
              </w:rPr>
            </w:pPr>
            <w:r w:rsidRPr="00B94C36">
              <w:rPr>
                <w:rFonts w:ascii="Times New Roman" w:eastAsia="Times New Roman" w:hAnsi="Times New Roman" w:cs="Times New Roman"/>
                <w:b/>
                <w:bCs/>
                <w:sz w:val="22"/>
                <w:szCs w:val="22"/>
              </w:rPr>
              <w:t>Lead Time</w:t>
            </w:r>
          </w:p>
        </w:tc>
        <w:tc>
          <w:tcPr>
            <w:tcW w:w="2693" w:type="dxa"/>
          </w:tcPr>
          <w:p w14:paraId="7D8FFC81" w14:textId="77777777" w:rsidR="00CD4F73" w:rsidRPr="00B94C36" w:rsidRDefault="00CD4F73" w:rsidP="001576CB">
            <w:pPr>
              <w:spacing w:before="180" w:after="180" w:line="276" w:lineRule="auto"/>
              <w:rPr>
                <w:rFonts w:ascii="Times New Roman" w:eastAsia="Times New Roman" w:hAnsi="Times New Roman" w:cs="Times New Roman"/>
                <w:b/>
                <w:bCs/>
                <w:sz w:val="22"/>
                <w:szCs w:val="22"/>
              </w:rPr>
            </w:pPr>
            <w:r w:rsidRPr="00B94C36">
              <w:rPr>
                <w:rFonts w:ascii="Times New Roman" w:eastAsia="Times New Roman" w:hAnsi="Times New Roman" w:cs="Times New Roman"/>
                <w:b/>
                <w:bCs/>
                <w:sz w:val="22"/>
                <w:szCs w:val="22"/>
              </w:rPr>
              <w:t xml:space="preserve">Accuracy/Correlation </w:t>
            </w:r>
          </w:p>
        </w:tc>
      </w:tr>
      <w:tr w:rsidR="00CD4F73" w:rsidRPr="00CD4F73" w14:paraId="3B672B29" w14:textId="77777777" w:rsidTr="00B94C36">
        <w:tc>
          <w:tcPr>
            <w:tcW w:w="1838" w:type="dxa"/>
          </w:tcPr>
          <w:p w14:paraId="288DE60C"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Bollen et al. (2011)</w:t>
            </w:r>
          </w:p>
        </w:tc>
        <w:tc>
          <w:tcPr>
            <w:tcW w:w="992" w:type="dxa"/>
          </w:tcPr>
          <w:p w14:paraId="66BF1D7E"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Equities (DJIA)</w:t>
            </w:r>
          </w:p>
        </w:tc>
        <w:tc>
          <w:tcPr>
            <w:tcW w:w="993" w:type="dxa"/>
          </w:tcPr>
          <w:p w14:paraId="4CDB6162"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2-6 days</w:t>
            </w:r>
          </w:p>
        </w:tc>
        <w:tc>
          <w:tcPr>
            <w:tcW w:w="2693" w:type="dxa"/>
          </w:tcPr>
          <w:p w14:paraId="1733DB0C"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 xml:space="preserve">86.7% accuracy </w:t>
            </w:r>
          </w:p>
        </w:tc>
      </w:tr>
      <w:tr w:rsidR="00CD4F73" w:rsidRPr="00CD4F73" w14:paraId="4B630DA6" w14:textId="77777777" w:rsidTr="00B94C36">
        <w:tc>
          <w:tcPr>
            <w:tcW w:w="1838" w:type="dxa"/>
          </w:tcPr>
          <w:p w14:paraId="7FEF8886"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Renault (2017)</w:t>
            </w:r>
          </w:p>
        </w:tc>
        <w:tc>
          <w:tcPr>
            <w:tcW w:w="992" w:type="dxa"/>
          </w:tcPr>
          <w:p w14:paraId="23558B92"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Equities (S&amp;P 500)</w:t>
            </w:r>
          </w:p>
        </w:tc>
        <w:tc>
          <w:tcPr>
            <w:tcW w:w="993" w:type="dxa"/>
          </w:tcPr>
          <w:p w14:paraId="23D82281"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Intraday (hours)</w:t>
            </w:r>
          </w:p>
        </w:tc>
        <w:tc>
          <w:tcPr>
            <w:tcW w:w="2693" w:type="dxa"/>
          </w:tcPr>
          <w:p w14:paraId="35B066C3"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 xml:space="preserve">74-76% </w:t>
            </w:r>
          </w:p>
        </w:tc>
      </w:tr>
      <w:tr w:rsidR="00CD4F73" w:rsidRPr="00CD4F73" w14:paraId="02EE9BDC" w14:textId="77777777" w:rsidTr="00B94C36">
        <w:tc>
          <w:tcPr>
            <w:tcW w:w="1838" w:type="dxa"/>
          </w:tcPr>
          <w:p w14:paraId="320F65BC"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Kraaijeveld &amp; De Smedt (2020)</w:t>
            </w:r>
          </w:p>
        </w:tc>
        <w:tc>
          <w:tcPr>
            <w:tcW w:w="992" w:type="dxa"/>
          </w:tcPr>
          <w:p w14:paraId="13BE9B44"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Cryptocurrency</w:t>
            </w:r>
          </w:p>
        </w:tc>
        <w:tc>
          <w:tcPr>
            <w:tcW w:w="993" w:type="dxa"/>
          </w:tcPr>
          <w:p w14:paraId="12573B80"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1-4 days</w:t>
            </w:r>
          </w:p>
        </w:tc>
        <w:tc>
          <w:tcPr>
            <w:tcW w:w="2693" w:type="dxa"/>
          </w:tcPr>
          <w:p w14:paraId="37924F07"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 xml:space="preserve">Significant Granger causality </w:t>
            </w:r>
          </w:p>
        </w:tc>
      </w:tr>
      <w:tr w:rsidR="00CD4F73" w:rsidRPr="00CD4F73" w14:paraId="031F8915" w14:textId="77777777" w:rsidTr="00B94C36">
        <w:tc>
          <w:tcPr>
            <w:tcW w:w="1838" w:type="dxa"/>
          </w:tcPr>
          <w:p w14:paraId="16DDF202"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lastRenderedPageBreak/>
              <w:t>Raheman et al. (2022)</w:t>
            </w:r>
          </w:p>
        </w:tc>
        <w:tc>
          <w:tcPr>
            <w:tcW w:w="992" w:type="dxa"/>
          </w:tcPr>
          <w:p w14:paraId="5B99FB36"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Cryptocurrency</w:t>
            </w:r>
          </w:p>
        </w:tc>
        <w:tc>
          <w:tcPr>
            <w:tcW w:w="993" w:type="dxa"/>
          </w:tcPr>
          <w:p w14:paraId="3D473835"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-2 days</w:t>
            </w:r>
          </w:p>
        </w:tc>
        <w:tc>
          <w:tcPr>
            <w:tcW w:w="2693" w:type="dxa"/>
          </w:tcPr>
          <w:p w14:paraId="7044312D"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peak 0.57 correlation</w:t>
            </w:r>
          </w:p>
        </w:tc>
      </w:tr>
      <w:tr w:rsidR="00CD4F73" w:rsidRPr="00CD4F73" w14:paraId="0DDDA52C" w14:textId="77777777" w:rsidTr="00B94C36">
        <w:tc>
          <w:tcPr>
            <w:tcW w:w="1838" w:type="dxa"/>
          </w:tcPr>
          <w:p w14:paraId="6BDA9629"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Trushkovskyi (2025)</w:t>
            </w:r>
          </w:p>
        </w:tc>
        <w:tc>
          <w:tcPr>
            <w:tcW w:w="992" w:type="dxa"/>
          </w:tcPr>
          <w:p w14:paraId="3BBF9131"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Cryptocurrency</w:t>
            </w:r>
          </w:p>
        </w:tc>
        <w:tc>
          <w:tcPr>
            <w:tcW w:w="993" w:type="dxa"/>
          </w:tcPr>
          <w:p w14:paraId="3F31DD97"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1 day</w:t>
            </w:r>
          </w:p>
        </w:tc>
        <w:tc>
          <w:tcPr>
            <w:tcW w:w="2693" w:type="dxa"/>
          </w:tcPr>
          <w:p w14:paraId="770ECD0F"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 xml:space="preserve">0.24-0.25% per unit </w:t>
            </w:r>
          </w:p>
        </w:tc>
      </w:tr>
      <w:tr w:rsidR="00CD4F73" w:rsidRPr="00281CDE" w14:paraId="6E844F3F" w14:textId="77777777" w:rsidTr="00B94C36">
        <w:tc>
          <w:tcPr>
            <w:tcW w:w="1838" w:type="dxa"/>
          </w:tcPr>
          <w:p w14:paraId="0B16520B"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Baker &amp; Wurgler (2007)</w:t>
            </w:r>
          </w:p>
        </w:tc>
        <w:tc>
          <w:tcPr>
            <w:tcW w:w="992" w:type="dxa"/>
          </w:tcPr>
          <w:p w14:paraId="7256274A"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Equities (broad)</w:t>
            </w:r>
          </w:p>
        </w:tc>
        <w:tc>
          <w:tcPr>
            <w:tcW w:w="993" w:type="dxa"/>
          </w:tcPr>
          <w:p w14:paraId="6E2E4408" w14:textId="77777777" w:rsidR="00CD4F73" w:rsidRPr="00CD4F73" w:rsidRDefault="00CD4F73" w:rsidP="001576CB">
            <w:pPr>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Monthly</w:t>
            </w:r>
          </w:p>
        </w:tc>
        <w:tc>
          <w:tcPr>
            <w:tcW w:w="2693" w:type="dxa"/>
          </w:tcPr>
          <w:p w14:paraId="7FF4D45F" w14:textId="77777777" w:rsidR="00CD4F73" w:rsidRPr="00281CDE" w:rsidRDefault="00CD4F73" w:rsidP="00CD4F73">
            <w:pPr>
              <w:keepNext/>
              <w:spacing w:before="180" w:after="180" w:line="276" w:lineRule="auto"/>
              <w:rPr>
                <w:rFonts w:ascii="Times New Roman" w:eastAsia="Times New Roman" w:hAnsi="Times New Roman" w:cs="Times New Roman"/>
                <w:sz w:val="22"/>
                <w:szCs w:val="22"/>
              </w:rPr>
            </w:pPr>
            <w:r w:rsidRPr="00CD4F73">
              <w:rPr>
                <w:rFonts w:ascii="Times New Roman" w:eastAsia="Times New Roman" w:hAnsi="Times New Roman" w:cs="Times New Roman"/>
                <w:sz w:val="22"/>
                <w:szCs w:val="22"/>
              </w:rPr>
              <w:t>0.43 correlation</w:t>
            </w:r>
          </w:p>
        </w:tc>
      </w:tr>
    </w:tbl>
    <w:p w14:paraId="64EFEE57" w14:textId="71CE0AE0" w:rsidR="00281CDE" w:rsidRPr="00281CDE" w:rsidRDefault="00CD4F73" w:rsidP="00CD4F73">
      <w:pPr>
        <w:pStyle w:val="Caption"/>
        <w:rPr>
          <w:rFonts w:ascii="Times New Roman" w:eastAsia="Times New Roman" w:hAnsi="Times New Roman" w:cs="Times New Roman"/>
          <w:sz w:val="22"/>
          <w:szCs w:val="22"/>
        </w:rPr>
      </w:pPr>
      <w:r>
        <w:t xml:space="preserve">Table </w:t>
      </w:r>
      <w:r w:rsidR="00F33A5B">
        <w:t>2.2.1: Lead Time Evidence Synthesis</w:t>
      </w:r>
    </w:p>
    <w:p w14:paraId="6397752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convergence across independent studies using different methodologies, time periods, and asset classes strengthens the theoretical foundation for sentiment-based regime detection. The consistency of 1-6 day lead times suggests an optimal window for regime-transition early-warning systems.</w:t>
      </w:r>
    </w:p>
    <w:p w14:paraId="4476CC3C"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5" w:name="Xa37fac8be1c2b7aed4ddc1f7e91878866706b94"/>
      <w:bookmarkEnd w:id="14"/>
      <w:r w:rsidRPr="00281CDE">
        <w:rPr>
          <w:rFonts w:ascii="Times New Roman" w:eastAsia="Times New Roman" w:hAnsi="Times New Roman" w:cs="Times New Roman"/>
          <w:b/>
          <w:bCs/>
          <w:spacing w:val="5"/>
        </w:rPr>
        <w:t>2.2.5 Limitations and Short-Term Prediction Challenges</w:t>
      </w:r>
    </w:p>
    <w:p w14:paraId="1C85FCE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Despite the encouraging evidence for sentiment-based prediction, recent research has identified important limitations that temper expectations for real-time applications. Kengmegni (2024) conducted a rigorous analysis of news sentiment for next-day stock prediction, finding that agreement ratios between sentiment signals and subsequent price movements hover around 0.5—essentially random chance. The study documented that market efficiency has increased over time, with prediction error standard deviations declining from 0.2 in 2009 to 0.065 by 2023, suggesting that markets have become more efficient at incorporating sentiment information.</w:t>
      </w:r>
    </w:p>
    <w:p w14:paraId="5B44F5D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Critically, Kengmegni found that economy-wide sentiment measures outperform stock-specific sentiment for predictive purposes, suggesting that aggregate sentiment indices may capture systematic factors that individual stock sentiment cannot. This finding supports our research design’s focus on cross-asset aggregate sentiment rather than single-security approaches. The study’s conclusion that “next-day stock prediction remains elusive” underscores the importance of regime-level analysis (identifying broad market states) rather than precise return prediction.</w:t>
      </w:r>
    </w:p>
    <w:p w14:paraId="7F98794B"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6" w:name="cross-asset-sentiment-spillover"/>
      <w:bookmarkEnd w:id="15"/>
      <w:r w:rsidRPr="00281CDE">
        <w:rPr>
          <w:rFonts w:ascii="Times New Roman" w:eastAsia="Times New Roman" w:hAnsi="Times New Roman" w:cs="Times New Roman"/>
          <w:b/>
          <w:bCs/>
          <w:spacing w:val="5"/>
        </w:rPr>
        <w:t>2.2.6 Cross-Asset Sentiment Spillover</w:t>
      </w:r>
    </w:p>
    <w:p w14:paraId="17722EE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While single-asset sentiment analysis is mature, cross-asset approaches remain sparse but show significant promise. Caferra (2022) examined sentiment spillovers between cryptocurrency (Bitcoin) and stock markets (S&amp;P 500) using Transfer Entropy methods. The study found that </w:t>
      </w:r>
      <w:r w:rsidRPr="00281CDE">
        <w:rPr>
          <w:rFonts w:ascii="Times New Roman" w:eastAsia="Times New Roman" w:hAnsi="Times New Roman" w:cs="Times New Roman"/>
          <w:sz w:val="22"/>
          <w:szCs w:val="22"/>
        </w:rPr>
        <w:lastRenderedPageBreak/>
        <w:t>sentiment metrics mediate the relationship between these markets: crypto sentiment affects stock returns, and economic sentiment influences Bitcoin dynamics. Notably, entropy-based methods outperformed traditional VAR models in identifying these connections, demonstrating the value of information-theoretic approaches for cross-asset analysis.</w:t>
      </w:r>
    </w:p>
    <w:p w14:paraId="127F1D8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Cao et al. (2025) investigated sentiment-connectedness networks among S&amp;P 500 firms using nonlinear Granger causality methods and entropy-based centrality measures. Their findings revealed that firms with higher sentiment connectedness face significantly elevated stock price crash risk. The effect was particularly pronounced during market extremes, when sentiment connectedness proved a better predictor than individual firm sentiment. This work demonstrates how network-based sentiment analysis can identify the propagation of systemic risk.</w:t>
      </w:r>
    </w:p>
    <w:p w14:paraId="319C9F4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Nyakurukwa and Seetharam (2025) mapped investor sentiment networks across DJIA stocks, finding that sentiment is highly interconnected among major equities and influences market behavior through network propagation effects. Their network analysis approach provides methodological foundations for understanding how sentiment flows through interconnected markets. These foundations for cross-asset sentiment transmission are explored further in Section 2.3.</w:t>
      </w:r>
    </w:p>
    <w:p w14:paraId="60985651"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17" w:name="cross-asset-sentiment-analysis"/>
      <w:bookmarkEnd w:id="10"/>
      <w:bookmarkEnd w:id="16"/>
      <w:r w:rsidRPr="00281CDE">
        <w:rPr>
          <w:rFonts w:ascii="Times New Roman" w:eastAsia="Times New Roman" w:hAnsi="Times New Roman" w:cs="Times New Roman"/>
          <w:i/>
          <w:iCs/>
          <w:smallCaps/>
          <w:spacing w:val="5"/>
          <w:sz w:val="26"/>
          <w:szCs w:val="26"/>
        </w:rPr>
        <w:t>2.3 Cross-Asset Sentiment Analysis</w:t>
      </w:r>
    </w:p>
    <w:p w14:paraId="4F34393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While sentiment analysis has matured for individual asset classes, integrating sentiment signals across multiple markets remains a frontier with significant theoretical and practical implications. Cross-asset sentiment analysis examines how investor psychology propagates across market boundaries, revealing interconnections that traditional correlation measures may miss. This section surveys the emerging literature on sentiment spillovers, cross-market transmission mechanisms, and the extension of sentiment analysis to forex, commodities, and multi-asset portfolio contexts.</w:t>
      </w:r>
    </w:p>
    <w:p w14:paraId="2184D4DE"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8" w:name="sentiment-spillover-mechanisms"/>
      <w:r w:rsidRPr="00281CDE">
        <w:rPr>
          <w:rFonts w:ascii="Times New Roman" w:eastAsia="Times New Roman" w:hAnsi="Times New Roman" w:cs="Times New Roman"/>
          <w:b/>
          <w:bCs/>
          <w:spacing w:val="5"/>
        </w:rPr>
        <w:t>2.3.1 Sentiment Spillover Mechanisms</w:t>
      </w:r>
    </w:p>
    <w:p w14:paraId="7FE71E3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 theoretical foundation for cross-asset sentiment analysis rests on the observation that investor psychology does not respect asset class boundaries. Caferra (2022) provided seminal evidence of sentiment spillovers between cryptocurrency (Bitcoin) and equity markets (S&amp;P 500) using Transfer Entropy methods—an information-theoretic approach that captures directional information flow beyond linear correlations. The study found that crypto sentiment affects stock returns, while economic sentiment influences Bitcoin dynamics, demonstrating bidirectional sentiment transmission. Importantly, entropy-based </w:t>
      </w:r>
      <w:r w:rsidRPr="00281CDE">
        <w:rPr>
          <w:rFonts w:ascii="Times New Roman" w:eastAsia="Times New Roman" w:hAnsi="Times New Roman" w:cs="Times New Roman"/>
          <w:sz w:val="22"/>
          <w:szCs w:val="22"/>
        </w:rPr>
        <w:lastRenderedPageBreak/>
        <w:t>methods outperformed traditional VAR models in identifying these connections, suggesting that sentiment spillovers are fundamentally nonlinear and require appropriate analytical tools.</w:t>
      </w:r>
    </w:p>
    <w:p w14:paraId="607F0E7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Wang et al. (2024) extended cross-asset analysis to China’s stock and bond markets, discovering asymmetric momentum transmission: stock market momentum negatively influences bond returns, while bond market momentum positively influences stock returns. Their analysis revealed that hybrid funds serve as intermediaries in this transmission mechanism, with more flexible asset allocation enabling stronger cross-market effects. For every 1% increase in hybrid fund returns, the CSI 300 Index increased by 0.73-0.86%. These findings demonstrate that institutional investment vehicles can amplify or dampen cross-asset sentiment propagation, a consideration relevant for understanding how sentiment signals may be transmitted—or distorted—across market boundaries.</w:t>
      </w:r>
    </w:p>
    <w:p w14:paraId="055A5654"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19" w:name="Xecdff94f1a6b28c529b7c74d497b0724aac6202"/>
      <w:bookmarkEnd w:id="18"/>
      <w:r w:rsidRPr="00281CDE">
        <w:rPr>
          <w:rFonts w:ascii="Times New Roman" w:eastAsia="Times New Roman" w:hAnsi="Times New Roman" w:cs="Times New Roman"/>
          <w:b/>
          <w:bCs/>
          <w:spacing w:val="5"/>
        </w:rPr>
        <w:t>2.3.2 Network-Based Approaches and Sentiment Connectedness</w:t>
      </w:r>
    </w:p>
    <w:p w14:paraId="75AE945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Network analysis has emerged as a powerful framework for understanding sentiment dynamics across interconnected markets. Cao et al. (2025) investigated sentiment-connectedness networks among S&amp;P 500 firms using nonlinear Granger causality and entropy-based centrality measures, finding that firms with higher sentiment connectedness face significantly elevated stock price crash risk. The effect was particularly pronounced during market extremes, when network-level sentiment measures outperformed individual-firm sentiment for risk prediction.</w:t>
      </w:r>
    </w:p>
    <w:p w14:paraId="457E379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Yang et al. (2025) introduced a Cross-Asset Risk Management framework that leverages large language models for real-time monitoring of equity, fixed-income, and currency markets. Their approach synthesizes market signals across asset classes to identify potential risks and opportunities, achieving 82.1% accuracy in predicting market shifts—substantially outperforming traditional methods, including blockchain-enhanced frameworks (74.0%) and conventional big data approaches (75.2%). The framework’s integration of GPT-4 and Llama-3-30b for interpreting financial texts across asset classes demonstrates the practical feasibility of unified, cross-asset sentiment-monitoring systems.</w:t>
      </w:r>
    </w:p>
    <w:p w14:paraId="16281957"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0" w:name="forex-and-currency-market-sentiment"/>
      <w:bookmarkEnd w:id="19"/>
      <w:r w:rsidRPr="00281CDE">
        <w:rPr>
          <w:rFonts w:ascii="Times New Roman" w:eastAsia="Times New Roman" w:hAnsi="Times New Roman" w:cs="Times New Roman"/>
          <w:b/>
          <w:bCs/>
          <w:spacing w:val="5"/>
        </w:rPr>
        <w:t>2.3.3 Forex and Currency Market Sentiment</w:t>
      </w:r>
    </w:p>
    <w:p w14:paraId="1B60E4E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Foreign exchange markets, characterized by 24-hour trading and sensitivity to macroeconomic narratives, present unique opportunities for sentiment-based analysis. Olaiyapo (2024) examined sentiment analysis </w:t>
      </w:r>
      <w:r w:rsidRPr="00281CDE">
        <w:rPr>
          <w:rFonts w:ascii="Times New Roman" w:eastAsia="Times New Roman" w:hAnsi="Times New Roman" w:cs="Times New Roman"/>
          <w:sz w:val="22"/>
          <w:szCs w:val="22"/>
        </w:rPr>
        <w:lastRenderedPageBreak/>
        <w:t>for generating Forex trading signals, combining lexicon-based analysis with Naive Bayes classification on news articles and social media posts related to the US Dollar. The Naive Bayes model achieved 85% classification accuracy with a precision of 0.87 and an F1-score of 0.86. When combined with technical indicators (moving averages and RSI), the sentiment-based signals generated over 12% profit during the testing period, demonstrating the practical value of sentiment integration for currency trading.</w:t>
      </w:r>
    </w:p>
    <w:p w14:paraId="6F39C0D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Dakalbab et al. (2025) advanced forex prediction by integrating technical and sentiment analysis via cross-modal attention mechanisms within a multimodal deep learning framework. Testing on EUR/USD, GBP/USD, and USD/JPY currency pairs, their hybrid attention model achieved an accuracy of 82.9% and a Matthews Correlation Coefficient of 0.744-0.776, consistently outperforming single-modality approaches. The study’s key contribution was to demonstrate that sentiment-technical fusion captures market dynamics that neither modality alone can capture—a finding with direct implications for multi-source regime-detection systems.</w:t>
      </w:r>
    </w:p>
    <w:p w14:paraId="15A7D2E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Sibande et al. (2021) established a direct link between herding behavior in currency markets and investor sentiment using a Twitter-based happiness index. Analyzing nine developed-market currencies, they found that forex markets exhibit strong anti-herding behavior, particularly during extreme sentiment states. The relationship between sentiment and anti-herding proved regime-specific: extreme bullish or bearish sentiment strengthened anti-herding, while average sentiment was associated with weaker effects. These findings suggest that real-time sentiment monitoring can identify periods of heightened speculative activity in currency markets—a capability directly relevant to regime detection.</w:t>
      </w:r>
    </w:p>
    <w:p w14:paraId="625360E7"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1" w:name="multi-asset-portfolio-integration"/>
      <w:bookmarkEnd w:id="20"/>
      <w:r w:rsidRPr="00281CDE">
        <w:rPr>
          <w:rFonts w:ascii="Times New Roman" w:eastAsia="Times New Roman" w:hAnsi="Times New Roman" w:cs="Times New Roman"/>
          <w:b/>
          <w:bCs/>
          <w:spacing w:val="5"/>
        </w:rPr>
        <w:t>2.3.4 Multi-Asset Portfolio Integration</w:t>
      </w:r>
    </w:p>
    <w:p w14:paraId="33B96E7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integration of sentiment analysis into multi-asset portfolio management represents a natural extension of cross-asset research with significant practical applications. Sarfarazurrehman et al. (2025) explored AI and machine learning models for cross-asset investment risk analysis spanning real estate and equities markets. Their Deep Reinforcement Learning (DRL) and LSTM-based approaches achieved cumulative returns of 29.52% with a Sharpe ratio of 0.98, significantly outperforming traditional Mean-Variance Optimization. The study also documented that real estate investment trusts (REITs) are pervasive transmitters of long-term volatility, with shocks lasting longer than those in equities, commodities, and bonds—underscoring the importance of understanding cross-asset risk propagation.</w:t>
      </w:r>
    </w:p>
    <w:p w14:paraId="6BCF77F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Pankwaen et al. (2025) developed an Iterative Model Combining Algorithm (IMCA) for global cross-market trading optimization across 39 stocks from multiple regions, as well as Bitcoin. Their framework dynamically recalibrates model weights in response to real-time market conditions, achieving cumulative returns of 29.52% and a Sharpe ratio of 0.829. Critically, the study evaluated performance during major market disruptions, including COVID-19, the SVB crisis, and the 2022 crypto crash, demonstrating that adaptive multi-asset frameworks maintain effectiveness across regime transitions. The IMCA framework’s success in volatile conditions suggests that dynamic, sentiment-aware approaches may be essential for robust cross-asset regime detection.</w:t>
      </w:r>
    </w:p>
    <w:p w14:paraId="113A0311"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2" w:name="X966b21761ab38151e58c4f51fb0f3327334712d"/>
      <w:bookmarkEnd w:id="21"/>
      <w:r w:rsidRPr="00281CDE">
        <w:rPr>
          <w:rFonts w:ascii="Times New Roman" w:eastAsia="Times New Roman" w:hAnsi="Times New Roman" w:cs="Times New Roman"/>
          <w:b/>
          <w:bCs/>
          <w:spacing w:val="5"/>
        </w:rPr>
        <w:t>2.3.5 Commodities and Safe-Haven Asset Sentiment</w:t>
      </w:r>
    </w:p>
    <w:p w14:paraId="79946FD3" w14:textId="338FD668"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Commodities, particularly gold as a traditional safe-haven asset, exhibit unique sentiment dynamics that complement equity and currency analysis. Shi (2025) developed a sentiment-based GARCH-MIDAS hybrid model to explain the unusual 2020-2022 period, when gold prices rose 40% despite a 12% increase in the US Dollar Index, </w:t>
      </w:r>
      <w:r w:rsidR="00F47C02">
        <w:rPr>
          <w:rFonts w:ascii="Times New Roman" w:eastAsia="Times New Roman" w:hAnsi="Times New Roman" w:cs="Times New Roman"/>
          <w:sz w:val="22"/>
          <w:szCs w:val="22"/>
        </w:rPr>
        <w:t>which</w:t>
      </w:r>
      <w:r w:rsidRPr="00281CDE">
        <w:rPr>
          <w:rFonts w:ascii="Times New Roman" w:eastAsia="Times New Roman" w:hAnsi="Times New Roman" w:cs="Times New Roman"/>
          <w:sz w:val="22"/>
          <w:szCs w:val="22"/>
        </w:rPr>
        <w:t xml:space="preserve"> t</w:t>
      </w:r>
      <w:r w:rsidR="00F47C02">
        <w:rPr>
          <w:rFonts w:ascii="Times New Roman" w:eastAsia="Times New Roman" w:hAnsi="Times New Roman" w:cs="Times New Roman"/>
          <w:sz w:val="22"/>
          <w:szCs w:val="22"/>
        </w:rPr>
        <w:t>ypically</w:t>
      </w:r>
      <w:r w:rsidRPr="00281CDE">
        <w:rPr>
          <w:rFonts w:ascii="Times New Roman" w:eastAsia="Times New Roman" w:hAnsi="Times New Roman" w:cs="Times New Roman"/>
          <w:sz w:val="22"/>
          <w:szCs w:val="22"/>
        </w:rPr>
        <w:t xml:space="preserve"> </w:t>
      </w:r>
      <w:r w:rsidR="00F47C02">
        <w:rPr>
          <w:rFonts w:ascii="Times New Roman" w:eastAsia="Times New Roman" w:hAnsi="Times New Roman" w:cs="Times New Roman"/>
          <w:sz w:val="22"/>
          <w:szCs w:val="22"/>
        </w:rPr>
        <w:t>moves</w:t>
      </w:r>
      <w:r w:rsidRPr="00281CDE">
        <w:rPr>
          <w:rFonts w:ascii="Times New Roman" w:eastAsia="Times New Roman" w:hAnsi="Times New Roman" w:cs="Times New Roman"/>
          <w:sz w:val="22"/>
          <w:szCs w:val="22"/>
        </w:rPr>
        <w:t xml:space="preserve"> inverse</w:t>
      </w:r>
      <w:r w:rsidR="00F47C02">
        <w:rPr>
          <w:rFonts w:ascii="Times New Roman" w:eastAsia="Times New Roman" w:hAnsi="Times New Roman" w:cs="Times New Roman"/>
          <w:sz w:val="22"/>
          <w:szCs w:val="22"/>
        </w:rPr>
        <w:t>ly</w:t>
      </w:r>
      <w:r w:rsidRPr="00281CDE">
        <w:rPr>
          <w:rFonts w:ascii="Times New Roman" w:eastAsia="Times New Roman" w:hAnsi="Times New Roman" w:cs="Times New Roman"/>
          <w:sz w:val="22"/>
          <w:szCs w:val="22"/>
        </w:rPr>
        <w:t xml:space="preserve"> </w:t>
      </w:r>
      <w:r w:rsidR="00F47C02">
        <w:rPr>
          <w:rFonts w:ascii="Times New Roman" w:eastAsia="Times New Roman" w:hAnsi="Times New Roman" w:cs="Times New Roman"/>
          <w:sz w:val="22"/>
          <w:szCs w:val="22"/>
        </w:rPr>
        <w:t>with gold prices</w:t>
      </w:r>
      <w:r w:rsidRPr="00281CDE">
        <w:rPr>
          <w:rFonts w:ascii="Times New Roman" w:eastAsia="Times New Roman" w:hAnsi="Times New Roman" w:cs="Times New Roman"/>
          <w:sz w:val="22"/>
          <w:szCs w:val="22"/>
        </w:rPr>
        <w:t>. Using FinBERT-scored sentiment from financial media, the augmented model reduced out-of-sample prediction errors by 18.7% compared with traditional volatility models (23.6% reduction in MSE relative to standard GARCH).</w:t>
      </w:r>
    </w:p>
    <w:p w14:paraId="4E92EAE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study identified sentiment-driven herding effects, amplified by pandemic uncertainties and geopolitical tensions, as critical drivers of the shift in the gold-DXY correlation. Notably, negative sentiment had 1.8 times the marginal impact on volatility of positive sentiment—an asymmetric effect consistent with loss-aversion theory in behavioral finance (see also the negativity bias findings in Nyakurukwa and Seetharam 2025, discussed in Section 2.2.5). Sentiment factors accounted for approximately 15% of previously unobserved heteroskedasticity in long-term volatility components, establishing a new paradigm for incorporating behavioral factors into commodity pricing models.</w:t>
      </w:r>
    </w:p>
    <w:p w14:paraId="7549DC41"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cross-asset evidence reviewed in this section—spanning crypto-equity spillovers, currency market herding, multi-asset portfolio optimization, and commodity safe-haven dynamics—demonstrates both the feasibility and value of unified sentiment analysis frameworks. These findings motivate our research design, which synthesizes sentiment signals across all four asset classes to detect regimes rather than to predict single assets.</w:t>
      </w:r>
    </w:p>
    <w:p w14:paraId="2D93A8F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23" w:name="market-regime-detection"/>
      <w:bookmarkEnd w:id="17"/>
      <w:bookmarkEnd w:id="22"/>
      <w:r w:rsidRPr="00281CDE">
        <w:rPr>
          <w:rFonts w:ascii="Times New Roman" w:eastAsia="Times New Roman" w:hAnsi="Times New Roman" w:cs="Times New Roman"/>
          <w:i/>
          <w:iCs/>
          <w:smallCaps/>
          <w:spacing w:val="5"/>
          <w:sz w:val="26"/>
          <w:szCs w:val="26"/>
        </w:rPr>
        <w:t>2.4 Market Regime Detection</w:t>
      </w:r>
    </w:p>
    <w:p w14:paraId="14C6EA0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Having established in Sections 2.1-2.3 that transformer-based sentiment analysis achieves strong classification performance, and that sentiment signals demonstrate predictive power across individual and cross-asset contexts, we now turn to the challenge of integrating these insights for market regime detection. Identifying market regimes—distinct periods characterized by different return distributions, volatility patterns, and investor behavior—is a critical challenge in financial modeling. Accurate regime detection enables portfolio managers to dynamically adjust allocations, hedge against downside risk, and capitalize on regime-specific opportunities. This section reviews traditional approaches, machine learning innovations, and the emerging role of sentiment signals in regime identification.</w:t>
      </w:r>
    </w:p>
    <w:p w14:paraId="2E0CA22D"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4" w:name="traditional-approaches"/>
      <w:r w:rsidRPr="00281CDE">
        <w:rPr>
          <w:rFonts w:ascii="Times New Roman" w:eastAsia="Times New Roman" w:hAnsi="Times New Roman" w:cs="Times New Roman"/>
          <w:b/>
          <w:bCs/>
          <w:spacing w:val="5"/>
        </w:rPr>
        <w:t>2.4.1 Traditional Approaches</w:t>
      </w:r>
    </w:p>
    <w:p w14:paraId="35B6627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Classical regime detection relies on threshold-based indicators and statistical models that identify regimes from observable market data:</w:t>
      </w:r>
    </w:p>
    <w:p w14:paraId="30EBC845" w14:textId="77777777" w:rsidR="00281CDE" w:rsidRPr="00281CDE" w:rsidRDefault="00281CDE" w:rsidP="00281CDE">
      <w:pPr>
        <w:wordWrap w:val="0"/>
        <w:spacing w:line="276" w:lineRule="auto"/>
        <w:ind w:left="720"/>
        <w:rPr>
          <w:rFonts w:ascii="Times New Roman" w:eastAsia="Times New Roman" w:hAnsi="Times New Roman" w:cs="Times New Roman"/>
          <w:i/>
          <w:sz w:val="22"/>
          <w:szCs w:val="22"/>
        </w:rPr>
      </w:pP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Volatility thresholds</w:t>
      </w:r>
      <w:r w:rsidRPr="00281CDE">
        <w:rPr>
          <w:rFonts w:ascii="Times New Roman" w:eastAsia="Times New Roman" w:hAnsi="Times New Roman" w:cs="Times New Roman"/>
          <w:sz w:val="22"/>
          <w:szCs w:val="22"/>
        </w:rPr>
        <w:t>: VIX levels above 30 conventionally signal Risk-Off conditions, while sustained levels below 15 indicate a complacent Risk-On environment.</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Moving average crossovers</w:t>
      </w:r>
      <w:r w:rsidRPr="00281CDE">
        <w:rPr>
          <w:rFonts w:ascii="Times New Roman" w:eastAsia="Times New Roman" w:hAnsi="Times New Roman" w:cs="Times New Roman"/>
          <w:sz w:val="22"/>
          <w:szCs w:val="22"/>
        </w:rPr>
        <w:t>: Technical signals such as the Death Cross (50-day moving average crossing below the 200-day) have historically coincided with bear-market initiations.</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Economic indicators</w:t>
      </w:r>
      <w:r w:rsidRPr="00281CDE">
        <w:rPr>
          <w:rFonts w:ascii="Times New Roman" w:eastAsia="Times New Roman" w:hAnsi="Times New Roman" w:cs="Times New Roman"/>
          <w:sz w:val="22"/>
          <w:szCs w:val="22"/>
        </w:rPr>
        <w:t>: Yield curve inversions, rising unemployment claims, and declining PMI readings serve as macroeconomic regime markers.</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Hidden Markov Models (HMMs</w:t>
      </w:r>
      <w:r w:rsidRPr="00281CDE">
        <w:rPr>
          <w:rFonts w:ascii="Times New Roman" w:eastAsia="Times New Roman" w:hAnsi="Times New Roman" w:cs="Times New Roman"/>
          <w:sz w:val="22"/>
          <w:szCs w:val="22"/>
        </w:rPr>
        <w:t>): Traditional HMMs assume that observed market data emerges from a hidden state process, with regime transitions governed by fixed transition probabilities.</w:t>
      </w:r>
    </w:p>
    <w:p w14:paraId="606EC78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fundamental limitation of these approaches is their lag—they identify regimes after transitions have already progressed substantially. Baker and Wurgler (2007) demonstrated that investor sentiment indices predict broad market returns, suggesting that behavioral signals may provide earlier regime indicators than price-based methods. However, their sentiment proxies relied on indirect measures (closed-end fund discounts, IPO volume, equity issuance share) rather than direct textual sentiment extraction.</w:t>
      </w:r>
    </w:p>
    <w:p w14:paraId="14E92BF6"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5" w:name="machine-learning-methods"/>
      <w:bookmarkEnd w:id="24"/>
      <w:r w:rsidRPr="00281CDE">
        <w:rPr>
          <w:rFonts w:ascii="Times New Roman" w:eastAsia="Times New Roman" w:hAnsi="Times New Roman" w:cs="Times New Roman"/>
          <w:b/>
          <w:bCs/>
          <w:spacing w:val="5"/>
        </w:rPr>
        <w:t>2.4.2 Machine Learning Methods</w:t>
      </w:r>
    </w:p>
    <w:p w14:paraId="50482C6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Modern machine learning approaches have substantially advanced regime detection by learning complex patterns from multiple signal sources.</w:t>
      </w:r>
    </w:p>
    <w:p w14:paraId="7BDC0916" w14:textId="77777777" w:rsidR="00281CDE" w:rsidRPr="00281CDE" w:rsidRDefault="00281CDE" w:rsidP="00281CDE">
      <w:pPr>
        <w:spacing w:after="0" w:line="271" w:lineRule="auto"/>
        <w:outlineLvl w:val="4"/>
        <w:rPr>
          <w:rFonts w:ascii="Times New Roman" w:eastAsia="Times New Roman" w:hAnsi="Times New Roman" w:cs="Times New Roman"/>
          <w:i/>
          <w:iCs/>
        </w:rPr>
      </w:pPr>
      <w:bookmarkStart w:id="26" w:name="Xa81bf9b95dd408855adf9ddfbf19c9899b51c34"/>
      <w:r w:rsidRPr="00281CDE">
        <w:rPr>
          <w:rFonts w:ascii="Times New Roman" w:eastAsia="Times New Roman" w:hAnsi="Times New Roman" w:cs="Times New Roman"/>
          <w:i/>
          <w:iCs/>
        </w:rPr>
        <w:lastRenderedPageBreak/>
        <w:t>2.4.2.1 Statistical Jump Models vs. Hidden Markov Models</w:t>
      </w:r>
    </w:p>
    <w:p w14:paraId="43558E7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While Hidden Markov Models (HMMs) have traditionally served as the standard for regime detection, recent scholarship highlights significant limitations in their ability to handle signal instability. Shu et al. (2024) demonstrate that HMMs are highly sensitive to daily market noise, often identifying “short-lived regimes that are unintuitive and difficult to trade”. This sensitivity results in “whipsaw” signals—frequent, spurious state flips that degrade performance through excessive transaction costs.</w:t>
      </w:r>
    </w:p>
    <w:p w14:paraId="44488191"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address the lack of persistence in HMMs, </w:t>
      </w:r>
      <w:r w:rsidRPr="00281CDE">
        <w:rPr>
          <w:rFonts w:ascii="Times New Roman" w:eastAsia="Times New Roman" w:hAnsi="Times New Roman" w:cs="Times New Roman"/>
          <w:b/>
          <w:bCs/>
          <w:sz w:val="22"/>
          <w:szCs w:val="22"/>
        </w:rPr>
        <w:t>Statistical Jump Models (JMs)</w:t>
      </w:r>
      <w:r w:rsidRPr="00281CDE">
        <w:rPr>
          <w:rFonts w:ascii="Times New Roman" w:eastAsia="Times New Roman" w:hAnsi="Times New Roman" w:cs="Times New Roman"/>
          <w:sz w:val="22"/>
          <w:szCs w:val="22"/>
        </w:rPr>
        <w:t xml:space="preserve"> offer a superior alternative by incorporating a discrete “jump penalty” (</w:t>
      </w:r>
      <m:oMath>
        <m:r>
          <w:rPr>
            <w:rFonts w:ascii="Cambria Math" w:eastAsia="Times New Roman" w:hAnsi="Cambria Math" w:cs="Times New Roman"/>
            <w:sz w:val="22"/>
            <w:szCs w:val="22"/>
          </w:rPr>
          <m:t>λ</m:t>
        </m:r>
      </m:oMath>
      <w:r w:rsidRPr="00281CDE">
        <w:rPr>
          <w:rFonts w:ascii="Times New Roman" w:eastAsia="Times New Roman" w:hAnsi="Times New Roman" w:cs="Times New Roman"/>
          <w:sz w:val="22"/>
          <w:szCs w:val="22"/>
        </w:rPr>
        <w:t>) directly into the objective function. Unlike HMMs, which rely solely on transition probabilities, this penalty mathematically enforces regime persistence, requiring substantial evidence of a structural shift before triggering a state change. Empirically, JMs have been shown to reduce annualized portfolio turnover by approximately two-thirds compared to HMMs (44% vs. 141% for the S&amp;P 500) while simultaneously improving risk-adjusted returns and reducing maximum drawdown. Consequently, JMs provide a more robust framework for risk management applications where regime stability is paramount.</w:t>
      </w:r>
    </w:p>
    <w:p w14:paraId="2C9F72F1" w14:textId="77777777" w:rsidR="00281CDE" w:rsidRPr="00281CDE" w:rsidRDefault="00281CDE" w:rsidP="00281CDE">
      <w:pPr>
        <w:spacing w:after="0" w:line="271" w:lineRule="auto"/>
        <w:outlineLvl w:val="4"/>
        <w:rPr>
          <w:rFonts w:ascii="Times New Roman" w:eastAsia="Times New Roman" w:hAnsi="Times New Roman" w:cs="Times New Roman"/>
          <w:i/>
          <w:iCs/>
        </w:rPr>
      </w:pPr>
      <w:bookmarkStart w:id="27" w:name="explainable-and-ensemble-approaches"/>
      <w:bookmarkEnd w:id="26"/>
      <w:r w:rsidRPr="00281CDE">
        <w:rPr>
          <w:rFonts w:ascii="Times New Roman" w:eastAsia="Times New Roman" w:hAnsi="Times New Roman" w:cs="Times New Roman"/>
          <w:i/>
          <w:iCs/>
        </w:rPr>
        <w:t>2.4.2.2 Explainable and Ensemble Approaches</w:t>
      </w:r>
    </w:p>
    <w:p w14:paraId="7C09442A" w14:textId="30211C8A"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Zhang et al. (2020) developed an explainable machine learning framework for regime-based asset allocation using hierarchical clustering. Their model integrated macroeconomic indicators with market technical signals to divide economic conditions into four distinct regimes, then applied the Black-Litterman model for portfolio optimization. Back</w:t>
      </w:r>
      <w:r w:rsidR="00F47C02">
        <w:rPr>
          <w:rFonts w:ascii="Times New Roman" w:eastAsia="Times New Roman" w:hAnsi="Times New Roman" w:cs="Times New Roman"/>
          <w:sz w:val="22"/>
          <w:szCs w:val="22"/>
        </w:rPr>
        <w:t>-</w:t>
      </w:r>
      <w:r w:rsidRPr="00281CDE">
        <w:rPr>
          <w:rFonts w:ascii="Times New Roman" w:eastAsia="Times New Roman" w:hAnsi="Times New Roman" w:cs="Times New Roman"/>
          <w:sz w:val="22"/>
          <w:szCs w:val="22"/>
        </w:rPr>
        <w:t>testing from August 2010 to May 2020 achieved 22.53% annualized returns with a Sharpe ratio of 1.06, significantly outperforming both equal-weighted benchmarks and traditional Black-Litterman implementations. Critically, their approach captured both major market upswings and successfully withdrew capital before market crashes, demonstrating the practical value of regime-aware allocation strategies.</w:t>
      </w:r>
    </w:p>
    <w:p w14:paraId="0A88FD71"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Shu et al. (2024) proposed a statistical jump model (JM) approach that enhances traditional Markov-switching models by imposing jump penalties at each state transition. This penalty mechanism promotes regime persistence, reducing spurious switching signals that plague traditional HMMs. Evaluating the approach across U.S., German, and Japanese equity indices from 1990 to 2023, they found that the JM-guided strategy consistently reduced volatility and maximum drawdown while improving Sharpe ratios relative to both the buy-and-hold and HMM-guided strategies. The JM approach increased compound annual </w:t>
      </w:r>
      <w:r w:rsidRPr="00281CDE">
        <w:rPr>
          <w:rFonts w:ascii="Times New Roman" w:eastAsia="Times New Roman" w:hAnsi="Times New Roman" w:cs="Times New Roman"/>
          <w:sz w:val="22"/>
          <w:szCs w:val="22"/>
        </w:rPr>
        <w:lastRenderedPageBreak/>
        <w:t>growth rates by 1-4% across regions while limiting turnover to approximately 44%.</w:t>
      </w:r>
    </w:p>
    <w:p w14:paraId="446F870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Suárez-Cetrulo et al. (2023) conducted a systematic review of 140 studies on machine learning for financial prediction under regime change. Their analysis identified four primary algorithmic categories showing promise: evolving systems (32.1% of studies), ensemble-based methods, traditional systems adapted to concept change, and neural networks with online learning capabilities. A critical finding was that most conventional machine learning techniques struggle with abrupt structural changes—the exact characteristic that distinguishes regime transitions from normal market fluctuations. They emphasized that the literature on online learning (concept drift) and regime switching has developed largely independently, even though they address fundamentally similar challenges.</w:t>
      </w:r>
    </w:p>
    <w:p w14:paraId="059C137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Table 2.4.1: Regime Detection Performance Comparison</w:t>
      </w:r>
    </w:p>
    <w:p w14:paraId="4FA3F36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Approach Method Annual Return Sharpe Ratio Key Advantage Citation Hierarchical Clustering Black-Litterman integration 22.53% 1.06 Explainability Zhang et al. (2020) Statistical Jump Model Jump penalty regime switching +1-4% vs. benchmark Higher vs. HMM Reduced turnover Shu et al. (2024) Relative Sentiment Sentix + ML ensemble +400-700 bps Improved Cross-regional validity Micaletti (2022) Mixed-Frequency MF-EEMD-ML — — 19.18% MAE reduction Cai et al. (2024) Intraday Sentiment Field-specific lexicon 4.55% (strategy) 1.496 Leading indicator Renault (2017)</w:t>
      </w:r>
    </w:p>
    <w:p w14:paraId="5FBEA112"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8" w:name="sentiment-based-regime-detection"/>
      <w:bookmarkEnd w:id="25"/>
      <w:bookmarkEnd w:id="27"/>
      <w:r w:rsidRPr="00281CDE">
        <w:rPr>
          <w:rFonts w:ascii="Times New Roman" w:eastAsia="Times New Roman" w:hAnsi="Times New Roman" w:cs="Times New Roman"/>
          <w:b/>
          <w:bCs/>
          <w:spacing w:val="5"/>
        </w:rPr>
        <w:t>2.4.3 Sentiment-Based Regime Detection</w:t>
      </w:r>
    </w:p>
    <w:p w14:paraId="2F360EC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application of sentiment analysis to regime detection remains an emerging frontier with substantial untapped potential. Foundational work has established that sentiment signals possess predictive power for market movements:</w:t>
      </w:r>
    </w:p>
    <w:p w14:paraId="47E1969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Bollen et al. (2011) demonstrated that Twitter mood states predicted DJIA movements 2-6 days ahead with 86.7% accuracy (87.6% direction accuracy in validation), establishing sentiment as a potentially leading indicator for market direction. Their analysis identified specific emotional dimensions (calm and anxiety) that correlated with subsequent market movements, suggesting that shifts in investor psychology precede price adjustments.</w:t>
      </w:r>
    </w:p>
    <w:p w14:paraId="345B4F2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Renault (2017) constructed a field-specific sentiment lexicon from StockTwits messages and examined intraday relationships between sentiment and returns of the S&amp;P 500 ETF. The study found that first-half-hour sentiment changes predicted last-half-hour returns, with the </w:t>
      </w:r>
      <w:r w:rsidRPr="00281CDE">
        <w:rPr>
          <w:rFonts w:ascii="Times New Roman" w:eastAsia="Times New Roman" w:hAnsi="Times New Roman" w:cs="Times New Roman"/>
          <w:sz w:val="22"/>
          <w:szCs w:val="22"/>
        </w:rPr>
        <w:lastRenderedPageBreak/>
        <w:t>sentiment effect primarily driven by novice traders. A trading strategy exploiting this pattern achieved a Sharpe ratio of 1.496, with significant price reversals the following trading day—consistent with noise-trading theory. Importantly, predictability disappeared when using standard dictionary-based sentiment methods, underscoring the need for domain-specific lexicons.</w:t>
      </w:r>
    </w:p>
    <w:p w14:paraId="2DF8C11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Micaletti (2022) introduced the concept of relative sentiment—the difference between institutional and individual investor sentiment expectations—for tactical asset allocation. Using Sentix economic sentiment indices across the U.S., Europe, Japan, and Asia ex-Japan markets, he found that relative sentiment factors demonstrated robust predictive power across all regions, surpassing both standalone sentiment and time-series momentum in informational content. Composite relative sentiment strategies outperformed benchmarks by 400-700 basis points annually with higher Sharpe ratios and lower maximum drawdowns. Notably, when time-series momentum was negative but relative sentiment was positive, annualized returns averaged 27%, versus -23% when both were negative—a 50-percentage-point differential driven by sentiment state.</w:t>
      </w:r>
    </w:p>
    <w:p w14:paraId="3B149075"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29" w:name="real-time-and-high-frequency-systems"/>
      <w:bookmarkEnd w:id="28"/>
      <w:r w:rsidRPr="00281CDE">
        <w:rPr>
          <w:rFonts w:ascii="Times New Roman" w:eastAsia="Times New Roman" w:hAnsi="Times New Roman" w:cs="Times New Roman"/>
          <w:b/>
          <w:bCs/>
          <w:spacing w:val="5"/>
        </w:rPr>
        <w:t>2.4.4 Real-Time and High-Frequency Systems</w:t>
      </w:r>
    </w:p>
    <w:p w14:paraId="1EF6B112"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temporal resolution of sentiment-based regime detection presents significant methodological challenges. Traditional daily or weekly sentiment aggregation may miss critical intraday regime shifts, while high-frequency analysis demands sophisticated modeling to handle mixed-frequency data.</w:t>
      </w:r>
    </w:p>
    <w:p w14:paraId="78F3CDD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Cai et al. (2024) addressed this challenge through an “MF-EEMD-ML” prediction system that integrates half-hourly sentiment from stock message boards with three-minute stock return prediction. Their methodology employed the RR-MIDAS (Reverse Restricted Mixed Data Sampling) framework combined with Ensemble Empirical Mode Decomposition to handle non-stationarity and mixed-frequency dynamics. The system achieved maximum reductions of 19.18% in MAE, 19.08% in RMSE, and 11.71% in SMAPE compared to traditional approaches. Critically, they demonstrated that sentiment impact on high-frequency returns persists across seven intraday periods, with influence gradually weakening over time.</w:t>
      </w:r>
    </w:p>
    <w:p w14:paraId="3C2C83D4" w14:textId="5C9D7103"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Shao et al. (2024) developed the Heterogeneous Dynamic Seemingly Unrelated Regression with Dynamic Linear Models (HD-SURDLM) framework for predicting stock returns. Integrating sentiment from 2.5 million Twitter posts and news sources using VADER, TextBlob, and RoBERTa, their model captured both cross-sectional dependencies </w:t>
      </w:r>
      <w:r w:rsidRPr="00281CDE">
        <w:rPr>
          <w:rFonts w:ascii="Times New Roman" w:eastAsia="Times New Roman" w:hAnsi="Times New Roman" w:cs="Times New Roman"/>
          <w:sz w:val="22"/>
          <w:szCs w:val="22"/>
        </w:rPr>
        <w:lastRenderedPageBreak/>
        <w:t xml:space="preserve">across assets and temporal dynamics. The approach achieved 1.02% improvement in 1-day horizon forecasts, 0.42% </w:t>
      </w:r>
      <w:r w:rsidR="003868A7">
        <w:rPr>
          <w:rFonts w:ascii="Times New Roman" w:eastAsia="Times New Roman" w:hAnsi="Times New Roman" w:cs="Times New Roman"/>
          <w:sz w:val="22"/>
          <w:szCs w:val="22"/>
        </w:rPr>
        <w:t>in</w:t>
      </w:r>
      <w:r w:rsidRPr="00281CDE">
        <w:rPr>
          <w:rFonts w:ascii="Times New Roman" w:eastAsia="Times New Roman" w:hAnsi="Times New Roman" w:cs="Times New Roman"/>
          <w:sz w:val="22"/>
          <w:szCs w:val="22"/>
        </w:rPr>
        <w:t xml:space="preserve"> 20-day predictions, and 0.36% </w:t>
      </w:r>
      <w:r w:rsidR="003868A7">
        <w:rPr>
          <w:rFonts w:ascii="Times New Roman" w:eastAsia="Times New Roman" w:hAnsi="Times New Roman" w:cs="Times New Roman"/>
          <w:sz w:val="22"/>
          <w:szCs w:val="22"/>
        </w:rPr>
        <w:t>in</w:t>
      </w:r>
      <w:r w:rsidRPr="00281CDE">
        <w:rPr>
          <w:rFonts w:ascii="Times New Roman" w:eastAsia="Times New Roman" w:hAnsi="Times New Roman" w:cs="Times New Roman"/>
          <w:sz w:val="22"/>
          <w:szCs w:val="22"/>
        </w:rPr>
        <w:t xml:space="preserve"> 50-day forecasts compared </w:t>
      </w:r>
      <w:r w:rsidR="003868A7">
        <w:rPr>
          <w:rFonts w:ascii="Times New Roman" w:eastAsia="Times New Roman" w:hAnsi="Times New Roman" w:cs="Times New Roman"/>
          <w:sz w:val="22"/>
          <w:szCs w:val="22"/>
        </w:rPr>
        <w:t>with</w:t>
      </w:r>
      <w:r w:rsidRPr="00281CDE">
        <w:rPr>
          <w:rFonts w:ascii="Times New Roman" w:eastAsia="Times New Roman" w:hAnsi="Times New Roman" w:cs="Times New Roman"/>
          <w:sz w:val="22"/>
          <w:szCs w:val="22"/>
        </w:rPr>
        <w:t xml:space="preserve"> LSTM, Random Forest, and RNN baselines. An important practical consideration emerged: while RoBERTa-based sentiment extraction achieved superior accuracy, computational costs increased from 3-6 seconds (for simple methods) to up to 14 hours, highlighting trade-offs between accuracy and real-time deployment feasibility.</w:t>
      </w:r>
    </w:p>
    <w:p w14:paraId="12CA23E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temporal structure of sentiment predictability suggests a natural hierarchy: immediate sentiment shifts (intraday) provide noise trading signals, short-term aggregation (1-5 days) captures directional momentum, and medium-term patterns (weekly-monthly) may indicate regime-level transitions. Our proposed framework targets this medium-term regime detection horizon while preserving the ability to respond to rapid sentiment deterioration during crisis periods.</w:t>
      </w:r>
    </w:p>
    <w:p w14:paraId="6FCF0344"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30" w:name="explainable-ai-in-regime-detection"/>
      <w:bookmarkEnd w:id="29"/>
      <w:r w:rsidRPr="00281CDE">
        <w:rPr>
          <w:rFonts w:ascii="Times New Roman" w:eastAsia="Times New Roman" w:hAnsi="Times New Roman" w:cs="Times New Roman"/>
          <w:b/>
          <w:bCs/>
          <w:spacing w:val="5"/>
        </w:rPr>
        <w:t>2.4.5 Explainable AI in Regime Detection</w:t>
      </w:r>
    </w:p>
    <w:p w14:paraId="73BD3F1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interpretability of regime detection models is crucial for practical deployment in risk management contexts. Black-box approaches that achieve high accuracy but provide no insight into regime characteristics limit their utility for portfolio managers who must justify allocation decisions.</w:t>
      </w:r>
    </w:p>
    <w:p w14:paraId="3E29304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Zhang et al. (2020) specifically emphasized explainability as a design criterion, noting that their hierarchical clustering approach enables visualization of regime boundaries and numerical analysis of regime-specific asset characteristics. Their four-regime classification (corresponding roughly to reflation, recovery, overheating, and stagflation phases) aligns with established economic cycle theory while being data-driven rather than imposed a priori. The integration with the Black-Litterman model provides a natural mechanism for translating regime identification into actionable portfolio views.</w:t>
      </w:r>
    </w:p>
    <w:p w14:paraId="4D2E5AE0" w14:textId="508CE97A"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Micaletti (2022) found that across 990 </w:t>
      </w:r>
      <w:r w:rsidR="00F47C02" w:rsidRPr="00281CDE">
        <w:rPr>
          <w:rFonts w:ascii="Times New Roman" w:eastAsia="Times New Roman" w:hAnsi="Times New Roman" w:cs="Times New Roman"/>
          <w:sz w:val="22"/>
          <w:szCs w:val="22"/>
        </w:rPr>
        <w:t>back tests</w:t>
      </w:r>
      <w:r w:rsidRPr="00281CDE">
        <w:rPr>
          <w:rFonts w:ascii="Times New Roman" w:eastAsia="Times New Roman" w:hAnsi="Times New Roman" w:cs="Times New Roman"/>
          <w:sz w:val="22"/>
          <w:szCs w:val="22"/>
        </w:rPr>
        <w:t xml:space="preserve"> using different machine learning algorithms and factor combinations, the best-performing strategies consistently emerged from the same handful of algorithms—generalized boosted models, random forests, and certain support vector machine configurations. This consistency suggests underlying structural patterns in the sentiment-return relationship that specific algorithm families are particularly suited to capture, providing a form of implicit interpretability through algorithmic selection.</w:t>
      </w:r>
    </w:p>
    <w:p w14:paraId="066134F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 tension between model complexity and interpretability becomes particularly acute for regime detection. Deep learning approaches may </w:t>
      </w:r>
      <w:r w:rsidRPr="00281CDE">
        <w:rPr>
          <w:rFonts w:ascii="Times New Roman" w:eastAsia="Times New Roman" w:hAnsi="Times New Roman" w:cs="Times New Roman"/>
          <w:sz w:val="22"/>
          <w:szCs w:val="22"/>
        </w:rPr>
        <w:lastRenderedPageBreak/>
        <w:t>capture subtle interactions among patterns but obscure the economic mechanisms driving regime transitions. For our cross-asset sentiment regime detector, we prioritize interpretable indicators (sentiment divergence scores, connectedness metrics, regime probability estimates) that enable human oversight and intervention when model outputs conflict with domain expertise.</w:t>
      </w:r>
    </w:p>
    <w:p w14:paraId="5A39CFA8"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31" w:name="risk-management-integration"/>
      <w:bookmarkEnd w:id="30"/>
      <w:r w:rsidRPr="00281CDE">
        <w:rPr>
          <w:rFonts w:ascii="Times New Roman" w:eastAsia="Times New Roman" w:hAnsi="Times New Roman" w:cs="Times New Roman"/>
          <w:b/>
          <w:bCs/>
          <w:spacing w:val="5"/>
        </w:rPr>
        <w:t>2.4.6 Risk Management Integration</w:t>
      </w:r>
    </w:p>
    <w:p w14:paraId="76E0376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ultimate purpose of regime detection is improved risk management—protecting portfolios during adverse conditions while maintaining participation in favorable environments. Integrating sentiment signals into risk management frameworks requires understanding how sentiment dynamics relate to extreme market events.</w:t>
      </w:r>
    </w:p>
    <w:p w14:paraId="12BA15F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Shu et al. (2024) demonstrated that their statistical jump model approach specifically targeted downside risk reduction. The JM-guided strategy achieved volatility reductions of approximately 2-3 percentage points relative to buy-and-hold, with maximum drawdown improvements of 10-15 percentage points across the tested equity indices. The approach exhibited milder drawdowns during major stress periods and provided more robust protection against adverse market movements.</w:t>
      </w:r>
    </w:p>
    <w:p w14:paraId="07E8F9A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Cao et al. (2025) examined sentiment connectedness and stock price crash risk using network analysis of S&amp;P 500 stocks. They constructed sentiment spillover networks using nonlinear Granger causality and measured firm-level sentiment connectedness through multiple network centrality metrics (degree, closeness, betweenness, eigenvector centrality). Firms with higher sentiment connectedness exhibited higher crash risk because they both spread and receive irrational sentiment signals more intensely. Critically, sentiment connectedness proved a better predictor of crash risk than individual firm sentiment, particularly during market extremes. Stock return synchronicity amplified the sentiment-crash relationship, while accounting conservatism mitigated it.</w:t>
      </w:r>
    </w:p>
    <w:p w14:paraId="0FBE1E2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Nyakurukwa and Seetharam (2025) extended sentiment network analysis by using TVP-VAR frequency-connectedness across DJIA constituents. Their analysis decomposed sentiment connectedness into short-term (1-5 days), medium-term (5-20 days), and long-term (20+ days) components. Key findings included that sentiment shocks transmit predominantly in the short term, that negative news sentiment exhibits higher connectedness than positive sentiment (consistent with negativity bias in media coverage), and that sentiment connectedness peaks during globally significant events such as COVID-19. These temporal dynamics suggest that monitoring short-term changes in sentiment connectedness may provide an early warning of regime stress.</w:t>
      </w:r>
    </w:p>
    <w:p w14:paraId="0B96ED7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In our framework, these findings motivate including sentiment network metrics as indicators of regime transitions. Rapid increases in cross-asset sentiment connectedness may signal approaching regime instability, while divergence patterns (certain assets disconnecting from the sentiment network) may indicate rotation opportunities or pending contagion.</w:t>
      </w:r>
    </w:p>
    <w:p w14:paraId="3820FCBF"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32" w:name="adaptive-and-online-learning-approaches"/>
      <w:bookmarkEnd w:id="31"/>
      <w:r w:rsidRPr="00281CDE">
        <w:rPr>
          <w:rFonts w:ascii="Times New Roman" w:eastAsia="Times New Roman" w:hAnsi="Times New Roman" w:cs="Times New Roman"/>
          <w:b/>
          <w:bCs/>
          <w:spacing w:val="5"/>
        </w:rPr>
        <w:t>2.4.7 Adaptive and Online Learning Approaches</w:t>
      </w:r>
    </w:p>
    <w:p w14:paraId="648CF14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Financial markets exhibit non-stationarity—the statistical relationships between features and returns evolve over time, rendering static models obsolete. This phenomenon, known as concept drift in the machine learning literature, poses fundamental challenges for regime-detection systems that must maintain accuracy across multiple market cycles.</w:t>
      </w:r>
    </w:p>
    <w:p w14:paraId="0E11B62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Suárez-Cetrulo et al. (2023) emphasized that bridging the gap between data stream learning and financial regime research remains in its early stages. Their review identified several promising approaches for handling non-stationarity:</w:t>
      </w:r>
    </w:p>
    <w:p w14:paraId="5885727F" w14:textId="77777777" w:rsidR="00281CDE" w:rsidRPr="00281CDE" w:rsidRDefault="00281CDE" w:rsidP="00281CDE">
      <w:pPr>
        <w:wordWrap w:val="0"/>
        <w:spacing w:line="276" w:lineRule="auto"/>
        <w:ind w:left="720"/>
        <w:rPr>
          <w:rFonts w:ascii="Times New Roman" w:eastAsia="Times New Roman" w:hAnsi="Times New Roman" w:cs="Times New Roman"/>
          <w:i/>
          <w:sz w:val="22"/>
          <w:szCs w:val="22"/>
        </w:rPr>
      </w:pP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Evolving systems</w:t>
      </w:r>
      <w:r w:rsidRPr="00281CDE">
        <w:rPr>
          <w:rFonts w:ascii="Times New Roman" w:eastAsia="Times New Roman" w:hAnsi="Times New Roman" w:cs="Times New Roman"/>
          <w:sz w:val="22"/>
          <w:szCs w:val="22"/>
        </w:rPr>
        <w:t>: Models that continuously update parameters as new data arrives, maintaining responsiveness to changing market dynamics without requiring complete retraining.</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Ensemble methods</w:t>
      </w:r>
      <w:r w:rsidRPr="00281CDE">
        <w:rPr>
          <w:rFonts w:ascii="Times New Roman" w:eastAsia="Times New Roman" w:hAnsi="Times New Roman" w:cs="Times New Roman"/>
          <w:sz w:val="22"/>
          <w:szCs w:val="22"/>
        </w:rPr>
        <w:t>: Combining multiple learners with different training windows or architectural biases to provide robustness against any single approach becoming obsolete.</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Meta-learning</w:t>
      </w:r>
      <w:r w:rsidRPr="00281CDE">
        <w:rPr>
          <w:rFonts w:ascii="Times New Roman" w:eastAsia="Times New Roman" w:hAnsi="Times New Roman" w:cs="Times New Roman"/>
          <w:sz w:val="22"/>
          <w:szCs w:val="22"/>
        </w:rPr>
        <w:t>: Using unsupervised algorithms to detect concept recurrence and retrieve previously effective models, or to detect drift events triggering model updates.</w:t>
      </w:r>
      <w:r w:rsidRPr="00281CDE">
        <w:rPr>
          <w:rFonts w:ascii="Times New Roman" w:eastAsia="Times New Roman" w:hAnsi="Times New Roman" w:cs="Times New Roman"/>
          <w:i/>
          <w:sz w:val="22"/>
          <w:szCs w:val="22"/>
        </w:rPr>
        <w:br/>
      </w:r>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b/>
          <w:bCs/>
          <w:sz w:val="22"/>
          <w:szCs w:val="22"/>
        </w:rPr>
        <w:t>Online incremental algorithms</w:t>
      </w:r>
      <w:r w:rsidRPr="00281CDE">
        <w:rPr>
          <w:rFonts w:ascii="Times New Roman" w:eastAsia="Times New Roman" w:hAnsi="Times New Roman" w:cs="Times New Roman"/>
          <w:sz w:val="22"/>
          <w:szCs w:val="22"/>
        </w:rPr>
        <w:t>: Sequential learning approaches that process data point-by-point, avoiding the computational burden of batch retraining.</w:t>
      </w:r>
    </w:p>
    <w:p w14:paraId="12864FC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Shao et al. (2024) implemented time-varying coefficients within their HD-SURDLM framework, allowing sentiment-return relationships to evolve dynamically. Their use of improved Gibbs sampling with enhanced numerical stability enabled efficient sequential updating without model degradation over time. The approach demonstrated consistent outperformance across 7-year evaluation windows encompassing multiple market conditions.</w:t>
      </w:r>
    </w:p>
    <w:p w14:paraId="45B020E6" w14:textId="7A19F9A8"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For our sentiment-based regime detector, adaptability is essential </w:t>
      </w:r>
      <w:r w:rsidR="004468FF">
        <w:rPr>
          <w:rFonts w:ascii="Times New Roman" w:eastAsia="Times New Roman" w:hAnsi="Times New Roman" w:cs="Times New Roman"/>
          <w:sz w:val="22"/>
          <w:szCs w:val="22"/>
        </w:rPr>
        <w:t>because</w:t>
      </w:r>
      <w:r w:rsidRPr="00281CDE">
        <w:rPr>
          <w:rFonts w:ascii="Times New Roman" w:eastAsia="Times New Roman" w:hAnsi="Times New Roman" w:cs="Times New Roman"/>
          <w:sz w:val="22"/>
          <w:szCs w:val="22"/>
        </w:rPr>
        <w:t xml:space="preserve"> the relationship between sentiment and market regimes </w:t>
      </w:r>
      <w:r w:rsidR="004468FF">
        <w:rPr>
          <w:rFonts w:ascii="Times New Roman" w:eastAsia="Times New Roman" w:hAnsi="Times New Roman" w:cs="Times New Roman"/>
          <w:sz w:val="22"/>
          <w:szCs w:val="22"/>
        </w:rPr>
        <w:t>can</w:t>
      </w:r>
      <w:r w:rsidRPr="00281CDE">
        <w:rPr>
          <w:rFonts w:ascii="Times New Roman" w:eastAsia="Times New Roman" w:hAnsi="Times New Roman" w:cs="Times New Roman"/>
          <w:sz w:val="22"/>
          <w:szCs w:val="22"/>
        </w:rPr>
        <w:t xml:space="preserve"> </w:t>
      </w:r>
      <w:r w:rsidR="003868A7">
        <w:rPr>
          <w:rFonts w:ascii="Times New Roman" w:eastAsia="Times New Roman" w:hAnsi="Times New Roman" w:cs="Times New Roman"/>
          <w:sz w:val="22"/>
          <w:szCs w:val="22"/>
        </w:rPr>
        <w:t>vary</w:t>
      </w:r>
      <w:r w:rsidRPr="00281CDE">
        <w:rPr>
          <w:rFonts w:ascii="Times New Roman" w:eastAsia="Times New Roman" w:hAnsi="Times New Roman" w:cs="Times New Roman"/>
          <w:sz w:val="22"/>
          <w:szCs w:val="22"/>
        </w:rPr>
        <w:t xml:space="preserve"> </w:t>
      </w:r>
      <w:r w:rsidR="003868A7">
        <w:rPr>
          <w:rFonts w:ascii="Times New Roman" w:eastAsia="Times New Roman" w:hAnsi="Times New Roman" w:cs="Times New Roman"/>
          <w:sz w:val="22"/>
          <w:szCs w:val="22"/>
        </w:rPr>
        <w:t>across regimes</w:t>
      </w:r>
      <w:r w:rsidRPr="00281CDE">
        <w:rPr>
          <w:rFonts w:ascii="Times New Roman" w:eastAsia="Times New Roman" w:hAnsi="Times New Roman" w:cs="Times New Roman"/>
          <w:sz w:val="22"/>
          <w:szCs w:val="22"/>
        </w:rPr>
        <w:t>. During periods of high attention and liquidity (bull markets), sentiment may strongly predict subsequent movements; during crisis periods with forced selling and liquidity constraints, sentiment-</w:t>
      </w:r>
      <w:r w:rsidRPr="00281CDE">
        <w:rPr>
          <w:rFonts w:ascii="Times New Roman" w:eastAsia="Times New Roman" w:hAnsi="Times New Roman" w:cs="Times New Roman"/>
          <w:sz w:val="22"/>
          <w:szCs w:val="22"/>
        </w:rPr>
        <w:lastRenderedPageBreak/>
        <w:t>price relationships may temporarily decouple. Our design incorporates rolling window estimation and regime-specific model weighting to accommodate such structural variation.</w:t>
      </w:r>
    </w:p>
    <w:p w14:paraId="10EADE9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Research Gap Synthesis:</w:t>
      </w:r>
      <w:r w:rsidRPr="00281CDE">
        <w:rPr>
          <w:rFonts w:ascii="Times New Roman" w:eastAsia="Times New Roman" w:hAnsi="Times New Roman" w:cs="Times New Roman"/>
          <w:sz w:val="22"/>
          <w:szCs w:val="22"/>
        </w:rPr>
        <w:t xml:space="preserve"> Despite significant progress in both sentiment analysis and regime detection, no existing research has systematically integrated multi-source, cross-asset sentiment as a leading indicator for regime transitions. The reviewed literature establishes that: (1) sentiment signals lead price movements by measurable intervals; (2) machine learning can identify meaningful market regimes from complex signal combinations; (3) sentiment connectedness metrics correlate with crash risk and extreme market events; and (4) adaptive methods are necessary for sustained predictive accuracy. Our research fills this gap by constructing a unified sentiment aggregation framework across four asset classes (equities, cryptocurrency, forex, commodities), with the explicit goal of identifying systematic Risk-On/Risk-Off regime transitions before they manifest in traditional price-based indicators.</w:t>
      </w:r>
    </w:p>
    <w:p w14:paraId="1D6A01D4"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33" w:name="research-gaps-and-hypotheses"/>
      <w:bookmarkEnd w:id="23"/>
      <w:bookmarkEnd w:id="32"/>
      <w:r w:rsidRPr="00281CDE">
        <w:rPr>
          <w:rFonts w:ascii="Times New Roman" w:eastAsia="Times New Roman" w:hAnsi="Times New Roman" w:cs="Times New Roman"/>
          <w:i/>
          <w:iCs/>
          <w:smallCaps/>
          <w:spacing w:val="5"/>
          <w:sz w:val="26"/>
          <w:szCs w:val="26"/>
        </w:rPr>
        <w:t>2.5 Research Gaps and Hypotheses</w:t>
      </w:r>
    </w:p>
    <w:p w14:paraId="06D4D39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preceding literature review reveals several critical gaps that motivate our research design. First, while sentiment analysis has achieved strong performance for individual asset classes, no framework systematically aggregates sentiment across equities, cryptocurrency, forex, and commodities to detect portfolio-level regime transitions. Second, despite evidence that sentiment signals lead price movements by 1-6 days, this lead time has not been exploited for regime-level early warning systems. Third, network-based approaches have demonstrated the importance of sentiment connectedness, but cross-asset sentiment networks remain unexplored. Fourth, the practical integration of multi-source sentiment (social media, news, and financial reports) with regime detection algorithms has not been attempted.</w:t>
      </w:r>
    </w:p>
    <w:p w14:paraId="2DC737AE"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34" w:name="the-synthesis-gap"/>
      <w:r w:rsidRPr="00281CDE">
        <w:rPr>
          <w:rFonts w:ascii="Times New Roman" w:eastAsia="Times New Roman" w:hAnsi="Times New Roman" w:cs="Times New Roman"/>
          <w:b/>
          <w:bCs/>
          <w:spacing w:val="5"/>
        </w:rPr>
        <w:t>2.5.1 The Synthesis Gap</w:t>
      </w:r>
    </w:p>
    <w:p w14:paraId="4EAFDB89" w14:textId="01822D8C"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Despite significant progress in both financial NLP and econometric modeling, a critical methodological gap remains at the intersection of generative sentiment analysis and regime detection. While </w:t>
      </w:r>
      <w:r w:rsidRPr="00281CDE">
        <w:rPr>
          <w:rFonts w:ascii="Times New Roman" w:eastAsia="Times New Roman" w:hAnsi="Times New Roman" w:cs="Times New Roman"/>
          <w:b/>
          <w:bCs/>
          <w:sz w:val="22"/>
          <w:szCs w:val="22"/>
        </w:rPr>
        <w:t>Konstantinidis et al. (2024)</w:t>
      </w:r>
      <w:r w:rsidRPr="00281CDE">
        <w:rPr>
          <w:rFonts w:ascii="Times New Roman" w:eastAsia="Times New Roman" w:hAnsi="Times New Roman" w:cs="Times New Roman"/>
          <w:sz w:val="22"/>
          <w:szCs w:val="22"/>
        </w:rPr>
        <w:t xml:space="preserve"> successfully established </w:t>
      </w:r>
      <w:r w:rsidRPr="00281CDE">
        <w:rPr>
          <w:rFonts w:ascii="Times New Roman" w:eastAsia="Times New Roman" w:hAnsi="Times New Roman" w:cs="Times New Roman"/>
          <w:b/>
          <w:bCs/>
          <w:sz w:val="22"/>
          <w:szCs w:val="22"/>
        </w:rPr>
        <w:t>FinLlama</w:t>
      </w:r>
      <w:r w:rsidRPr="00281CDE">
        <w:rPr>
          <w:rFonts w:ascii="Times New Roman" w:eastAsia="Times New Roman" w:hAnsi="Times New Roman" w:cs="Times New Roman"/>
          <w:sz w:val="22"/>
          <w:szCs w:val="22"/>
        </w:rPr>
        <w:t xml:space="preserve"> as a superior sentiment classifier for algorithmic trading—demonstrating a 44.7% return improvement over FinBERT—their application was limited to standard portfolio construction </w:t>
      </w:r>
      <w:r w:rsidR="004468FF" w:rsidRPr="00281CDE">
        <w:rPr>
          <w:rFonts w:ascii="Times New Roman" w:eastAsia="Times New Roman" w:hAnsi="Times New Roman" w:cs="Times New Roman"/>
          <w:sz w:val="22"/>
          <w:szCs w:val="22"/>
        </w:rPr>
        <w:t>rules and</w:t>
      </w:r>
      <w:r w:rsidR="004468FF">
        <w:rPr>
          <w:rFonts w:ascii="Times New Roman" w:eastAsia="Times New Roman" w:hAnsi="Times New Roman" w:cs="Times New Roman"/>
          <w:sz w:val="22"/>
          <w:szCs w:val="22"/>
        </w:rPr>
        <w:t xml:space="preserve"> neglected</w:t>
      </w:r>
      <w:r w:rsidRPr="00281CDE">
        <w:rPr>
          <w:rFonts w:ascii="Times New Roman" w:eastAsia="Times New Roman" w:hAnsi="Times New Roman" w:cs="Times New Roman"/>
          <w:sz w:val="22"/>
          <w:szCs w:val="22"/>
        </w:rPr>
        <w:t xml:space="preserve"> to identify structural market regimes. Conversely, </w:t>
      </w:r>
      <w:r w:rsidRPr="00281CDE">
        <w:rPr>
          <w:rFonts w:ascii="Times New Roman" w:eastAsia="Times New Roman" w:hAnsi="Times New Roman" w:cs="Times New Roman"/>
          <w:b/>
          <w:bCs/>
          <w:sz w:val="22"/>
          <w:szCs w:val="22"/>
        </w:rPr>
        <w:t>Shu et al. (2024)</w:t>
      </w:r>
      <w:r w:rsidRPr="00281CDE">
        <w:rPr>
          <w:rFonts w:ascii="Times New Roman" w:eastAsia="Times New Roman" w:hAnsi="Times New Roman" w:cs="Times New Roman"/>
          <w:sz w:val="22"/>
          <w:szCs w:val="22"/>
        </w:rPr>
        <w:t xml:space="preserve"> validated </w:t>
      </w:r>
      <w:r w:rsidRPr="00281CDE">
        <w:rPr>
          <w:rFonts w:ascii="Times New Roman" w:eastAsia="Times New Roman" w:hAnsi="Times New Roman" w:cs="Times New Roman"/>
          <w:b/>
          <w:bCs/>
          <w:sz w:val="22"/>
          <w:szCs w:val="22"/>
        </w:rPr>
        <w:t>Statistical Jump Models (JMs)</w:t>
      </w:r>
      <w:r w:rsidRPr="00281CDE">
        <w:rPr>
          <w:rFonts w:ascii="Times New Roman" w:eastAsia="Times New Roman" w:hAnsi="Times New Roman" w:cs="Times New Roman"/>
          <w:sz w:val="22"/>
          <w:szCs w:val="22"/>
        </w:rPr>
        <w:t xml:space="preserve"> as a robust alternative to Hidden Markov Models, proving that jump penalties significantly reduce “whipsaw” signals and downside risk. However, their implementation </w:t>
      </w:r>
      <w:r w:rsidRPr="00281CDE">
        <w:rPr>
          <w:rFonts w:ascii="Times New Roman" w:eastAsia="Times New Roman" w:hAnsi="Times New Roman" w:cs="Times New Roman"/>
          <w:sz w:val="22"/>
          <w:szCs w:val="22"/>
        </w:rPr>
        <w:lastRenderedPageBreak/>
        <w:t>relied exclusively on endogenous price features (returns and volatility), ignoring the predictive power of exogenous sentiment signals.</w:t>
      </w:r>
    </w:p>
    <w:p w14:paraId="4B8601F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Furthermore, while recent studies such as </w:t>
      </w:r>
      <w:r w:rsidRPr="00281CDE">
        <w:rPr>
          <w:rFonts w:ascii="Times New Roman" w:eastAsia="Times New Roman" w:hAnsi="Times New Roman" w:cs="Times New Roman"/>
          <w:b/>
          <w:bCs/>
          <w:sz w:val="22"/>
          <w:szCs w:val="22"/>
        </w:rPr>
        <w:t>Yang et al. (2025)</w:t>
      </w:r>
      <w:r w:rsidRPr="00281CDE">
        <w:rPr>
          <w:rFonts w:ascii="Times New Roman" w:eastAsia="Times New Roman" w:hAnsi="Times New Roman" w:cs="Times New Roman"/>
          <w:sz w:val="22"/>
          <w:szCs w:val="22"/>
        </w:rPr>
        <w:t xml:space="preserve"> have applied LLMs to cross-asset monitoring, and </w:t>
      </w:r>
      <w:r w:rsidRPr="00281CDE">
        <w:rPr>
          <w:rFonts w:ascii="Times New Roman" w:eastAsia="Times New Roman" w:hAnsi="Times New Roman" w:cs="Times New Roman"/>
          <w:b/>
          <w:bCs/>
          <w:sz w:val="22"/>
          <w:szCs w:val="22"/>
        </w:rPr>
        <w:t>Shi (2025)</w:t>
      </w:r>
      <w:r w:rsidRPr="00281CDE">
        <w:rPr>
          <w:rFonts w:ascii="Times New Roman" w:eastAsia="Times New Roman" w:hAnsi="Times New Roman" w:cs="Times New Roman"/>
          <w:sz w:val="22"/>
          <w:szCs w:val="22"/>
        </w:rPr>
        <w:t xml:space="preserve"> has applied GARCH-MIDAS to sentiment, no existing research has integrated FinLlama's semantic depth directly into the persistence-enforcing framework of </w:t>
      </w:r>
      <w:r w:rsidRPr="00281CDE">
        <w:rPr>
          <w:rFonts w:ascii="Times New Roman" w:eastAsia="Times New Roman" w:hAnsi="Times New Roman" w:cs="Times New Roman"/>
          <w:b/>
          <w:bCs/>
          <w:sz w:val="22"/>
          <w:szCs w:val="22"/>
        </w:rPr>
        <w:t>Statistical Jump Models</w:t>
      </w:r>
      <w:r w:rsidRPr="00281CDE">
        <w:rPr>
          <w:rFonts w:ascii="Times New Roman" w:eastAsia="Times New Roman" w:hAnsi="Times New Roman" w:cs="Times New Roman"/>
          <w:sz w:val="22"/>
          <w:szCs w:val="22"/>
        </w:rPr>
        <w:t xml:space="preserve"> for a </w:t>
      </w:r>
      <w:r w:rsidRPr="00281CDE">
        <w:rPr>
          <w:rFonts w:ascii="Times New Roman" w:eastAsia="Times New Roman" w:hAnsi="Times New Roman" w:cs="Times New Roman"/>
          <w:b/>
          <w:bCs/>
          <w:sz w:val="22"/>
          <w:szCs w:val="22"/>
        </w:rPr>
        <w:t>cross-asset</w:t>
      </w:r>
      <w:r w:rsidRPr="00281CDE">
        <w:rPr>
          <w:rFonts w:ascii="Times New Roman" w:eastAsia="Times New Roman" w:hAnsi="Times New Roman" w:cs="Times New Roman"/>
          <w:sz w:val="22"/>
          <w:szCs w:val="22"/>
        </w:rPr>
        <w:t xml:space="preserve"> universe. This research addresses this gap by constructing the first </w:t>
      </w:r>
      <w:r w:rsidRPr="00281CDE">
        <w:rPr>
          <w:rFonts w:ascii="Times New Roman" w:eastAsia="Times New Roman" w:hAnsi="Times New Roman" w:cs="Times New Roman"/>
          <w:b/>
          <w:bCs/>
          <w:sz w:val="22"/>
          <w:szCs w:val="22"/>
        </w:rPr>
        <w:t>Two-Layer Sentiment Regime Detector</w:t>
      </w:r>
      <w:r w:rsidRPr="00281CDE">
        <w:rPr>
          <w:rFonts w:ascii="Times New Roman" w:eastAsia="Times New Roman" w:hAnsi="Times New Roman" w:cs="Times New Roman"/>
          <w:sz w:val="22"/>
          <w:szCs w:val="22"/>
        </w:rPr>
        <w:t xml:space="preserve"> that identifies leading indicators of structural breaks by synthesizing generative AI sentiment with econometric jump penalties across Equities, Crypto, Forex, and Commodities.</w:t>
      </w:r>
    </w:p>
    <w:p w14:paraId="6F074456"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35" w:name="research-hypotheses"/>
      <w:bookmarkEnd w:id="34"/>
      <w:r w:rsidRPr="00281CDE">
        <w:rPr>
          <w:rFonts w:ascii="Times New Roman" w:eastAsia="Times New Roman" w:hAnsi="Times New Roman" w:cs="Times New Roman"/>
          <w:b/>
          <w:bCs/>
          <w:spacing w:val="5"/>
        </w:rPr>
        <w:t>2.5.2 Research Hypotheses</w:t>
      </w:r>
    </w:p>
    <w:p w14:paraId="04D599F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Based on the literature review, we hypothesize:</w:t>
      </w:r>
    </w:p>
    <w:p w14:paraId="11817DC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H1 (Leading Indicator Hypothesis):</w:t>
      </w:r>
      <w:r w:rsidRPr="00281CDE">
        <w:rPr>
          <w:rFonts w:ascii="Times New Roman" w:eastAsia="Times New Roman" w:hAnsi="Times New Roman" w:cs="Times New Roman"/>
          <w:sz w:val="22"/>
          <w:szCs w:val="22"/>
        </w:rPr>
        <w:t xml:space="preserve"> Cross-asset sentiment aggregation serves as a leading indicator of market regime shifts, preceding VIX-based regime detection by 1-5 trading days. This hypothesis is grounded in findings from Bollen et al. (2011), showing a 2-6 day predictive lead time with 86.7% accuracy; Caferra (2022), demonstrating sentiment-mediated cross-market connections; and Trushkovskyi (2025), confirming Granger causality between sentiment and returns.</w:t>
      </w:r>
    </w:p>
    <w:p w14:paraId="2FC28F8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H2 (Divergence Signal Hypothesis):</w:t>
      </w:r>
      <w:r w:rsidRPr="00281CDE">
        <w:rPr>
          <w:rFonts w:ascii="Times New Roman" w:eastAsia="Times New Roman" w:hAnsi="Times New Roman" w:cs="Times New Roman"/>
          <w:sz w:val="22"/>
          <w:szCs w:val="22"/>
        </w:rPr>
        <w:t xml:space="preserve"> Sentiment divergence across asset classes (e.g., equities bullish while crypto bearish) signals an impending transition between Risk-On and Risk-Off regimes. Caferra (2022) found that sentiment connectedness successfully identifies market linkages, suggesting that disconnection or divergence may indicate regime instability. Wang et al. (2024) demonstrated asymmetric cross-asset momentum transmission supporting this mechanism.</w:t>
      </w:r>
    </w:p>
    <w:p w14:paraId="5609519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H3 (Network Effect Hypothesis):</w:t>
      </w:r>
      <w:r w:rsidRPr="00281CDE">
        <w:rPr>
          <w:rFonts w:ascii="Times New Roman" w:eastAsia="Times New Roman" w:hAnsi="Times New Roman" w:cs="Times New Roman"/>
          <w:sz w:val="22"/>
          <w:szCs w:val="22"/>
        </w:rPr>
        <w:t xml:space="preserve"> Sentiment connectedness intensity (measured via network centrality metrics similar to those of Cao et al., 2025) will correlate with regime transition probability, with high connectedness during stable regimes and rapid disconnection preceding transitions. Sibande et al. (2021) found regime-specific sentiment effects in currency markets, supporting state-dependent sentiment dynamics.</w:t>
      </w:r>
    </w:p>
    <w:p w14:paraId="3E8CBB8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H4 (Ensemble Superiority Hypothesis):</w:t>
      </w:r>
      <w:r w:rsidRPr="00281CDE">
        <w:rPr>
          <w:rFonts w:ascii="Times New Roman" w:eastAsia="Times New Roman" w:hAnsi="Times New Roman" w:cs="Times New Roman"/>
          <w:sz w:val="22"/>
          <w:szCs w:val="22"/>
        </w:rPr>
        <w:t xml:space="preserve"> Ensemble transformer models (FinBERT + RoBERTa) will outperform single-model approaches for sentiment classification across heterogeneous data sources, based on Mishev et al. (2020) findings that different models excel on different source types and Roumeliotis et al. (2024) demonstrating that domain-specific models achieve near-parity with LLMs at lower cost.</w:t>
      </w:r>
    </w:p>
    <w:p w14:paraId="38029BBC"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bookmarkStart w:id="36" w:name="methods"/>
      <w:bookmarkEnd w:id="3"/>
      <w:bookmarkEnd w:id="33"/>
      <w:bookmarkEnd w:id="35"/>
      <w:r w:rsidRPr="00281CDE">
        <w:rPr>
          <w:rFonts w:ascii="Times New Roman" w:eastAsia="Times New Roman" w:hAnsi="Times New Roman" w:cs="Times New Roman"/>
          <w:smallCaps/>
          <w:sz w:val="28"/>
          <w:szCs w:val="28"/>
        </w:rPr>
        <w:lastRenderedPageBreak/>
        <w:t>3. Methods</w:t>
      </w:r>
    </w:p>
    <w:p w14:paraId="571D3A89"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37" w:name="X9d4ca1a6bfbab49d6af31a164142feab662bfba"/>
      <w:r w:rsidRPr="00281CDE">
        <w:rPr>
          <w:rFonts w:ascii="Times New Roman" w:eastAsia="Times New Roman" w:hAnsi="Times New Roman" w:cs="Times New Roman"/>
          <w:i/>
          <w:iCs/>
          <w:smallCaps/>
          <w:spacing w:val="5"/>
          <w:sz w:val="26"/>
          <w:szCs w:val="26"/>
        </w:rPr>
        <w:t>3.1 Data Quality and Preprocessing Considerations</w:t>
      </w:r>
    </w:p>
    <w:p w14:paraId="175B7F4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Financial text data from social media and news sources presents unique preprocessing challenges that impact sentiment analysis accuracy. Unlike formal financial documents, social media content often contains noise, sarcasm, slang, and bot-generated content, which can distort sentiment signals. Kraaijeveld and De Smedt (2020) documented that 1-14% of cryptocurrency-related tweets originate from bot accounts, highlighting data quality concerns specific to social media sentiment analysis.</w:t>
      </w:r>
    </w:p>
    <w:p w14:paraId="2C2F652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Entity Recognition and Asset Classification:</w:t>
      </w:r>
      <w:r w:rsidRPr="00281CDE">
        <w:rPr>
          <w:rFonts w:ascii="Times New Roman" w:eastAsia="Times New Roman" w:hAnsi="Times New Roman" w:cs="Times New Roman"/>
          <w:sz w:val="22"/>
          <w:szCs w:val="22"/>
        </w:rPr>
        <w:t xml:space="preserve"> Accurately linking sentiment to specific asset classes requires robust entity recognition. Financial NER differs from general NER due to domain-specific entities (e.g., ticker symbols, ISIN codes, currency pairs), ambiguity (e.g., AAPL refers to Apple stock, not the fruit), and context dependence, in which the same entity may carry different sentiment implications across asset classes.</w:t>
      </w:r>
    </w:p>
    <w:p w14:paraId="3149054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Multi-Source Data Integration:</w:t>
      </w:r>
      <w:r w:rsidRPr="00281CDE">
        <w:rPr>
          <w:rFonts w:ascii="Times New Roman" w:eastAsia="Times New Roman" w:hAnsi="Times New Roman" w:cs="Times New Roman"/>
          <w:sz w:val="22"/>
          <w:szCs w:val="22"/>
        </w:rPr>
        <w:t xml:space="preserve"> Integrating sentiment from heterogeneous sources (Reddit, Twitter, financial news) requires careful consideration of source reliability, temporal resolution, and weighting schemes. Mishev et al. (2020) noted that sentiment model performance varies significantly across data sources, with models trained on news performing differently from those trained on social media. This suggests the need for source-specific model ensembles or adaptive weighting mechanisms.</w:t>
      </w:r>
    </w:p>
    <w:p w14:paraId="595D3D4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Temporal Aggregation:</w:t>
      </w:r>
      <w:r w:rsidRPr="00281CDE">
        <w:rPr>
          <w:rFonts w:ascii="Times New Roman" w:eastAsia="Times New Roman" w:hAnsi="Times New Roman" w:cs="Times New Roman"/>
          <w:sz w:val="22"/>
          <w:szCs w:val="22"/>
        </w:rPr>
        <w:t xml:space="preserve"> Sentiment must be aggregated over appropriate time windows to construct meaningful indices. Daily or weekly aggregation smooths noise while preserving signal, but the optimal window size may vary by asset class based on trading volume and information velocity. High-frequency crypto markets may require shorter windows than traditional equity markets.</w:t>
      </w:r>
    </w:p>
    <w:p w14:paraId="6904B29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38" w:name="data-collection"/>
      <w:bookmarkEnd w:id="37"/>
      <w:r w:rsidRPr="00281CDE">
        <w:rPr>
          <w:rFonts w:ascii="Times New Roman" w:eastAsia="Times New Roman" w:hAnsi="Times New Roman" w:cs="Times New Roman"/>
          <w:i/>
          <w:iCs/>
          <w:smallCaps/>
          <w:spacing w:val="5"/>
          <w:sz w:val="26"/>
          <w:szCs w:val="26"/>
        </w:rPr>
        <w:t>3.2 Data Collection</w:t>
      </w:r>
    </w:p>
    <w:p w14:paraId="744551D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 Sources:</w:t>
      </w:r>
      <w:r w:rsidRPr="00281CDE">
        <w:rPr>
          <w:rFonts w:ascii="Times New Roman" w:eastAsia="Times New Roman" w:hAnsi="Times New Roman" w:cs="Times New Roman"/>
          <w:sz w:val="22"/>
          <w:szCs w:val="22"/>
        </w:rPr>
        <w:t xml:space="preserve"> We collect historical text data (2016-present) from three primary sources:</w:t>
      </w:r>
    </w:p>
    <w:p w14:paraId="22612A94"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Reddit</w:t>
      </w:r>
      <w:r w:rsidRPr="00281CDE">
        <w:rPr>
          <w:rFonts w:ascii="Times New Roman" w:eastAsia="Times New Roman" w:hAnsi="Times New Roman" w:cs="Times New Roman"/>
          <w:sz w:val="22"/>
          <w:szCs w:val="22"/>
        </w:rPr>
        <w:t xml:space="preserve"> (via Pushshift/PRAW API):</w:t>
      </w:r>
    </w:p>
    <w:p w14:paraId="04AB2D49"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Subreddits</w:t>
      </w:r>
      <w:r w:rsidRPr="00281CDE">
        <w:rPr>
          <w:rFonts w:ascii="Times New Roman" w:eastAsia="Times New Roman" w:hAnsi="Times New Roman" w:cs="Times New Roman"/>
          <w:sz w:val="22"/>
          <w:szCs w:val="22"/>
        </w:rPr>
        <w:t>: r/wallstreetbets, r/investing, r/stocks, r/cryptocurrency, r/forex</w:t>
      </w:r>
    </w:p>
    <w:p w14:paraId="35F501DE"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Timeframe</w:t>
      </w:r>
      <w:r w:rsidRPr="00281CDE">
        <w:rPr>
          <w:rFonts w:ascii="Times New Roman" w:eastAsia="Times New Roman" w:hAnsi="Times New Roman" w:cs="Times New Roman"/>
          <w:sz w:val="22"/>
          <w:szCs w:val="22"/>
        </w:rPr>
        <w:t>: 2016-01-01 to present</w:t>
      </w:r>
    </w:p>
    <w:p w14:paraId="13556BE8"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Fields</w:t>
      </w:r>
      <w:r w:rsidRPr="00281CDE">
        <w:rPr>
          <w:rFonts w:ascii="Times New Roman" w:eastAsia="Times New Roman" w:hAnsi="Times New Roman" w:cs="Times New Roman"/>
          <w:sz w:val="22"/>
          <w:szCs w:val="22"/>
        </w:rPr>
        <w:t>: Post/comment text, timestamps, scores, author</w:t>
      </w:r>
    </w:p>
    <w:p w14:paraId="4F1956FB"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Twitter</w:t>
      </w:r>
      <w:r w:rsidRPr="00281CDE">
        <w:rPr>
          <w:rFonts w:ascii="Times New Roman" w:eastAsia="Times New Roman" w:hAnsi="Times New Roman" w:cs="Times New Roman"/>
          <w:sz w:val="22"/>
          <w:szCs w:val="22"/>
        </w:rPr>
        <w:t xml:space="preserve"> (via Twitter Academic API or Apify):</w:t>
      </w:r>
    </w:p>
    <w:p w14:paraId="1A2AC1C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Keywords</w:t>
      </w:r>
      <w:r w:rsidRPr="00281CDE">
        <w:rPr>
          <w:rFonts w:ascii="Times New Roman" w:eastAsia="Times New Roman" w:hAnsi="Times New Roman" w:cs="Times New Roman"/>
          <w:sz w:val="22"/>
          <w:szCs w:val="22"/>
        </w:rPr>
        <w:t>: $[ticker], #stocks, #crypto, #forex, #commodities, #trading</w:t>
      </w:r>
    </w:p>
    <w:p w14:paraId="755822DD"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Influencer accounts</w:t>
      </w:r>
      <w:r w:rsidRPr="00281CDE">
        <w:rPr>
          <w:rFonts w:ascii="Times New Roman" w:eastAsia="Times New Roman" w:hAnsi="Times New Roman" w:cs="Times New Roman"/>
          <w:sz w:val="22"/>
          <w:szCs w:val="22"/>
        </w:rPr>
        <w:t>: @DeItaone, @Fxhedgers, @zerohedge, @sentimentrader</w:t>
      </w:r>
    </w:p>
    <w:p w14:paraId="513E6DFF"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Timeframe</w:t>
      </w:r>
      <w:r w:rsidRPr="00281CDE">
        <w:rPr>
          <w:rFonts w:ascii="Times New Roman" w:eastAsia="Times New Roman" w:hAnsi="Times New Roman" w:cs="Times New Roman"/>
          <w:sz w:val="22"/>
          <w:szCs w:val="22"/>
        </w:rPr>
        <w:t>: 2016-01-01 to present</w:t>
      </w:r>
    </w:p>
    <w:p w14:paraId="630EB74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Fields</w:t>
      </w:r>
      <w:r w:rsidRPr="00281CDE">
        <w:rPr>
          <w:rFonts w:ascii="Times New Roman" w:eastAsia="Times New Roman" w:hAnsi="Times New Roman" w:cs="Times New Roman"/>
          <w:sz w:val="22"/>
          <w:szCs w:val="22"/>
        </w:rPr>
        <w:t>: Tweet text, timestamps, engagement metrics</w:t>
      </w:r>
    </w:p>
    <w:p w14:paraId="46996732"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Financial News</w:t>
      </w:r>
      <w:r w:rsidRPr="00281CDE">
        <w:rPr>
          <w:rFonts w:ascii="Times New Roman" w:eastAsia="Times New Roman" w:hAnsi="Times New Roman" w:cs="Times New Roman"/>
          <w:sz w:val="22"/>
          <w:szCs w:val="22"/>
        </w:rPr>
        <w:t xml:space="preserve"> (via NewsAPI or scraping):</w:t>
      </w:r>
    </w:p>
    <w:p w14:paraId="0618CB8C"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Sources</w:t>
      </w:r>
      <w:r w:rsidRPr="00281CDE">
        <w:rPr>
          <w:rFonts w:ascii="Times New Roman" w:eastAsia="Times New Roman" w:hAnsi="Times New Roman" w:cs="Times New Roman"/>
          <w:sz w:val="22"/>
          <w:szCs w:val="22"/>
        </w:rPr>
        <w:t>: Bloomberg, Reuters, Financial Times, WSJ</w:t>
      </w:r>
    </w:p>
    <w:p w14:paraId="0045804C"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Categories</w:t>
      </w:r>
      <w:r w:rsidRPr="00281CDE">
        <w:rPr>
          <w:rFonts w:ascii="Times New Roman" w:eastAsia="Times New Roman" w:hAnsi="Times New Roman" w:cs="Times New Roman"/>
          <w:sz w:val="22"/>
          <w:szCs w:val="22"/>
        </w:rPr>
        <w:t>: Markets, Economy, Commodities, Crypto</w:t>
      </w:r>
    </w:p>
    <w:p w14:paraId="05578D3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893643">
        <w:rPr>
          <w:rFonts w:ascii="Times New Roman" w:eastAsia="Times New Roman" w:hAnsi="Times New Roman" w:cs="Times New Roman"/>
          <w:b/>
          <w:bCs/>
          <w:sz w:val="22"/>
          <w:szCs w:val="22"/>
        </w:rPr>
        <w:t>Timeframe</w:t>
      </w:r>
      <w:r w:rsidRPr="00281CDE">
        <w:rPr>
          <w:rFonts w:ascii="Times New Roman" w:eastAsia="Times New Roman" w:hAnsi="Times New Roman" w:cs="Times New Roman"/>
          <w:sz w:val="22"/>
          <w:szCs w:val="22"/>
        </w:rPr>
        <w:t>: 2016-01-01 to present</w:t>
      </w:r>
    </w:p>
    <w:p w14:paraId="0AD089B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Target Dataset Size:</w:t>
      </w:r>
      <w:r w:rsidRPr="00281CDE">
        <w:rPr>
          <w:rFonts w:ascii="Times New Roman" w:eastAsia="Times New Roman" w:hAnsi="Times New Roman" w:cs="Times New Roman"/>
          <w:sz w:val="22"/>
          <w:szCs w:val="22"/>
        </w:rPr>
        <w:t xml:space="preserve"> ~5-10 million text samples across all sources</w:t>
      </w:r>
    </w:p>
    <w:p w14:paraId="7D40DFF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Supplementary Data:</w:t>
      </w:r>
    </w:p>
    <w:p w14:paraId="3CDC6177" w14:textId="77777777" w:rsidR="00281CDE" w:rsidRPr="00CE7893" w:rsidRDefault="00281CDE" w:rsidP="00CE7893">
      <w:pPr>
        <w:wordWrap w:val="0"/>
        <w:spacing w:line="276" w:lineRule="auto"/>
        <w:ind w:left="720"/>
        <w:rPr>
          <w:rFonts w:ascii="Times New Roman" w:eastAsia="Times New Roman" w:hAnsi="Times New Roman" w:cs="Times New Roman"/>
          <w:i/>
          <w:sz w:val="22"/>
          <w:szCs w:val="22"/>
        </w:rPr>
      </w:pPr>
      <w:r w:rsidRPr="00281CDE">
        <w:rPr>
          <w:rFonts w:ascii="Consolas" w:eastAsia="Times New Roman" w:hAnsi="Consolas" w:cs="Times New Roman"/>
          <w:sz w:val="22"/>
          <w:szCs w:val="22"/>
        </w:rPr>
        <w:t xml:space="preserve"> </w:t>
      </w:r>
      <w:r w:rsidRPr="00CE7893">
        <w:rPr>
          <w:rFonts w:ascii="Times New Roman" w:eastAsia="Times New Roman" w:hAnsi="Times New Roman" w:cs="Times New Roman"/>
          <w:sz w:val="22"/>
          <w:szCs w:val="22"/>
        </w:rPr>
        <w:t xml:space="preserve">- </w:t>
      </w:r>
      <w:r w:rsidRPr="00893643">
        <w:rPr>
          <w:rFonts w:ascii="Times New Roman" w:eastAsia="Times New Roman" w:hAnsi="Times New Roman" w:cs="Times New Roman"/>
          <w:b/>
          <w:bCs/>
          <w:sz w:val="22"/>
          <w:szCs w:val="22"/>
        </w:rPr>
        <w:t>Price Data</w:t>
      </w:r>
      <w:r w:rsidRPr="00CE7893">
        <w:rPr>
          <w:rFonts w:ascii="Times New Roman" w:eastAsia="Times New Roman" w:hAnsi="Times New Roman" w:cs="Times New Roman"/>
          <w:sz w:val="22"/>
          <w:szCs w:val="22"/>
        </w:rPr>
        <w:t>: Historical OHLCV for major indices (SPY, QQQ), crypto (BTC, ETH), forex (EUR/USD), commodities (GLD, USO) via yfinance or Alpha Vantage</w:t>
      </w:r>
      <w:r w:rsidRPr="00CE7893">
        <w:rPr>
          <w:rFonts w:ascii="Times New Roman" w:eastAsia="Times New Roman" w:hAnsi="Times New Roman" w:cs="Times New Roman"/>
          <w:i/>
          <w:sz w:val="22"/>
          <w:szCs w:val="22"/>
        </w:rPr>
        <w:br/>
      </w:r>
      <w:r w:rsidRPr="00CE7893">
        <w:rPr>
          <w:rFonts w:ascii="Times New Roman" w:eastAsia="Times New Roman" w:hAnsi="Times New Roman" w:cs="Times New Roman"/>
          <w:sz w:val="22"/>
          <w:szCs w:val="22"/>
        </w:rPr>
        <w:t xml:space="preserve"> - </w:t>
      </w:r>
      <w:r w:rsidRPr="00893643">
        <w:rPr>
          <w:rFonts w:ascii="Times New Roman" w:eastAsia="Times New Roman" w:hAnsi="Times New Roman" w:cs="Times New Roman"/>
          <w:b/>
          <w:bCs/>
          <w:sz w:val="22"/>
          <w:szCs w:val="22"/>
        </w:rPr>
        <w:t>VIX Data</w:t>
      </w:r>
      <w:r w:rsidRPr="00CE7893">
        <w:rPr>
          <w:rFonts w:ascii="Times New Roman" w:eastAsia="Times New Roman" w:hAnsi="Times New Roman" w:cs="Times New Roman"/>
          <w:sz w:val="22"/>
          <w:szCs w:val="22"/>
        </w:rPr>
        <w:t>: Volatility index for validation/labeling</w:t>
      </w:r>
    </w:p>
    <w:p w14:paraId="6D93DA16"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39" w:name="text-preprocessing-pipeline"/>
      <w:bookmarkEnd w:id="38"/>
      <w:r w:rsidRPr="00281CDE">
        <w:rPr>
          <w:rFonts w:ascii="Times New Roman" w:eastAsia="Times New Roman" w:hAnsi="Times New Roman" w:cs="Times New Roman"/>
          <w:i/>
          <w:iCs/>
          <w:smallCaps/>
          <w:spacing w:val="5"/>
          <w:sz w:val="26"/>
          <w:szCs w:val="26"/>
        </w:rPr>
        <w:t>3.3 Text Preprocessing Pipeline</w:t>
      </w:r>
    </w:p>
    <w:p w14:paraId="5C225F3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Text Cleaning:</w:t>
      </w:r>
    </w:p>
    <w:p w14:paraId="2DACEB40" w14:textId="77777777" w:rsidR="00281CDE" w:rsidRPr="00CE7893" w:rsidRDefault="00281CDE" w:rsidP="00CE7893">
      <w:pPr>
        <w:wordWrap w:val="0"/>
        <w:spacing w:line="276" w:lineRule="auto"/>
        <w:ind w:left="720"/>
        <w:rPr>
          <w:rFonts w:ascii="Times New Roman" w:eastAsia="Times New Roman" w:hAnsi="Times New Roman" w:cs="Times New Roman"/>
          <w:i/>
          <w:sz w:val="22"/>
          <w:szCs w:val="22"/>
        </w:rPr>
      </w:pPr>
      <w:r w:rsidRPr="00CE7893">
        <w:rPr>
          <w:rFonts w:ascii="Times New Roman" w:eastAsia="Times New Roman" w:hAnsi="Times New Roman" w:cs="Times New Roman"/>
          <w:sz w:val="22"/>
          <w:szCs w:val="22"/>
        </w:rPr>
        <w:t xml:space="preserve"> 1. Tokenization (spaCy or NLTK)</w:t>
      </w:r>
      <w:r w:rsidRPr="00CE7893">
        <w:rPr>
          <w:rFonts w:ascii="Times New Roman" w:eastAsia="Times New Roman" w:hAnsi="Times New Roman" w:cs="Times New Roman"/>
          <w:i/>
          <w:sz w:val="22"/>
          <w:szCs w:val="22"/>
        </w:rPr>
        <w:br/>
      </w:r>
      <w:r w:rsidRPr="00CE7893">
        <w:rPr>
          <w:rFonts w:ascii="Times New Roman" w:eastAsia="Times New Roman" w:hAnsi="Times New Roman" w:cs="Times New Roman"/>
          <w:sz w:val="22"/>
          <w:szCs w:val="22"/>
        </w:rPr>
        <w:t xml:space="preserve"> 2. Lowercasing</w:t>
      </w:r>
      <w:r w:rsidRPr="00CE7893">
        <w:rPr>
          <w:rFonts w:ascii="Times New Roman" w:eastAsia="Times New Roman" w:hAnsi="Times New Roman" w:cs="Times New Roman"/>
          <w:i/>
          <w:sz w:val="22"/>
          <w:szCs w:val="22"/>
        </w:rPr>
        <w:br/>
      </w:r>
      <w:r w:rsidRPr="00CE7893">
        <w:rPr>
          <w:rFonts w:ascii="Times New Roman" w:eastAsia="Times New Roman" w:hAnsi="Times New Roman" w:cs="Times New Roman"/>
          <w:sz w:val="22"/>
          <w:szCs w:val="22"/>
        </w:rPr>
        <w:t xml:space="preserve"> 3. URL/mention removal</w:t>
      </w:r>
      <w:r w:rsidRPr="00CE7893">
        <w:rPr>
          <w:rFonts w:ascii="Times New Roman" w:eastAsia="Times New Roman" w:hAnsi="Times New Roman" w:cs="Times New Roman"/>
          <w:i/>
          <w:sz w:val="22"/>
          <w:szCs w:val="22"/>
        </w:rPr>
        <w:br/>
      </w:r>
      <w:r w:rsidRPr="00CE7893">
        <w:rPr>
          <w:rFonts w:ascii="Times New Roman" w:eastAsia="Times New Roman" w:hAnsi="Times New Roman" w:cs="Times New Roman"/>
          <w:sz w:val="22"/>
          <w:szCs w:val="22"/>
        </w:rPr>
        <w:t xml:space="preserve"> 4. Emoji handling (preserve sentiment-rich emojis: </w:t>
      </w:r>
      <w:r w:rsidRPr="00CE7893">
        <w:rPr>
          <w:rFonts w:ascii="Apple Color Emoji" w:eastAsia="Times New Roman" w:hAnsi="Apple Color Emoji" w:cs="Apple Color Emoji"/>
          <w:sz w:val="22"/>
          <w:szCs w:val="22"/>
        </w:rPr>
        <w:t>🚀📈</w:t>
      </w:r>
      <w:r w:rsidRPr="00CE7893">
        <w:rPr>
          <w:rFonts w:ascii="Times New Roman" w:eastAsia="Times New Roman" w:hAnsi="Times New Roman" w:cs="Times New Roman"/>
          <w:sz w:val="22"/>
          <w:szCs w:val="22"/>
        </w:rPr>
        <w:t xml:space="preserve"> = bullish, </w:t>
      </w:r>
      <w:r w:rsidRPr="00CE7893">
        <w:rPr>
          <w:rFonts w:ascii="Apple Color Emoji" w:eastAsia="Times New Roman" w:hAnsi="Apple Color Emoji" w:cs="Apple Color Emoji"/>
          <w:sz w:val="22"/>
          <w:szCs w:val="22"/>
        </w:rPr>
        <w:t>📉💩</w:t>
      </w:r>
      <w:r w:rsidRPr="00CE7893">
        <w:rPr>
          <w:rFonts w:ascii="Times New Roman" w:eastAsia="Times New Roman" w:hAnsi="Times New Roman" w:cs="Times New Roman"/>
          <w:sz w:val="22"/>
          <w:szCs w:val="22"/>
        </w:rPr>
        <w:t xml:space="preserve"> = bearish)</w:t>
      </w:r>
      <w:r w:rsidRPr="00CE7893">
        <w:rPr>
          <w:rFonts w:ascii="Times New Roman" w:eastAsia="Times New Roman" w:hAnsi="Times New Roman" w:cs="Times New Roman"/>
          <w:i/>
          <w:sz w:val="22"/>
          <w:szCs w:val="22"/>
        </w:rPr>
        <w:br/>
      </w:r>
      <w:r w:rsidRPr="00CE7893">
        <w:rPr>
          <w:rFonts w:ascii="Times New Roman" w:eastAsia="Times New Roman" w:hAnsi="Times New Roman" w:cs="Times New Roman"/>
          <w:sz w:val="22"/>
          <w:szCs w:val="22"/>
        </w:rPr>
        <w:t xml:space="preserve"> 5. Stop word removal (finance-aware: retain “bull”, “bear”, “crash”)</w:t>
      </w:r>
      <w:r w:rsidRPr="00CE7893">
        <w:rPr>
          <w:rFonts w:ascii="Times New Roman" w:eastAsia="Times New Roman" w:hAnsi="Times New Roman" w:cs="Times New Roman"/>
          <w:i/>
          <w:sz w:val="22"/>
          <w:szCs w:val="22"/>
        </w:rPr>
        <w:br/>
      </w:r>
      <w:r w:rsidRPr="00CE7893">
        <w:rPr>
          <w:rFonts w:ascii="Times New Roman" w:eastAsia="Times New Roman" w:hAnsi="Times New Roman" w:cs="Times New Roman"/>
          <w:sz w:val="22"/>
          <w:szCs w:val="22"/>
        </w:rPr>
        <w:t xml:space="preserve"> 6. Lemmatization</w:t>
      </w:r>
    </w:p>
    <w:p w14:paraId="5DC9B74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Asset Class Labeling:</w:t>
      </w:r>
      <w:r w:rsidRPr="00281CDE">
        <w:rPr>
          <w:rFonts w:ascii="Times New Roman" w:eastAsia="Times New Roman" w:hAnsi="Times New Roman" w:cs="Times New Roman"/>
          <w:sz w:val="22"/>
          <w:szCs w:val="22"/>
        </w:rPr>
        <w:t xml:space="preserve"> Classify each text sample by asset class (Equities, Crypto, Forex, Commodities) using:</w:t>
      </w:r>
    </w:p>
    <w:p w14:paraId="1E895ED6"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Keyword matching:</w:t>
      </w:r>
      <w:r w:rsidRPr="00281CDE">
        <w:rPr>
          <w:rFonts w:ascii="Times New Roman" w:eastAsia="Times New Roman" w:hAnsi="Times New Roman" w:cs="Times New Roman"/>
          <w:sz w:val="22"/>
          <w:szCs w:val="22"/>
        </w:rPr>
        <w:t xml:space="preserve"> Ticker symbols, currency pairs, commodity names</w:t>
      </w:r>
    </w:p>
    <w:p w14:paraId="1708002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NER models:</w:t>
      </w:r>
      <w:r w:rsidRPr="00281CDE">
        <w:rPr>
          <w:rFonts w:ascii="Times New Roman" w:eastAsia="Times New Roman" w:hAnsi="Times New Roman" w:cs="Times New Roman"/>
          <w:sz w:val="22"/>
          <w:szCs w:val="22"/>
        </w:rPr>
        <w:t xml:space="preserve"> spaCy financial NER or custom-trained NER</w:t>
      </w:r>
    </w:p>
    <w:p w14:paraId="28F990E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Multi-label classification:</w:t>
      </w:r>
      <w:r w:rsidRPr="00281CDE">
        <w:rPr>
          <w:rFonts w:ascii="Times New Roman" w:eastAsia="Times New Roman" w:hAnsi="Times New Roman" w:cs="Times New Roman"/>
          <w:sz w:val="22"/>
          <w:szCs w:val="22"/>
        </w:rPr>
        <w:t xml:space="preserve"> Some texts reference multiple asset classes</w:t>
      </w:r>
    </w:p>
    <w:p w14:paraId="0939FB57"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40" w:name="data-preprocessing-pipeline"/>
      <w:bookmarkEnd w:id="39"/>
      <w:r w:rsidRPr="00281CDE">
        <w:rPr>
          <w:rFonts w:ascii="Times New Roman" w:eastAsia="Times New Roman" w:hAnsi="Times New Roman" w:cs="Times New Roman"/>
          <w:i/>
          <w:iCs/>
          <w:smallCaps/>
          <w:spacing w:val="5"/>
          <w:sz w:val="26"/>
          <w:szCs w:val="26"/>
        </w:rPr>
        <w:t>3.4 Data Preprocessing Pipeline</w:t>
      </w:r>
    </w:p>
    <w:p w14:paraId="106BFC4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 xml:space="preserve">Financial news arrives irregularly (stochastic), while price data arrives at fixed intervals (deterministic). To feed the GARCH-MIDAS and Jump Models, we must map irregular sentiment events </w:t>
      </w:r>
      <m:oMath>
        <m:r>
          <w:rPr>
            <w:rFonts w:ascii="Cambria Math" w:eastAsia="Times New Roman" w:hAnsi="Cambria Math" w:cs="Times New Roman"/>
            <w:sz w:val="22"/>
            <w:szCs w:val="22"/>
          </w:rPr>
          <m:t>E</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2</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n</m:t>
            </m:r>
          </m:sub>
        </m:sSub>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to fixed price bars </w:t>
      </w:r>
      <m:oMath>
        <m:r>
          <w:rPr>
            <w:rFonts w:ascii="Cambria Math" w:eastAsia="Times New Roman" w:hAnsi="Cambria Math" w:cs="Times New Roman"/>
            <w:sz w:val="22"/>
            <w:szCs w:val="22"/>
          </w:rPr>
          <m:t>P</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2</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We adopt the </w:t>
      </w:r>
      <w:r w:rsidRPr="00281CDE">
        <w:rPr>
          <w:rFonts w:ascii="Times New Roman" w:eastAsia="Times New Roman" w:hAnsi="Times New Roman" w:cs="Times New Roman"/>
          <w:b/>
          <w:bCs/>
          <w:sz w:val="22"/>
          <w:szCs w:val="22"/>
        </w:rPr>
        <w:t>Forward-Fill with Aggregation</w:t>
      </w:r>
      <w:r w:rsidRPr="00281CDE">
        <w:rPr>
          <w:rFonts w:ascii="Times New Roman" w:eastAsia="Times New Roman" w:hAnsi="Times New Roman" w:cs="Times New Roman"/>
          <w:sz w:val="22"/>
          <w:szCs w:val="22"/>
        </w:rPr>
        <w:t xml:space="preserve"> algorithm proposed by Dakalbab et al. (2025) and the </w:t>
      </w:r>
      <w:r w:rsidRPr="00281CDE">
        <w:rPr>
          <w:rFonts w:ascii="Times New Roman" w:eastAsia="Times New Roman" w:hAnsi="Times New Roman" w:cs="Times New Roman"/>
          <w:b/>
          <w:bCs/>
          <w:sz w:val="22"/>
          <w:szCs w:val="22"/>
        </w:rPr>
        <w:t>Next-Day Attribution</w:t>
      </w:r>
      <w:r w:rsidRPr="00281CDE">
        <w:rPr>
          <w:rFonts w:ascii="Times New Roman" w:eastAsia="Times New Roman" w:hAnsi="Times New Roman" w:cs="Times New Roman"/>
          <w:sz w:val="22"/>
          <w:szCs w:val="22"/>
        </w:rPr>
        <w:t xml:space="preserve"> logic from Kengmegni (2024).</w:t>
      </w:r>
    </w:p>
    <w:p w14:paraId="19B9975E"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41" w:name="time-alignment-algorithm"/>
      <w:r w:rsidRPr="00281CDE">
        <w:rPr>
          <w:rFonts w:ascii="Times New Roman" w:eastAsia="Times New Roman" w:hAnsi="Times New Roman" w:cs="Times New Roman"/>
          <w:b/>
          <w:bCs/>
          <w:spacing w:val="5"/>
        </w:rPr>
        <w:t>3.4.1 Time-Alignment Algorithm</w:t>
      </w:r>
    </w:p>
    <w:p w14:paraId="7FF0C2B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1. Timestamp Standardization &amp; Cutoff:</w:t>
      </w:r>
      <w:r w:rsidRPr="00281CDE">
        <w:rPr>
          <w:rFonts w:ascii="Times New Roman" w:eastAsia="Times New Roman" w:hAnsi="Times New Roman" w:cs="Times New Roman"/>
          <w:sz w:val="22"/>
          <w:szCs w:val="22"/>
        </w:rPr>
        <w:t xml:space="preserve"> First, all timestamps are converted to UTC/EST to align with the target exchange. Following Kengmegni (2024), we enforce a </w:t>
      </w:r>
      <w:r w:rsidRPr="00281CDE">
        <w:rPr>
          <w:rFonts w:ascii="Times New Roman" w:eastAsia="Times New Roman" w:hAnsi="Times New Roman" w:cs="Times New Roman"/>
          <w:b/>
          <w:bCs/>
          <w:sz w:val="22"/>
          <w:szCs w:val="22"/>
        </w:rPr>
        <w:t>4:30 PM EST Cutoff</w:t>
      </w:r>
      <w:r w:rsidRPr="00281CDE">
        <w:rPr>
          <w:rFonts w:ascii="Times New Roman" w:eastAsia="Times New Roman" w:hAnsi="Times New Roman" w:cs="Times New Roman"/>
          <w:sz w:val="22"/>
          <w:szCs w:val="22"/>
        </w:rPr>
        <w:t xml:space="preserve">. News arriving after this threshold is attributed to the </w:t>
      </w:r>
      <w:r w:rsidRPr="00281CDE">
        <w:rPr>
          <w:rFonts w:ascii="Times New Roman" w:eastAsia="Times New Roman" w:hAnsi="Times New Roman" w:cs="Times New Roman"/>
          <w:i/>
          <w:iCs/>
          <w:sz w:val="22"/>
          <w:szCs w:val="22"/>
        </w:rPr>
        <w:t>subsequent</w:t>
      </w:r>
      <w:r w:rsidRPr="00281CDE">
        <w:rPr>
          <w:rFonts w:ascii="Times New Roman" w:eastAsia="Times New Roman" w:hAnsi="Times New Roman" w:cs="Times New Roman"/>
          <w:sz w:val="22"/>
          <w:szCs w:val="22"/>
        </w:rPr>
        <w:t xml:space="preserve"> trading day (</w:t>
      </w:r>
      <m:oMath>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 to reflect that its market impact cannot occur until the next open, preventing look-ahead bias in the backtest.</w:t>
      </w:r>
    </w:p>
    <w:p w14:paraId="526BEBC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2. Alignment Logic (Dakalbab’s Cases):</w:t>
      </w:r>
      <w:r w:rsidRPr="00281CDE">
        <w:rPr>
          <w:rFonts w:ascii="Times New Roman" w:eastAsia="Times New Roman" w:hAnsi="Times New Roman" w:cs="Times New Roman"/>
          <w:sz w:val="22"/>
          <w:szCs w:val="22"/>
        </w:rPr>
        <w:t xml:space="preserve"> For every price bar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xml:space="preserve"> covering the interval </w:t>
      </w:r>
      <m:oMath>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we align sentiment scores </w:t>
      </w:r>
      <m:oMath>
        <m:r>
          <w:rPr>
            <w:rFonts w:ascii="Cambria Math" w:eastAsia="Times New Roman" w:hAnsi="Cambria Math" w:cs="Times New Roman"/>
            <w:sz w:val="22"/>
            <w:szCs w:val="22"/>
          </w:rPr>
          <m:t>S</m:t>
        </m:r>
      </m:oMath>
      <w:r w:rsidRPr="00281CDE">
        <w:rPr>
          <w:rFonts w:ascii="Times New Roman" w:eastAsia="Times New Roman" w:hAnsi="Times New Roman" w:cs="Times New Roman"/>
          <w:sz w:val="22"/>
          <w:szCs w:val="22"/>
        </w:rPr>
        <w:t xml:space="preserve"> based on three scenarios:</w:t>
      </w:r>
    </w:p>
    <w:p w14:paraId="1142368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Case 1 (Perfect Match):</w:t>
      </w:r>
      <w:r w:rsidRPr="00281CDE">
        <w:rPr>
          <w:rFonts w:ascii="Times New Roman" w:eastAsia="Times New Roman" w:hAnsi="Times New Roman" w:cs="Times New Roman"/>
          <w:sz w:val="22"/>
          <w:szCs w:val="22"/>
        </w:rPr>
        <w:t xml:space="preserve"> If news events occur strictly within </w:t>
      </w:r>
      <m:oMath>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they are mapped directly to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w:t>
      </w:r>
    </w:p>
    <w:p w14:paraId="3433643D"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Case 2 (Sparse Data/Fill-Forward):</w:t>
      </w:r>
      <w:r w:rsidRPr="00281CDE">
        <w:rPr>
          <w:rFonts w:ascii="Times New Roman" w:eastAsia="Times New Roman" w:hAnsi="Times New Roman" w:cs="Times New Roman"/>
          <w:sz w:val="22"/>
          <w:szCs w:val="22"/>
        </w:rPr>
        <w:t xml:space="preserve"> If no news occurs in </w:t>
      </w:r>
      <m:oMath>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the sentiment score from the last available news event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last</m:t>
            </m:r>
          </m:sub>
        </m:sSub>
      </m:oMath>
      <w:r w:rsidRPr="00281CDE">
        <w:rPr>
          <w:rFonts w:ascii="Times New Roman" w:eastAsia="Times New Roman" w:hAnsi="Times New Roman" w:cs="Times New Roman"/>
          <w:sz w:val="22"/>
          <w:szCs w:val="22"/>
        </w:rPr>
        <w:t>) is carried forward. This persists the regime signal until new information arrives, ensuring the Jump Model receives a continuous feature vector.</w:t>
      </w:r>
    </w:p>
    <w:p w14:paraId="329947A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Case 3 (High Velocity/Aggregation):</w:t>
      </w:r>
      <w:r w:rsidRPr="00281CDE">
        <w:rPr>
          <w:rFonts w:ascii="Times New Roman" w:eastAsia="Times New Roman" w:hAnsi="Times New Roman" w:cs="Times New Roman"/>
          <w:sz w:val="22"/>
          <w:szCs w:val="22"/>
        </w:rPr>
        <w:t xml:space="preserve"> If multiple articles (</w:t>
      </w:r>
      <m:oMath>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&gt;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 xml:space="preserve">) appear within a single interval </w:t>
      </w:r>
      <m:oMath>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(common in crypto/forex), we calculate the </w:t>
      </w:r>
      <w:r w:rsidRPr="00281CDE">
        <w:rPr>
          <w:rFonts w:ascii="Times New Roman" w:eastAsia="Times New Roman" w:hAnsi="Times New Roman" w:cs="Times New Roman"/>
          <w:b/>
          <w:bCs/>
          <w:sz w:val="22"/>
          <w:szCs w:val="22"/>
        </w:rPr>
        <w:t>Aggregated Interval Sentiment (</w:t>
      </w:r>
      <m:oMath>
        <m:r>
          <w:rPr>
            <w:rFonts w:ascii="Cambria Math" w:eastAsia="Times New Roman" w:hAnsi="Cambria Math" w:cs="Times New Roman"/>
            <w:sz w:val="22"/>
            <w:szCs w:val="22"/>
          </w:rPr>
          <m:t>AI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w:t>
      </w:r>
    </w:p>
    <w:p w14:paraId="3D5EED8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AI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k</m:t>
              </m:r>
            </m:sup>
            <m:e>
              <m:r>
                <m:rPr>
                  <m:nor/>
                </m:rPr>
                <w:rPr>
                  <w:rFonts w:ascii="Times New Roman" w:eastAsia="Times New Roman" w:hAnsi="Times New Roman" w:cs="Times New Roman"/>
                  <w:sz w:val="22"/>
                  <w:szCs w:val="22"/>
                </w:rPr>
                <m:t>Sentiment</m:t>
              </m:r>
            </m:e>
          </m:nary>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oMath>
      </m:oMathPara>
    </w:p>
    <w:p w14:paraId="7DCAD9F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If </w:t>
      </w:r>
      <m:oMath>
        <m:r>
          <w:rPr>
            <w:rFonts w:ascii="Cambria Math" w:eastAsia="Times New Roman" w:hAnsi="Cambria Math" w:cs="Times New Roman"/>
            <w:sz w:val="22"/>
            <w:szCs w:val="22"/>
          </w:rPr>
          <m:t>AI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&gt;</m:t>
        </m:r>
        <m:r>
          <w:rPr>
            <w:rFonts w:ascii="Cambria Math" w:eastAsia="Times New Roman" w:hAnsi="Cambria Math" w:cs="Times New Roman"/>
            <w:sz w:val="22"/>
            <w:szCs w:val="22"/>
          </w:rPr>
          <m:t>0</m:t>
        </m:r>
      </m:oMath>
      <w:r w:rsidRPr="00281CDE">
        <w:rPr>
          <w:rFonts w:ascii="Times New Roman" w:eastAsia="Times New Roman" w:hAnsi="Times New Roman" w:cs="Times New Roman"/>
          <w:sz w:val="22"/>
          <w:szCs w:val="22"/>
        </w:rPr>
        <w:t xml:space="preserve">, the interval is labeled Positive; if </w:t>
      </w:r>
      <m:oMath>
        <m:r>
          <m:rPr>
            <m:sty m:val="p"/>
          </m:rPr>
          <w:rPr>
            <w:rFonts w:ascii="Cambria Math" w:eastAsia="Times New Roman" w:hAnsi="Cambria Math" w:cs="Times New Roman"/>
            <w:sz w:val="22"/>
            <w:szCs w:val="22"/>
          </w:rPr>
          <m:t>&lt;</m:t>
        </m:r>
        <m:r>
          <w:rPr>
            <w:rFonts w:ascii="Cambria Math" w:eastAsia="Times New Roman" w:hAnsi="Cambria Math" w:cs="Times New Roman"/>
            <w:sz w:val="22"/>
            <w:szCs w:val="22"/>
          </w:rPr>
          <m:t>0</m:t>
        </m:r>
      </m:oMath>
      <w:r w:rsidRPr="00281CDE">
        <w:rPr>
          <w:rFonts w:ascii="Times New Roman" w:eastAsia="Times New Roman" w:hAnsi="Times New Roman" w:cs="Times New Roman"/>
          <w:sz w:val="22"/>
          <w:szCs w:val="22"/>
        </w:rPr>
        <w:t>, Negative. This prevents a single minor tweet from flipping the regime if the aggregate news volume is contrary.</w:t>
      </w:r>
    </w:p>
    <w:p w14:paraId="6A18999E"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42" w:name="entity-filtering-and-disambiguation"/>
      <w:bookmarkEnd w:id="41"/>
      <w:r w:rsidRPr="00281CDE">
        <w:rPr>
          <w:rFonts w:ascii="Times New Roman" w:eastAsia="Times New Roman" w:hAnsi="Times New Roman" w:cs="Times New Roman"/>
          <w:b/>
          <w:bCs/>
          <w:spacing w:val="5"/>
        </w:rPr>
        <w:t>3.4.2 Entity Filtering and Disambiguation</w:t>
      </w:r>
    </w:p>
    <w:p w14:paraId="4CCA27C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ensure the sentiment extracted actually pertains to the target asset (e.g., distinguishing “Apple” the company from the fruit, or “ETH” the coin from “ETH” Zurich), we employ a </w:t>
      </w:r>
      <w:r w:rsidRPr="00281CDE">
        <w:rPr>
          <w:rFonts w:ascii="Times New Roman" w:eastAsia="Times New Roman" w:hAnsi="Times New Roman" w:cs="Times New Roman"/>
          <w:b/>
          <w:bCs/>
          <w:sz w:val="22"/>
          <w:szCs w:val="22"/>
        </w:rPr>
        <w:t>Dictionary-Based Filtering</w:t>
      </w:r>
      <w:r w:rsidRPr="00281CDE">
        <w:rPr>
          <w:rFonts w:ascii="Times New Roman" w:eastAsia="Times New Roman" w:hAnsi="Times New Roman" w:cs="Times New Roman"/>
          <w:sz w:val="22"/>
          <w:szCs w:val="22"/>
        </w:rPr>
        <w:t xml:space="preserve"> approach rather than generic Named Entity Recognition (NER), which Kengmegni (2024) found to be less prone to false positives.</w:t>
      </w:r>
    </w:p>
    <w:p w14:paraId="0264CDE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1. Ticker &amp; Cashtag Filtering:</w:t>
      </w:r>
      <w:r w:rsidRPr="00281CDE">
        <w:rPr>
          <w:rFonts w:ascii="Times New Roman" w:eastAsia="Times New Roman" w:hAnsi="Times New Roman" w:cs="Times New Roman"/>
          <w:sz w:val="22"/>
          <w:szCs w:val="22"/>
        </w:rPr>
        <w:t xml:space="preserve"> For social media (Twitter/Reddit), we filter for “Cashtags” (e.g., $BTC, $SPY) and strict keyword associations defined in a curated dictionary (e.g., “Rivian” maps to “RIVN”).</w:t>
      </w:r>
    </w:p>
    <w:p w14:paraId="703C74E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2. Contextual Disambiguation (Forex/Crypto):</w:t>
      </w:r>
      <w:r w:rsidRPr="00281CDE">
        <w:rPr>
          <w:rFonts w:ascii="Times New Roman" w:eastAsia="Times New Roman" w:hAnsi="Times New Roman" w:cs="Times New Roman"/>
          <w:sz w:val="22"/>
          <w:szCs w:val="22"/>
        </w:rPr>
        <w:t xml:space="preserve"> For currency pairs, we address the “Subject-Object” ambiguity highlighted by Fatouros et al. (2023). A headline reading </w:t>
      </w:r>
      <w:r w:rsidRPr="00281CDE">
        <w:rPr>
          <w:rFonts w:ascii="Times New Roman" w:eastAsia="Times New Roman" w:hAnsi="Times New Roman" w:cs="Times New Roman"/>
          <w:i/>
          <w:iCs/>
          <w:sz w:val="22"/>
          <w:szCs w:val="22"/>
        </w:rPr>
        <w:t>“USD soars against JPY”</w:t>
      </w:r>
      <w:r w:rsidRPr="00281CDE">
        <w:rPr>
          <w:rFonts w:ascii="Times New Roman" w:eastAsia="Times New Roman" w:hAnsi="Times New Roman" w:cs="Times New Roman"/>
          <w:sz w:val="22"/>
          <w:szCs w:val="22"/>
        </w:rPr>
        <w:t xml:space="preserve"> is Positive for USD but Negative for the pair JPY/USD.</w:t>
      </w:r>
    </w:p>
    <w:p w14:paraId="5A5EB00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Logic:</w:t>
      </w:r>
      <w:r w:rsidRPr="00281CDE">
        <w:rPr>
          <w:rFonts w:ascii="Times New Roman" w:eastAsia="Times New Roman" w:hAnsi="Times New Roman" w:cs="Times New Roman"/>
          <w:sz w:val="22"/>
          <w:szCs w:val="22"/>
        </w:rPr>
        <w:t xml:space="preserve"> If the calculated sentiment </w:t>
      </w:r>
      <m:oMath>
        <m:r>
          <w:rPr>
            <w:rFonts w:ascii="Cambria Math" w:eastAsia="Times New Roman" w:hAnsi="Cambria Math" w:cs="Times New Roman"/>
            <w:sz w:val="22"/>
            <w:szCs w:val="22"/>
          </w:rPr>
          <m:t>S</m:t>
        </m:r>
        <m:r>
          <m:rPr>
            <m:sty m:val="p"/>
          </m:rPr>
          <w:rPr>
            <w:rFonts w:ascii="Cambria Math" w:eastAsia="Times New Roman" w:hAnsi="Cambria Math" w:cs="Times New Roman"/>
            <w:sz w:val="22"/>
            <w:szCs w:val="22"/>
          </w:rPr>
          <m:t>&gt;</m:t>
        </m:r>
        <m:r>
          <w:rPr>
            <w:rFonts w:ascii="Cambria Math" w:eastAsia="Times New Roman" w:hAnsi="Cambria Math" w:cs="Times New Roman"/>
            <w:sz w:val="22"/>
            <w:szCs w:val="22"/>
          </w:rPr>
          <m:t>0</m:t>
        </m:r>
      </m:oMath>
      <w:r w:rsidRPr="00281CDE">
        <w:rPr>
          <w:rFonts w:ascii="Times New Roman" w:eastAsia="Times New Roman" w:hAnsi="Times New Roman" w:cs="Times New Roman"/>
          <w:sz w:val="22"/>
          <w:szCs w:val="22"/>
        </w:rPr>
        <w:t xml:space="preserve"> and the Subject is the </w:t>
      </w:r>
      <w:r w:rsidRPr="00281CDE">
        <w:rPr>
          <w:rFonts w:ascii="Times New Roman" w:eastAsia="Times New Roman" w:hAnsi="Times New Roman" w:cs="Times New Roman"/>
          <w:i/>
          <w:iCs/>
          <w:sz w:val="22"/>
          <w:szCs w:val="22"/>
        </w:rPr>
        <w:t>Quote Currency</w:t>
      </w:r>
      <w:r w:rsidRPr="00281CDE">
        <w:rPr>
          <w:rFonts w:ascii="Times New Roman" w:eastAsia="Times New Roman" w:hAnsi="Times New Roman" w:cs="Times New Roman"/>
          <w:sz w:val="22"/>
          <w:szCs w:val="22"/>
        </w:rPr>
        <w:t xml:space="preserve">, flip the sign of </w:t>
      </w:r>
      <m:oMath>
        <m:r>
          <w:rPr>
            <w:rFonts w:ascii="Cambria Math" w:eastAsia="Times New Roman" w:hAnsi="Cambria Math" w:cs="Times New Roman"/>
            <w:sz w:val="22"/>
            <w:szCs w:val="22"/>
          </w:rPr>
          <m:t>S</m:t>
        </m:r>
      </m:oMath>
      <w:r w:rsidRPr="00281CDE">
        <w:rPr>
          <w:rFonts w:ascii="Times New Roman" w:eastAsia="Times New Roman" w:hAnsi="Times New Roman" w:cs="Times New Roman"/>
          <w:sz w:val="22"/>
          <w:szCs w:val="22"/>
        </w:rPr>
        <w:t>.</w:t>
      </w:r>
    </w:p>
    <w:p w14:paraId="7D938D4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3. Bot and Spam Removal:</w:t>
      </w:r>
      <w:r w:rsidRPr="00281CDE">
        <w:rPr>
          <w:rFonts w:ascii="Times New Roman" w:eastAsia="Times New Roman" w:hAnsi="Times New Roman" w:cs="Times New Roman"/>
          <w:sz w:val="22"/>
          <w:szCs w:val="22"/>
        </w:rPr>
        <w:t xml:space="preserve"> Following Trushkovskyi (2025), we apply a pre-filtering layer to remove duplicate messages and posts from known bot clusters (e.g., identical timestamps and text), as these inflate volume metrics without reflecting genuine market psychology.</w:t>
      </w:r>
    </w:p>
    <w:p w14:paraId="209EBD7F"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43" w:name="sentiment-classification"/>
      <w:bookmarkEnd w:id="40"/>
      <w:bookmarkEnd w:id="42"/>
      <w:r w:rsidRPr="00281CDE">
        <w:rPr>
          <w:rFonts w:ascii="Times New Roman" w:eastAsia="Times New Roman" w:hAnsi="Times New Roman" w:cs="Times New Roman"/>
          <w:i/>
          <w:iCs/>
          <w:smallCaps/>
          <w:spacing w:val="5"/>
          <w:sz w:val="26"/>
          <w:szCs w:val="26"/>
        </w:rPr>
        <w:t>3.5 Sentiment Classification</w:t>
      </w:r>
    </w:p>
    <w:p w14:paraId="04D88489"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Model Architecture</w:t>
      </w:r>
      <w:r w:rsidRPr="00281CDE">
        <w:rPr>
          <w:rFonts w:ascii="Times New Roman" w:eastAsia="Times New Roman" w:hAnsi="Times New Roman" w:cs="Times New Roman"/>
          <w:sz w:val="22"/>
          <w:szCs w:val="22"/>
        </w:rPr>
        <w:t>: We employ an ensemble of two transformer models, following evidence from Mishev et al. (2020) that different architectures excel on different source types, and Ergun and Sefer (2025) demonstrating that finance-pretrained RoBERTa achieves state-of-the-art results even with limited labeled data:</w:t>
      </w:r>
    </w:p>
    <w:p w14:paraId="0161359E"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FinBERT</w:t>
      </w:r>
      <w:r w:rsidRPr="00281CDE">
        <w:rPr>
          <w:rFonts w:ascii="Times New Roman" w:eastAsia="Times New Roman" w:hAnsi="Times New Roman" w:cs="Times New Roman"/>
          <w:sz w:val="22"/>
          <w:szCs w:val="22"/>
        </w:rPr>
        <w:t>: Finance-specific BERT variant (Araci, 2019)</w:t>
      </w:r>
    </w:p>
    <w:p w14:paraId="0952AA92"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Pretrained on financial news + analyst reports</w:t>
      </w:r>
    </w:p>
    <w:p w14:paraId="4366510C"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Fine-tuned on the Financial PhraseBank dataset</w:t>
      </w:r>
    </w:p>
    <w:p w14:paraId="47400C91"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RoBERTa-base</w:t>
      </w:r>
      <w:r w:rsidRPr="00281CDE">
        <w:rPr>
          <w:rFonts w:ascii="Times New Roman" w:eastAsia="Times New Roman" w:hAnsi="Times New Roman" w:cs="Times New Roman"/>
          <w:sz w:val="22"/>
          <w:szCs w:val="22"/>
        </w:rPr>
        <w:t>: General-purpose robustly optimized BERT</w:t>
      </w:r>
    </w:p>
    <w:p w14:paraId="7F2EF8AE"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Broader linguistic understanding</w:t>
      </w:r>
    </w:p>
    <w:p w14:paraId="48071B87"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Fine-tuned on the Twitter Financial News Sentiment dataset</w:t>
      </w:r>
    </w:p>
    <w:p w14:paraId="53B7EEA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Ensemble Strategy</w:t>
      </w:r>
      <w:r w:rsidRPr="00281CDE">
        <w:rPr>
          <w:rFonts w:ascii="Times New Roman" w:eastAsia="Times New Roman" w:hAnsi="Times New Roman" w:cs="Times New Roman"/>
          <w:sz w:val="22"/>
          <w:szCs w:val="22"/>
        </w:rPr>
        <w:t>:</w:t>
      </w:r>
    </w:p>
    <w:p w14:paraId="524C1426"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Voting</w:t>
      </w:r>
      <w:r w:rsidRPr="00281CDE">
        <w:rPr>
          <w:rFonts w:ascii="Times New Roman" w:eastAsia="Times New Roman" w:hAnsi="Times New Roman" w:cs="Times New Roman"/>
          <w:sz w:val="22"/>
          <w:szCs w:val="22"/>
        </w:rPr>
        <w:t>: Average logits from both models</w:t>
      </w:r>
    </w:p>
    <w:p w14:paraId="4BADE393"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Weighted</w:t>
      </w:r>
      <w:r w:rsidRPr="00281CDE">
        <w:rPr>
          <w:rFonts w:ascii="Times New Roman" w:eastAsia="Times New Roman" w:hAnsi="Times New Roman" w:cs="Times New Roman"/>
          <w:sz w:val="22"/>
          <w:szCs w:val="22"/>
        </w:rPr>
        <w:t>: If one model shows higher validation accuracy on specific sources (e.g., FinBERT better on news, RoBERTa better on social media), apply source-dependent weights</w:t>
      </w:r>
    </w:p>
    <w:p w14:paraId="69005C3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Training Infrastructure</w:t>
      </w:r>
      <w:r w:rsidRPr="00281CDE">
        <w:rPr>
          <w:rFonts w:ascii="Times New Roman" w:eastAsia="Times New Roman" w:hAnsi="Times New Roman" w:cs="Times New Roman"/>
          <w:sz w:val="22"/>
          <w:szCs w:val="22"/>
        </w:rPr>
        <w:t>:</w:t>
      </w:r>
    </w:p>
    <w:p w14:paraId="4DDE6D5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MANEFRAME HPC (SMU’s cluster)</w:t>
      </w:r>
    </w:p>
    <w:p w14:paraId="691587C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GPUs: NVIDIA V100 or A100</w:t>
      </w:r>
    </w:p>
    <w:p w14:paraId="7A05FF8E"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Framework: PyTorch + HuggingFace Transformers</w:t>
      </w:r>
    </w:p>
    <w:p w14:paraId="5329E1D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Output</w:t>
      </w:r>
      <w:r w:rsidRPr="00281CDE">
        <w:rPr>
          <w:rFonts w:ascii="Times New Roman" w:eastAsia="Times New Roman" w:hAnsi="Times New Roman" w:cs="Times New Roman"/>
          <w:sz w:val="22"/>
          <w:szCs w:val="22"/>
        </w:rPr>
        <w:t>: Sentiment score per text sample: {Positive: [0-1], Neutral: [0-1], Negative: [0-1]}</w:t>
      </w:r>
    </w:p>
    <w:p w14:paraId="08CB0873"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44" w:name="X4405d7d6b5c3ab0a2247c3cd8d79412a2e46ec6"/>
      <w:bookmarkEnd w:id="43"/>
      <w:r w:rsidRPr="00281CDE">
        <w:rPr>
          <w:rFonts w:ascii="Times New Roman" w:eastAsia="Times New Roman" w:hAnsi="Times New Roman" w:cs="Times New Roman"/>
          <w:i/>
          <w:iCs/>
          <w:smallCaps/>
          <w:spacing w:val="5"/>
          <w:sz w:val="26"/>
          <w:szCs w:val="26"/>
        </w:rPr>
        <w:t>3.6 Sentiment Index Construction and Feature Engineering</w:t>
      </w:r>
    </w:p>
    <w:p w14:paraId="700FCE7C"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45" w:name="basic-aggregation-strategy"/>
      <w:r w:rsidRPr="00281CDE">
        <w:rPr>
          <w:rFonts w:ascii="Times New Roman" w:eastAsia="Times New Roman" w:hAnsi="Times New Roman" w:cs="Times New Roman"/>
          <w:b/>
          <w:bCs/>
          <w:spacing w:val="5"/>
        </w:rPr>
        <w:t>3.6.1 Basic Aggregation Strategy</w:t>
      </w:r>
    </w:p>
    <w:p w14:paraId="2971596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For each asset class </w:t>
      </w:r>
      <m:oMath>
        <m:r>
          <w:rPr>
            <w:rFonts w:ascii="Cambria Math" w:eastAsia="Times New Roman" w:hAnsi="Cambria Math" w:cs="Times New Roman"/>
            <w:sz w:val="22"/>
            <w:szCs w:val="22"/>
          </w:rPr>
          <m:t>c</m:t>
        </m:r>
      </m:oMath>
      <w:r w:rsidRPr="00281CDE">
        <w:rPr>
          <w:rFonts w:ascii="Times New Roman" w:eastAsia="Times New Roman" w:hAnsi="Times New Roman" w:cs="Times New Roman"/>
          <w:sz w:val="22"/>
          <w:szCs w:val="22"/>
        </w:rPr>
        <w:t xml:space="preserve"> (Equities, Crypto, Forex, Commodities) and time window </w:t>
      </w:r>
      <m:oMath>
        <m:r>
          <w:rPr>
            <w:rFonts w:ascii="Cambria Math" w:eastAsia="Times New Roman" w:hAnsi="Cambria Math" w:cs="Times New Roman"/>
            <w:sz w:val="22"/>
            <w:szCs w:val="22"/>
          </w:rPr>
          <m:t>t</m:t>
        </m:r>
      </m:oMath>
      <w:r w:rsidRPr="00281CDE">
        <w:rPr>
          <w:rFonts w:ascii="Times New Roman" w:eastAsia="Times New Roman" w:hAnsi="Times New Roman" w:cs="Times New Roman"/>
          <w:sz w:val="22"/>
          <w:szCs w:val="22"/>
        </w:rPr>
        <w:t xml:space="preserve"> (daily or weekly):</w:t>
      </w:r>
    </w:p>
    <w:p w14:paraId="7C8026C6"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SentimentIndex</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D</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sub>
                <m:sup>
                  <m:r>
                    <w:rPr>
                      <w:rFonts w:ascii="Cambria Math" w:eastAsia="Times New Roman" w:hAnsi="Cambria Math" w:cs="Times New Roman"/>
                      <w:sz w:val="22"/>
                      <w:szCs w:val="22"/>
                    </w:rPr>
                    <m:t>​</m:t>
                  </m:r>
                </m:sup>
                <m:e>
                  <m:r>
                    <m:rPr>
                      <m:sty m:val="p"/>
                    </m:rPr>
                    <w:rPr>
                      <w:rFonts w:ascii="Cambria Math" w:eastAsia="Times New Roman" w:hAnsi="Cambria Math" w:cs="Times New Roman"/>
                      <w:sz w:val="22"/>
                      <w:szCs w:val="22"/>
                    </w:rPr>
                    <m:t>(</m:t>
                  </m:r>
                </m:e>
              </m:nary>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N</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w</m:t>
                  </m:r>
                </m:e>
                <m:sub>
                  <m:r>
                    <w:rPr>
                      <w:rFonts w:ascii="Cambria Math" w:eastAsia="Times New Roman" w:hAnsi="Cambria Math" w:cs="Times New Roman"/>
                      <w:sz w:val="22"/>
                      <w:szCs w:val="22"/>
                    </w:rPr>
                    <m:t>i</m:t>
                  </m:r>
                </m:sub>
              </m:sSub>
            </m:num>
            <m:den>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D</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sub>
                <m:sup>
                  <m:r>
                    <w:rPr>
                      <w:rFonts w:ascii="Cambria Math" w:eastAsia="Times New Roman" w:hAnsi="Cambria Math" w:cs="Times New Roman"/>
                      <w:sz w:val="22"/>
                      <w:szCs w:val="22"/>
                    </w:rPr>
                    <m:t>​</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w</m:t>
                      </m:r>
                    </m:e>
                    <m:sub>
                      <m:r>
                        <w:rPr>
                          <w:rFonts w:ascii="Cambria Math" w:eastAsia="Times New Roman" w:hAnsi="Cambria Math" w:cs="Times New Roman"/>
                          <w:sz w:val="22"/>
                          <w:szCs w:val="22"/>
                        </w:rPr>
                        <m:t>i</m:t>
                      </m:r>
                    </m:sub>
                  </m:sSub>
                </m:e>
              </m:nary>
            </m:den>
          </m:f>
        </m:oMath>
      </m:oMathPara>
    </w:p>
    <w:p w14:paraId="5B5C700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Where:</w:t>
      </w:r>
    </w:p>
    <w:p w14:paraId="04422D7D"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D</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oMath>
      <w:r w:rsidR="00281CDE" w:rsidRPr="00281CDE">
        <w:rPr>
          <w:rFonts w:ascii="Times New Roman" w:eastAsia="Times New Roman" w:hAnsi="Times New Roman" w:cs="Times New Roman"/>
          <w:sz w:val="22"/>
          <w:szCs w:val="22"/>
        </w:rPr>
        <w:t xml:space="preserve"> = all documents for asset class </w:t>
      </w:r>
      <m:oMath>
        <m:r>
          <w:rPr>
            <w:rFonts w:ascii="Cambria Math" w:eastAsia="Times New Roman" w:hAnsi="Cambria Math" w:cs="Times New Roman"/>
            <w:sz w:val="22"/>
            <w:szCs w:val="22"/>
          </w:rPr>
          <m:t>c</m:t>
        </m:r>
      </m:oMath>
      <w:r w:rsidR="00281CDE" w:rsidRPr="00281CDE">
        <w:rPr>
          <w:rFonts w:ascii="Times New Roman" w:eastAsia="Times New Roman" w:hAnsi="Times New Roman" w:cs="Times New Roman"/>
          <w:sz w:val="22"/>
          <w:szCs w:val="22"/>
        </w:rPr>
        <w:t xml:space="preserve"> in time window </w:t>
      </w:r>
      <m:oMath>
        <m:r>
          <w:rPr>
            <w:rFonts w:ascii="Cambria Math" w:eastAsia="Times New Roman" w:hAnsi="Cambria Math" w:cs="Times New Roman"/>
            <w:sz w:val="22"/>
            <w:szCs w:val="22"/>
          </w:rPr>
          <m:t>t</m:t>
        </m:r>
      </m:oMath>
    </w:p>
    <w:p w14:paraId="79D7B454"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i</m:t>
            </m:r>
          </m:sub>
        </m:sSub>
      </m:oMath>
      <w:r w:rsidR="00281CDE" w:rsidRPr="00281CDE">
        <w:rPr>
          <w:rFonts w:ascii="Times New Roman" w:eastAsia="Times New Roman" w:hAnsi="Times New Roman" w:cs="Times New Roman"/>
          <w:sz w:val="22"/>
          <w:szCs w:val="22"/>
        </w:rPr>
        <w:t xml:space="preserve"> = positive sentiment score for document </w:t>
      </w:r>
      <m:oMath>
        <m:r>
          <w:rPr>
            <w:rFonts w:ascii="Cambria Math" w:eastAsia="Times New Roman" w:hAnsi="Cambria Math" w:cs="Times New Roman"/>
            <w:sz w:val="22"/>
            <w:szCs w:val="22"/>
          </w:rPr>
          <m:t>i</m:t>
        </m:r>
      </m:oMath>
    </w:p>
    <w:p w14:paraId="632DE2E4"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N</m:t>
            </m:r>
          </m:e>
          <m:sub>
            <m:r>
              <w:rPr>
                <w:rFonts w:ascii="Cambria Math" w:eastAsia="Times New Roman" w:hAnsi="Cambria Math" w:cs="Times New Roman"/>
                <w:sz w:val="22"/>
                <w:szCs w:val="22"/>
              </w:rPr>
              <m:t>i</m:t>
            </m:r>
          </m:sub>
        </m:sSub>
      </m:oMath>
      <w:r w:rsidR="00281CDE" w:rsidRPr="00281CDE">
        <w:rPr>
          <w:rFonts w:ascii="Times New Roman" w:eastAsia="Times New Roman" w:hAnsi="Times New Roman" w:cs="Times New Roman"/>
          <w:sz w:val="22"/>
          <w:szCs w:val="22"/>
        </w:rPr>
        <w:t xml:space="preserve"> = negative sentiment score for document </w:t>
      </w:r>
      <m:oMath>
        <m:r>
          <w:rPr>
            <w:rFonts w:ascii="Cambria Math" w:eastAsia="Times New Roman" w:hAnsi="Cambria Math" w:cs="Times New Roman"/>
            <w:sz w:val="22"/>
            <w:szCs w:val="22"/>
          </w:rPr>
          <m:t>i</m:t>
        </m:r>
      </m:oMath>
    </w:p>
    <w:p w14:paraId="72661FB7"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w</m:t>
            </m:r>
          </m:e>
          <m:sub>
            <m:r>
              <w:rPr>
                <w:rFonts w:ascii="Cambria Math" w:eastAsia="Times New Roman" w:hAnsi="Cambria Math" w:cs="Times New Roman"/>
                <w:sz w:val="22"/>
                <w:szCs w:val="22"/>
              </w:rPr>
              <m:t>i</m:t>
            </m:r>
          </m:sub>
        </m:sSub>
      </m:oMath>
      <w:r w:rsidR="00281CDE" w:rsidRPr="00281CDE">
        <w:rPr>
          <w:rFonts w:ascii="Times New Roman" w:eastAsia="Times New Roman" w:hAnsi="Times New Roman" w:cs="Times New Roman"/>
          <w:sz w:val="22"/>
          <w:szCs w:val="22"/>
        </w:rPr>
        <w:t xml:space="preserve"> = weight (e.g., engagement score, source credibility)</w:t>
      </w:r>
    </w:p>
    <w:p w14:paraId="52DB95F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Weighting Schemes:</w:t>
      </w:r>
    </w:p>
    <w:p w14:paraId="4D15AA9B"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Equal weight</w:t>
      </w:r>
      <w:r w:rsidRPr="00281CDE">
        <w:rPr>
          <w:rFonts w:ascii="Times New Roman" w:eastAsia="Times New Roman" w:hAnsi="Times New Roman" w:cs="Times New Roman"/>
          <w:sz w:val="22"/>
          <w:szCs w:val="22"/>
        </w:rPr>
        <w:t>: All texts contribute equally</w:t>
      </w:r>
    </w:p>
    <w:p w14:paraId="533ECFC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Engagement-weighted</w:t>
      </w:r>
      <w:r w:rsidRPr="00281CDE">
        <w:rPr>
          <w:rFonts w:ascii="Times New Roman" w:eastAsia="Times New Roman" w:hAnsi="Times New Roman" w:cs="Times New Roman"/>
          <w:sz w:val="22"/>
          <w:szCs w:val="22"/>
        </w:rPr>
        <w:t>: Reddit/Twitter posts weighted by upvotes/retweets</w:t>
      </w:r>
    </w:p>
    <w:p w14:paraId="2BB5EC7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Source-weighted</w:t>
      </w:r>
      <w:r w:rsidRPr="00281CDE">
        <w:rPr>
          <w:rFonts w:ascii="Times New Roman" w:eastAsia="Times New Roman" w:hAnsi="Times New Roman" w:cs="Times New Roman"/>
          <w:sz w:val="22"/>
          <w:szCs w:val="22"/>
        </w:rPr>
        <w:t>: News articles are weighted higher than anonymous social media</w:t>
      </w:r>
    </w:p>
    <w:p w14:paraId="7D3D960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Temporal decay</w:t>
      </w:r>
      <w:r w:rsidRPr="00281CDE">
        <w:rPr>
          <w:rFonts w:ascii="Times New Roman" w:eastAsia="Times New Roman" w:hAnsi="Times New Roman" w:cs="Times New Roman"/>
          <w:sz w:val="22"/>
          <w:szCs w:val="22"/>
        </w:rPr>
        <w:t>: Following Cai et al. (2024), more recent sentiment observations receive higher weights to capture evolving market psychology while preserving historical context</w:t>
      </w:r>
    </w:p>
    <w:p w14:paraId="3EB0791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Basic Feature Engineering:</w:t>
      </w:r>
    </w:p>
    <w:p w14:paraId="1322EB6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Sentiment momentum</w:t>
      </w:r>
      <w:r w:rsidRPr="00281CDE">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Δ</m:t>
        </m:r>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SI</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SI</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SI</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p>
    <w:p w14:paraId="3DAEC70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Cross-asset divergence</w:t>
      </w:r>
      <w:r w:rsidRPr="00281CDE">
        <w:rPr>
          <w:rFonts w:ascii="Times New Roman" w:eastAsia="Times New Roman" w:hAnsi="Times New Roman" w:cs="Times New Roman"/>
          <w:sz w:val="22"/>
          <w:szCs w:val="22"/>
        </w:rPr>
        <w:t xml:space="preserve">: </w:t>
      </w:r>
      <m:oMath>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Divergence</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max</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SI</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min</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SI</m:t>
            </m:r>
          </m:e>
          <m:sub>
            <m:r>
              <w:rPr>
                <w:rFonts w:ascii="Cambria Math" w:eastAsia="Times New Roman" w:hAnsi="Cambria Math" w:cs="Times New Roman"/>
                <w:sz w:val="22"/>
                <w:szCs w:val="22"/>
              </w:rPr>
              <m:t>c</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oMath>
    </w:p>
    <w:p w14:paraId="75156EB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Volatility</w:t>
      </w:r>
      <w:r w:rsidRPr="00281CDE">
        <w:rPr>
          <w:rFonts w:ascii="Times New Roman" w:eastAsia="Times New Roman" w:hAnsi="Times New Roman" w:cs="Times New Roman"/>
          <w:sz w:val="22"/>
          <w:szCs w:val="22"/>
        </w:rPr>
        <w:t>: Rolling standard deviation of sentiment index</w:t>
      </w:r>
    </w:p>
    <w:p w14:paraId="52455E43"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46" w:name="sentiment-connectedness-entropy-based"/>
      <w:bookmarkEnd w:id="45"/>
      <w:r w:rsidRPr="00281CDE">
        <w:rPr>
          <w:rFonts w:ascii="Times New Roman" w:eastAsia="Times New Roman" w:hAnsi="Times New Roman" w:cs="Times New Roman"/>
          <w:b/>
          <w:bCs/>
          <w:spacing w:val="5"/>
        </w:rPr>
        <w:t>3.6.2 Sentiment Connectedness (Entropy-Based)</w:t>
      </w:r>
    </w:p>
    <w:p w14:paraId="4A3E0CE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test the </w:t>
      </w:r>
      <w:r w:rsidRPr="00281CDE">
        <w:rPr>
          <w:rFonts w:ascii="Times New Roman" w:eastAsia="Times New Roman" w:hAnsi="Times New Roman" w:cs="Times New Roman"/>
          <w:b/>
          <w:bCs/>
          <w:sz w:val="22"/>
          <w:szCs w:val="22"/>
        </w:rPr>
        <w:t>Network Effect Hypothesis (H3)</w:t>
      </w:r>
      <w:r w:rsidRPr="00281CDE">
        <w:rPr>
          <w:rFonts w:ascii="Times New Roman" w:eastAsia="Times New Roman" w:hAnsi="Times New Roman" w:cs="Times New Roman"/>
          <w:sz w:val="22"/>
          <w:szCs w:val="22"/>
        </w:rPr>
        <w:t>, we quantify the influence of each asset class within the global sentiment network. Following the methodology of Cao et al. (2025), we construct a composite connectedness index that aggregates four distinct network centrality measures using an entropy-weighting scheme to eliminate bias from any single metric.</w:t>
      </w:r>
    </w:p>
    <w:p w14:paraId="4980D3B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1. Network Centrality Inputs:</w:t>
      </w:r>
      <w:r w:rsidRPr="00281CDE">
        <w:rPr>
          <w:rFonts w:ascii="Times New Roman" w:eastAsia="Times New Roman" w:hAnsi="Times New Roman" w:cs="Times New Roman"/>
          <w:sz w:val="22"/>
          <w:szCs w:val="22"/>
        </w:rPr>
        <w:t xml:space="preserve"> We first construct a sentiment spillover network where nodes </w:t>
      </w:r>
      <m:oMath>
        <m:r>
          <w:rPr>
            <w:rFonts w:ascii="Cambria Math" w:eastAsia="Times New Roman" w:hAnsi="Cambria Math" w:cs="Times New Roman"/>
            <w:sz w:val="22"/>
            <w:szCs w:val="22"/>
          </w:rPr>
          <m:t>N</m:t>
        </m:r>
      </m:oMath>
      <w:r w:rsidRPr="00281CDE">
        <w:rPr>
          <w:rFonts w:ascii="Times New Roman" w:eastAsia="Times New Roman" w:hAnsi="Times New Roman" w:cs="Times New Roman"/>
          <w:sz w:val="22"/>
          <w:szCs w:val="22"/>
        </w:rPr>
        <w:t xml:space="preserve"> represent our asset classes (or individual constituents), and edges represent significant nonlinear Granger causality between their sentiment time series. For each node </w:t>
      </w:r>
      <m:oMath>
        <m:r>
          <w:rPr>
            <w:rFonts w:ascii="Cambria Math" w:eastAsia="Times New Roman" w:hAnsi="Cambria Math" w:cs="Times New Roman"/>
            <w:sz w:val="22"/>
            <w:szCs w:val="22"/>
          </w:rPr>
          <m:t>i</m:t>
        </m:r>
      </m:oMath>
      <w:r w:rsidRPr="00281CDE">
        <w:rPr>
          <w:rFonts w:ascii="Times New Roman" w:eastAsia="Times New Roman" w:hAnsi="Times New Roman" w:cs="Times New Roman"/>
          <w:sz w:val="22"/>
          <w:szCs w:val="22"/>
        </w:rPr>
        <w:t>, we calculate four centrality measures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ij</m:t>
            </m:r>
          </m:sub>
        </m:sSub>
      </m:oMath>
      <w:r w:rsidRPr="00281CDE">
        <w:rPr>
          <w:rFonts w:ascii="Times New Roman" w:eastAsia="Times New Roman" w:hAnsi="Times New Roman" w:cs="Times New Roman"/>
          <w:sz w:val="22"/>
          <w:szCs w:val="22"/>
        </w:rPr>
        <w:t>):</w:t>
      </w:r>
    </w:p>
    <w:p w14:paraId="6E47650D"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Degree Centrality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i1</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Measures direct sentiment spillover volume. </w:t>
      </w:r>
      <m:oMath>
        <m:r>
          <w:rPr>
            <w:rFonts w:ascii="Cambria Math" w:eastAsia="Times New Roman" w:hAnsi="Cambria Math" w:cs="Times New Roman"/>
            <w:sz w:val="22"/>
            <w:szCs w:val="22"/>
          </w:rPr>
          <m:t>D</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where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k</m:t>
            </m:r>
          </m:e>
          <m:sub>
            <m:r>
              <w:rPr>
                <w:rFonts w:ascii="Cambria Math" w:eastAsia="Times New Roman" w:hAnsi="Cambria Math" w:cs="Times New Roman"/>
                <w:sz w:val="22"/>
                <w:szCs w:val="22"/>
              </w:rPr>
              <m:t>i</m:t>
            </m:r>
          </m:sub>
        </m:sSub>
      </m:oMath>
      <w:r w:rsidRPr="00281CDE">
        <w:rPr>
          <w:rFonts w:ascii="Times New Roman" w:eastAsia="Times New Roman" w:hAnsi="Times New Roman" w:cs="Times New Roman"/>
          <w:sz w:val="22"/>
          <w:szCs w:val="22"/>
        </w:rPr>
        <w:t xml:space="preserve"> is the number of significant sentiment links.</w:t>
      </w:r>
    </w:p>
    <w:p w14:paraId="43FCA5CC"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Closeness Centrality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i2</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Measures the speed of sentiment transmission. </w:t>
      </w:r>
      <m:oMath>
        <m:r>
          <w:rPr>
            <w:rFonts w:ascii="Cambria Math" w:eastAsia="Times New Roman" w:hAnsi="Cambria Math" w:cs="Times New Roman"/>
            <w:sz w:val="22"/>
            <w:szCs w:val="22"/>
          </w:rPr>
          <m:t>C</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j</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i</m:t>
            </m:r>
          </m:sub>
          <m:sup>
            <m:r>
              <w:rPr>
                <w:rFonts w:ascii="Cambria Math" w:eastAsia="Times New Roman" w:hAnsi="Cambria Math" w:cs="Times New Roman"/>
                <w:sz w:val="22"/>
                <w:szCs w:val="22"/>
              </w:rPr>
              <m:t>​</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d</m:t>
                </m:r>
              </m:e>
              <m:sub>
                <m:r>
                  <w:rPr>
                    <w:rFonts w:ascii="Cambria Math" w:eastAsia="Times New Roman" w:hAnsi="Cambria Math" w:cs="Times New Roman"/>
                    <w:sz w:val="22"/>
                    <w:szCs w:val="22"/>
                  </w:rPr>
                  <m:t>ij</m:t>
                </m:r>
              </m:sub>
            </m:sSub>
          </m:e>
        </m:nary>
      </m:oMath>
      <w:r w:rsidRPr="00281CDE">
        <w:rPr>
          <w:rFonts w:ascii="Times New Roman" w:eastAsia="Times New Roman" w:hAnsi="Times New Roman" w:cs="Times New Roman"/>
          <w:sz w:val="22"/>
          <w:szCs w:val="22"/>
        </w:rPr>
        <w:t xml:space="preserve">, where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d</m:t>
            </m:r>
          </m:e>
          <m:sub>
            <m:r>
              <w:rPr>
                <w:rFonts w:ascii="Cambria Math" w:eastAsia="Times New Roman" w:hAnsi="Cambria Math" w:cs="Times New Roman"/>
                <w:sz w:val="22"/>
                <w:szCs w:val="22"/>
              </w:rPr>
              <m:t>ij</m:t>
            </m:r>
          </m:sub>
        </m:sSub>
      </m:oMath>
      <w:r w:rsidRPr="00281CDE">
        <w:rPr>
          <w:rFonts w:ascii="Times New Roman" w:eastAsia="Times New Roman" w:hAnsi="Times New Roman" w:cs="Times New Roman"/>
          <w:sz w:val="22"/>
          <w:szCs w:val="22"/>
        </w:rPr>
        <w:t xml:space="preserve"> is the shortest path distance.</w:t>
      </w:r>
    </w:p>
    <w:p w14:paraId="4E716989"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Betweenness Centrality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i3</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Measures the node’s role as a sentiment “bridge” or mediator. </w:t>
      </w:r>
      <m:oMath>
        <m:r>
          <w:rPr>
            <w:rFonts w:ascii="Cambria Math" w:eastAsia="Times New Roman" w:hAnsi="Cambria Math" w:cs="Times New Roman"/>
            <w:sz w:val="22"/>
            <w:szCs w:val="22"/>
          </w:rPr>
          <m:t>B</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sub>
        </m:sSub>
        <m:r>
          <m:rPr>
            <m:sty m:val="p"/>
          </m:rPr>
          <w:rPr>
            <w:rFonts w:ascii="Cambria Math" w:eastAsia="Times New Roman" w:hAnsi="Cambria Math" w:cs="Times New Roman"/>
            <w:sz w:val="22"/>
            <w:szCs w:val="22"/>
          </w:rPr>
          <m:t>=</m:t>
        </m:r>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j</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k</m:t>
            </m:r>
          </m:sub>
          <m:sup>
            <m:r>
              <w:rPr>
                <w:rFonts w:ascii="Cambria Math" w:eastAsia="Times New Roman" w:hAnsi="Cambria Math" w:cs="Times New Roman"/>
                <w:sz w:val="22"/>
                <w:szCs w:val="22"/>
              </w:rPr>
              <m:t>​</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jk</m:t>
                </m:r>
              </m:sub>
            </m:sSub>
          </m:e>
        </m:nary>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jk</m:t>
            </m:r>
          </m:sub>
        </m:sSub>
      </m:oMath>
      <w:r w:rsidRPr="00281CDE">
        <w:rPr>
          <w:rFonts w:ascii="Times New Roman" w:eastAsia="Times New Roman" w:hAnsi="Times New Roman" w:cs="Times New Roman"/>
          <w:sz w:val="22"/>
          <w:szCs w:val="22"/>
        </w:rPr>
        <w:t>.</w:t>
      </w:r>
    </w:p>
    <w:p w14:paraId="6FEA9238"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Eigenvector Centrality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i4</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Measures influence based on the importance of connected neighbors.</w:t>
      </w:r>
    </w:p>
    <w:p w14:paraId="14F86C4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2. Entropy Weight Calculation:</w:t>
      </w:r>
      <w:r w:rsidRPr="00281CDE">
        <w:rPr>
          <w:rFonts w:ascii="Times New Roman" w:eastAsia="Times New Roman" w:hAnsi="Times New Roman" w:cs="Times New Roman"/>
          <w:sz w:val="22"/>
          <w:szCs w:val="22"/>
        </w:rPr>
        <w:t xml:space="preserve"> To create a unified “Connectedness” feature for the Regime Detector, we use the Entropy Weight Method to assign dynamic weights to these four centralities based on their information entropy.</w:t>
      </w:r>
    </w:p>
    <w:p w14:paraId="195F867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First, we normalize the centrality matrix for all nodes </w:t>
      </w:r>
      <m:oMath>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n</m:t>
        </m:r>
      </m:oMath>
      <w:r w:rsidRPr="00281CDE">
        <w:rPr>
          <w:rFonts w:ascii="Times New Roman" w:eastAsia="Times New Roman" w:hAnsi="Times New Roman" w:cs="Times New Roman"/>
          <w:sz w:val="22"/>
          <w:szCs w:val="22"/>
        </w:rPr>
        <w:t xml:space="preserve"> and metrics </w:t>
      </w:r>
      <m:oMath>
        <m:r>
          <w:rPr>
            <w:rFonts w:ascii="Cambria Math" w:eastAsia="Times New Roman" w:hAnsi="Cambria Math" w:cs="Times New Roman"/>
            <w:sz w:val="22"/>
            <w:szCs w:val="22"/>
          </w:rPr>
          <m:t>j</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4</m:t>
        </m:r>
      </m:oMath>
      <w:r w:rsidRPr="00281CDE">
        <w:rPr>
          <w:rFonts w:ascii="Times New Roman" w:eastAsia="Times New Roman" w:hAnsi="Times New Roman" w:cs="Times New Roman"/>
          <w:sz w:val="22"/>
          <w:szCs w:val="22"/>
        </w:rPr>
        <w:t>:</w:t>
      </w:r>
    </w:p>
    <w:p w14:paraId="00B72BF3"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ij</m:t>
              </m:r>
            </m:sub>
          </m:sSub>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ij</m:t>
                  </m:r>
                </m:sub>
              </m:sSub>
            </m:num>
            <m:den>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n</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ij</m:t>
                      </m:r>
                    </m:sub>
                  </m:sSub>
                </m:e>
              </m:nary>
            </m:den>
          </m:f>
        </m:oMath>
      </m:oMathPara>
    </w:p>
    <w:p w14:paraId="0E1DC82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Next, we calculate the </w:t>
      </w:r>
      <w:r w:rsidRPr="00281CDE">
        <w:rPr>
          <w:rFonts w:ascii="Times New Roman" w:eastAsia="Times New Roman" w:hAnsi="Times New Roman" w:cs="Times New Roman"/>
          <w:b/>
          <w:bCs/>
          <w:sz w:val="22"/>
          <w:szCs w:val="22"/>
        </w:rPr>
        <w:t>Entropy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j</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for each centrality metric </w:t>
      </w:r>
      <m:oMath>
        <m:r>
          <w:rPr>
            <w:rFonts w:ascii="Cambria Math" w:eastAsia="Times New Roman" w:hAnsi="Cambria Math" w:cs="Times New Roman"/>
            <w:sz w:val="22"/>
            <w:szCs w:val="22"/>
          </w:rPr>
          <m:t>j</m:t>
        </m:r>
      </m:oMath>
      <w:r w:rsidRPr="00281CDE">
        <w:rPr>
          <w:rFonts w:ascii="Times New Roman" w:eastAsia="Times New Roman" w:hAnsi="Times New Roman" w:cs="Times New Roman"/>
          <w:sz w:val="22"/>
          <w:szCs w:val="22"/>
        </w:rPr>
        <w:t xml:space="preserve"> to measure its dispersion (information value):</w:t>
      </w:r>
    </w:p>
    <w:p w14:paraId="2793F621"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j</m:t>
              </m:r>
            </m:sub>
          </m:sSub>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1</m:t>
              </m:r>
            </m:num>
            <m:den>
              <m:r>
                <m:rPr>
                  <m:nor/>
                </m:rPr>
                <w:rPr>
                  <w:rFonts w:ascii="Times New Roman" w:eastAsia="Times New Roman" w:hAnsi="Times New Roman" w:cs="Times New Roman"/>
                  <w:sz w:val="22"/>
                  <w:szCs w:val="22"/>
                </w:rPr>
                <m:t>ln</m:t>
              </m:r>
              <m:r>
                <w:rPr>
                  <w:rFonts w:ascii="Cambria Math" w:eastAsia="Times New Roman" w:hAnsi="Cambria Math" w:cs="Times New Roman"/>
                  <w:sz w:val="22"/>
                  <w:szCs w:val="22"/>
                </w:rPr>
                <m:t>n</m:t>
              </m:r>
            </m:den>
          </m:f>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n</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ij</m:t>
                  </m:r>
                </m:sub>
              </m:sSub>
            </m:e>
          </m:nary>
          <m:r>
            <m:rPr>
              <m:nor/>
            </m:rPr>
            <w:rPr>
              <w:rFonts w:ascii="Times New Roman" w:eastAsia="Times New Roman" w:hAnsi="Times New Roman" w:cs="Times New Roman"/>
              <w:sz w:val="22"/>
              <w:szCs w:val="22"/>
            </w:rPr>
            <m:t>ln</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ij</m:t>
              </m:r>
            </m:sub>
          </m:sSub>
        </m:oMath>
      </m:oMathPara>
    </w:p>
    <w:p w14:paraId="7256284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We then derive the </w:t>
      </w:r>
      <w:r w:rsidRPr="00281CDE">
        <w:rPr>
          <w:rFonts w:ascii="Times New Roman" w:eastAsia="Times New Roman" w:hAnsi="Times New Roman" w:cs="Times New Roman"/>
          <w:b/>
          <w:bCs/>
          <w:sz w:val="22"/>
          <w:szCs w:val="22"/>
        </w:rPr>
        <w:t>Weight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j</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for each centrality metric. A lower entropy indicates higher variation and thus higher information value, receiving a higher weight:</w:t>
      </w:r>
    </w:p>
    <w:p w14:paraId="6E548E56"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j</m:t>
              </m:r>
            </m:sub>
          </m:sSub>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j</m:t>
                  </m:r>
                </m:sub>
              </m:sSub>
            </m:num>
            <m:den>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4</m:t>
                  </m:r>
                </m:sup>
                <m:e>
                  <m:r>
                    <m:rPr>
                      <m:sty m:val="p"/>
                    </m:rPr>
                    <w:rPr>
                      <w:rFonts w:ascii="Cambria Math" w:eastAsia="Times New Roman" w:hAnsi="Cambria Math" w:cs="Times New Roman"/>
                      <w:sz w:val="22"/>
                      <w:szCs w:val="22"/>
                    </w:rPr>
                    <m:t>(</m:t>
                  </m:r>
                </m:e>
              </m:nary>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k</m:t>
                  </m:r>
                </m:sub>
              </m:sSub>
              <m:r>
                <m:rPr>
                  <m:sty m:val="p"/>
                </m:rPr>
                <w:rPr>
                  <w:rFonts w:ascii="Cambria Math" w:eastAsia="Times New Roman" w:hAnsi="Cambria Math" w:cs="Times New Roman"/>
                  <w:sz w:val="22"/>
                  <w:szCs w:val="22"/>
                </w:rPr>
                <m:t>)</m:t>
              </m:r>
            </m:den>
          </m:f>
        </m:oMath>
      </m:oMathPara>
    </w:p>
    <w:p w14:paraId="3CE56D9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3. Final Feature Construction (AssetSentix):</w:t>
      </w:r>
      <w:r w:rsidRPr="00281CDE">
        <w:rPr>
          <w:rFonts w:ascii="Times New Roman" w:eastAsia="Times New Roman" w:hAnsi="Times New Roman" w:cs="Times New Roman"/>
          <w:sz w:val="22"/>
          <w:szCs w:val="22"/>
        </w:rPr>
        <w:t xml:space="preserve"> The final input feature for the Regime Detection Model, </w:t>
      </w:r>
      <w:r w:rsidRPr="00281CDE">
        <w:rPr>
          <w:rFonts w:ascii="Times New Roman" w:eastAsia="Times New Roman" w:hAnsi="Times New Roman" w:cs="Times New Roman"/>
          <w:b/>
          <w:bCs/>
          <w:sz w:val="22"/>
          <w:szCs w:val="22"/>
        </w:rPr>
        <w:t>Sentiment Connectedness (</w:t>
      </w:r>
      <m:oMath>
        <m:r>
          <w:rPr>
            <w:rFonts w:ascii="Cambria Math" w:eastAsia="Times New Roman" w:hAnsi="Cambria Math" w:cs="Times New Roman"/>
            <w:sz w:val="22"/>
            <w:szCs w:val="22"/>
          </w:rPr>
          <m:t>S</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is the weighted sum of the centrality measures:</w:t>
      </w:r>
    </w:p>
    <w:p w14:paraId="48AAB09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w:lastRenderedPageBreak/>
            <m:t>S</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j</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4</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j</m:t>
                  </m:r>
                </m:sub>
              </m:sSub>
            </m:e>
          </m:nary>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ij</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oMath>
      </m:oMathPara>
    </w:p>
    <w:p w14:paraId="5745968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A high </w:t>
      </w:r>
      <m:oMath>
        <m:r>
          <w:rPr>
            <w:rFonts w:ascii="Cambria Math" w:eastAsia="Times New Roman" w:hAnsi="Cambria Math" w:cs="Times New Roman"/>
            <w:sz w:val="22"/>
            <w:szCs w:val="22"/>
          </w:rPr>
          <m:t>S</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C</m:t>
            </m:r>
          </m:e>
          <m:sub>
            <m:r>
              <w:rPr>
                <w:rFonts w:ascii="Cambria Math" w:eastAsia="Times New Roman" w:hAnsi="Cambria Math" w:cs="Times New Roman"/>
                <w:sz w:val="22"/>
                <w:szCs w:val="22"/>
              </w:rPr>
              <m:t>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xml:space="preserve"> indicates that the asset </w:t>
      </w:r>
      <m:oMath>
        <m:r>
          <w:rPr>
            <w:rFonts w:ascii="Cambria Math" w:eastAsia="Times New Roman" w:hAnsi="Cambria Math" w:cs="Times New Roman"/>
            <w:sz w:val="22"/>
            <w:szCs w:val="22"/>
          </w:rPr>
          <m:t>i</m:t>
        </m:r>
      </m:oMath>
      <w:r w:rsidRPr="00281CDE">
        <w:rPr>
          <w:rFonts w:ascii="Times New Roman" w:eastAsia="Times New Roman" w:hAnsi="Times New Roman" w:cs="Times New Roman"/>
          <w:sz w:val="22"/>
          <w:szCs w:val="22"/>
        </w:rPr>
        <w:t xml:space="preserve"> is highly interconnected, acting as a key transmitter or receiver of irrational sentiment shocks, which Cao et al. (2025) found to be a strong predictor of crash risk.</w:t>
      </w:r>
    </w:p>
    <w:p w14:paraId="23AC94AF"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47" w:name="X5ef8f3b55f40235b99da7ea89b7bb3a651e306f"/>
      <w:bookmarkEnd w:id="46"/>
      <w:r w:rsidRPr="00281CDE">
        <w:rPr>
          <w:rFonts w:ascii="Times New Roman" w:eastAsia="Times New Roman" w:hAnsi="Times New Roman" w:cs="Times New Roman"/>
          <w:b/>
          <w:bCs/>
          <w:spacing w:val="5"/>
        </w:rPr>
        <w:t>3.6.3 Sentiment Divergence &amp; Decoupling (Rényi Transfer Entropy)</w:t>
      </w:r>
    </w:p>
    <w:p w14:paraId="2ED0B6A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operationalize the </w:t>
      </w:r>
      <w:r w:rsidRPr="00281CDE">
        <w:rPr>
          <w:rFonts w:ascii="Times New Roman" w:eastAsia="Times New Roman" w:hAnsi="Times New Roman" w:cs="Times New Roman"/>
          <w:b/>
          <w:bCs/>
          <w:sz w:val="22"/>
          <w:szCs w:val="22"/>
        </w:rPr>
        <w:t>Divergence Signal Hypothesis (H2)</w:t>
      </w:r>
      <w:r w:rsidRPr="00281CDE">
        <w:rPr>
          <w:rFonts w:ascii="Times New Roman" w:eastAsia="Times New Roman" w:hAnsi="Times New Roman" w:cs="Times New Roman"/>
          <w:sz w:val="22"/>
          <w:szCs w:val="22"/>
        </w:rPr>
        <w:t xml:space="preserve">, we move beyond linear correlation to measure the directional information flow between asset classes (e.g., Equities </w:t>
      </w:r>
      <m:oMath>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Crypto). We employ </w:t>
      </w:r>
      <w:r w:rsidRPr="00281CDE">
        <w:rPr>
          <w:rFonts w:ascii="Times New Roman" w:eastAsia="Times New Roman" w:hAnsi="Times New Roman" w:cs="Times New Roman"/>
          <w:b/>
          <w:bCs/>
          <w:sz w:val="22"/>
          <w:szCs w:val="22"/>
        </w:rPr>
        <w:t>Rényi Transfer Entropy (RTE)</w:t>
      </w:r>
      <w:r w:rsidRPr="00281CDE">
        <w:rPr>
          <w:rFonts w:ascii="Times New Roman" w:eastAsia="Times New Roman" w:hAnsi="Times New Roman" w:cs="Times New Roman"/>
          <w:sz w:val="22"/>
          <w:szCs w:val="22"/>
        </w:rPr>
        <w:t xml:space="preserve"> as utilized by Caferra (2022) because it captures non-linear dependencies and emphasizes tail events (extreme sentiment) via a weighting parameter </w:t>
      </w:r>
      <m:oMath>
        <m:r>
          <w:rPr>
            <w:rFonts w:ascii="Cambria Math" w:eastAsia="Times New Roman" w:hAnsi="Cambria Math" w:cs="Times New Roman"/>
            <w:sz w:val="22"/>
            <w:szCs w:val="22"/>
          </w:rPr>
          <m:t>q</m:t>
        </m:r>
      </m:oMath>
      <w:r w:rsidRPr="00281CDE">
        <w:rPr>
          <w:rFonts w:ascii="Times New Roman" w:eastAsia="Times New Roman" w:hAnsi="Times New Roman" w:cs="Times New Roman"/>
          <w:sz w:val="22"/>
          <w:szCs w:val="22"/>
        </w:rPr>
        <w:t>, which traditional Granger Causality misses.</w:t>
      </w:r>
    </w:p>
    <w:p w14:paraId="17FCA7B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1. The Probability Space:</w:t>
      </w:r>
      <w:r w:rsidRPr="00281CDE">
        <w:rPr>
          <w:rFonts w:ascii="Times New Roman" w:eastAsia="Times New Roman" w:hAnsi="Times New Roman" w:cs="Times New Roman"/>
          <w:sz w:val="22"/>
          <w:szCs w:val="22"/>
        </w:rPr>
        <w:t xml:space="preserve"> Let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xml:space="preserve"> and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xml:space="preserve"> represent the sentiment time series of two asset classes (e.g., </w:t>
      </w:r>
      <m:oMath>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Equity Sentiment, </w:t>
      </w:r>
      <m:oMath>
        <m:r>
          <w:rPr>
            <w:rFonts w:ascii="Cambria Math" w:eastAsia="Times New Roman" w:hAnsi="Cambria Math" w:cs="Times New Roman"/>
            <w:sz w:val="22"/>
            <w:szCs w:val="22"/>
          </w:rPr>
          <m:t>Y</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Crypto Sentiment). We treat these as Markov processes. To capture the flow of information from </w:t>
      </w:r>
      <m:oMath>
        <m:r>
          <w:rPr>
            <w:rFonts w:ascii="Cambria Math" w:eastAsia="Times New Roman" w:hAnsi="Cambria Math" w:cs="Times New Roman"/>
            <w:sz w:val="22"/>
            <w:szCs w:val="22"/>
          </w:rPr>
          <m:t>X</m:t>
        </m:r>
      </m:oMath>
      <w:r w:rsidRPr="00281CDE">
        <w:rPr>
          <w:rFonts w:ascii="Times New Roman" w:eastAsia="Times New Roman" w:hAnsi="Times New Roman" w:cs="Times New Roman"/>
          <w:sz w:val="22"/>
          <w:szCs w:val="22"/>
        </w:rPr>
        <w:t xml:space="preserve"> to </w:t>
      </w:r>
      <m:oMath>
        <m:r>
          <w:rPr>
            <w:rFonts w:ascii="Cambria Math" w:eastAsia="Times New Roman" w:hAnsi="Cambria Math" w:cs="Times New Roman"/>
            <w:sz w:val="22"/>
            <w:szCs w:val="22"/>
          </w:rPr>
          <m:t>Y</m:t>
        </m:r>
      </m:oMath>
      <w:r w:rsidRPr="00281CDE">
        <w:rPr>
          <w:rFonts w:ascii="Times New Roman" w:eastAsia="Times New Roman" w:hAnsi="Times New Roman" w:cs="Times New Roman"/>
          <w:sz w:val="22"/>
          <w:szCs w:val="22"/>
        </w:rPr>
        <w:t xml:space="preserve">, we compare the probability of observing a future state of </w:t>
      </w:r>
      <m:oMath>
        <m:r>
          <w:rPr>
            <w:rFonts w:ascii="Cambria Math" w:eastAsia="Times New Roman" w:hAnsi="Cambria Math" w:cs="Times New Roman"/>
            <w:sz w:val="22"/>
            <w:szCs w:val="22"/>
          </w:rPr>
          <m:t>Y</m:t>
        </m:r>
      </m:oMath>
      <w:r w:rsidRPr="00281CDE">
        <w:rPr>
          <w:rFonts w:ascii="Times New Roman" w:eastAsia="Times New Roman" w:hAnsi="Times New Roman" w:cs="Times New Roman"/>
          <w:sz w:val="22"/>
          <w:szCs w:val="22"/>
        </w:rPr>
        <w:t xml:space="preserv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sz w:val="22"/>
          <w:szCs w:val="22"/>
        </w:rPr>
        <w:t xml:space="preserve">) conditioned on its own history versus conditioned on both its own history </w:t>
      </w:r>
      <w:r w:rsidRPr="00281CDE">
        <w:rPr>
          <w:rFonts w:ascii="Times New Roman" w:eastAsia="Times New Roman" w:hAnsi="Times New Roman" w:cs="Times New Roman"/>
          <w:i/>
          <w:iCs/>
          <w:sz w:val="22"/>
          <w:szCs w:val="22"/>
        </w:rPr>
        <w:t>and</w:t>
      </w:r>
      <w:r w:rsidRPr="00281CDE">
        <w:rPr>
          <w:rFonts w:ascii="Times New Roman" w:eastAsia="Times New Roman" w:hAnsi="Times New Roman" w:cs="Times New Roman"/>
          <w:sz w:val="22"/>
          <w:szCs w:val="22"/>
        </w:rPr>
        <w:t xml:space="preserve"> the history of </w:t>
      </w:r>
      <m:oMath>
        <m:r>
          <w:rPr>
            <w:rFonts w:ascii="Cambria Math" w:eastAsia="Times New Roman" w:hAnsi="Cambria Math" w:cs="Times New Roman"/>
            <w:sz w:val="22"/>
            <w:szCs w:val="22"/>
          </w:rPr>
          <m:t>X</m:t>
        </m:r>
      </m:oMath>
      <w:r w:rsidRPr="00281CDE">
        <w:rPr>
          <w:rFonts w:ascii="Times New Roman" w:eastAsia="Times New Roman" w:hAnsi="Times New Roman" w:cs="Times New Roman"/>
          <w:sz w:val="22"/>
          <w:szCs w:val="22"/>
        </w:rPr>
        <w:t>.</w:t>
      </w:r>
    </w:p>
    <w:p w14:paraId="52BA2EE1"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2. Rényi Transfer Entropy (RTE):</w:t>
      </w:r>
      <w:r w:rsidRPr="00281CDE">
        <w:rPr>
          <w:rFonts w:ascii="Times New Roman" w:eastAsia="Times New Roman" w:hAnsi="Times New Roman" w:cs="Times New Roman"/>
          <w:sz w:val="22"/>
          <w:szCs w:val="22"/>
        </w:rPr>
        <w:t xml:space="preserve"> Following Caferra (2022), we calculate the RTE to quantify the reduction in uncertainty about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sz w:val="22"/>
          <w:szCs w:val="22"/>
        </w:rPr>
        <w:t xml:space="preserve"> given knowledge of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xml:space="preserve">. We introduce the weighting parameter </w:t>
      </w:r>
      <m:oMath>
        <m:r>
          <w:rPr>
            <w:rFonts w:ascii="Cambria Math" w:eastAsia="Times New Roman" w:hAnsi="Cambria Math" w:cs="Times New Roman"/>
            <w:sz w:val="22"/>
            <w:szCs w:val="22"/>
          </w:rPr>
          <m:t>q</m:t>
        </m:r>
      </m:oMath>
      <w:r w:rsidRPr="00281CDE">
        <w:rPr>
          <w:rFonts w:ascii="Times New Roman" w:eastAsia="Times New Roman" w:hAnsi="Times New Roman" w:cs="Times New Roman"/>
          <w:sz w:val="22"/>
          <w:szCs w:val="22"/>
        </w:rPr>
        <w:t xml:space="preserve"> to sensitize the metric to “risk-off” tail events (where </w:t>
      </w:r>
      <m:oMath>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&lt;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 xml:space="preserve"> emphasizes rare events and </w:t>
      </w:r>
      <m:oMath>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&gt;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 xml:space="preserve"> emphasizes frequent events).</w:t>
      </w:r>
    </w:p>
    <w:p w14:paraId="4BA5581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 RTE from </w:t>
      </w:r>
      <m:oMath>
        <m:r>
          <w:rPr>
            <w:rFonts w:ascii="Cambria Math" w:eastAsia="Times New Roman" w:hAnsi="Cambria Math" w:cs="Times New Roman"/>
            <w:sz w:val="22"/>
            <w:szCs w:val="22"/>
          </w:rPr>
          <m:t>X</m:t>
        </m:r>
      </m:oMath>
      <w:r w:rsidRPr="00281CDE">
        <w:rPr>
          <w:rFonts w:ascii="Times New Roman" w:eastAsia="Times New Roman" w:hAnsi="Times New Roman" w:cs="Times New Roman"/>
          <w:sz w:val="22"/>
          <w:szCs w:val="22"/>
        </w:rPr>
        <w:t xml:space="preserve"> to </w:t>
      </w:r>
      <m:oMath>
        <m:r>
          <w:rPr>
            <w:rFonts w:ascii="Cambria Math" w:eastAsia="Times New Roman" w:hAnsi="Cambria Math" w:cs="Times New Roman"/>
            <w:sz w:val="22"/>
            <w:szCs w:val="22"/>
          </w:rPr>
          <m:t>Y</m:t>
        </m:r>
      </m:oMath>
      <w:r w:rsidRPr="00281CDE">
        <w:rPr>
          <w:rFonts w:ascii="Times New Roman" w:eastAsia="Times New Roman" w:hAnsi="Times New Roman" w:cs="Times New Roman"/>
          <w:sz w:val="22"/>
          <w:szCs w:val="22"/>
        </w:rPr>
        <w:t xml:space="preserve">, denoted as </w:t>
      </w:r>
      <m:oMath>
        <m:r>
          <w:rPr>
            <w:rFonts w:ascii="Cambria Math" w:eastAsia="Times New Roman" w:hAnsi="Cambria Math" w:cs="Times New Roman"/>
            <w:sz w:val="22"/>
            <w:szCs w:val="22"/>
          </w:rPr>
          <m:t>RT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Y</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is defined as:</w:t>
      </w:r>
    </w:p>
    <w:p w14:paraId="21302DF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RT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Y</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1</m:t>
              </m:r>
            </m:num>
            <m:den>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q</m:t>
              </m:r>
            </m:den>
          </m:f>
          <m:r>
            <m:rPr>
              <m:nor/>
            </m:rPr>
            <w:rPr>
              <w:rFonts w:ascii="Times New Roman" w:eastAsia="Times New Roman" w:hAnsi="Times New Roman" w:cs="Times New Roman"/>
              <w:sz w:val="22"/>
              <w:szCs w:val="22"/>
            </w:rPr>
            <m:t>log</m:t>
          </m:r>
          <m:f>
            <m:fPr>
              <m:ctrlPr>
                <w:rPr>
                  <w:rFonts w:ascii="Cambria Math" w:eastAsia="Times New Roman" w:hAnsi="Cambria Math" w:cs="Times New Roman"/>
                  <w:sz w:val="22"/>
                  <w:szCs w:val="22"/>
                </w:rPr>
              </m:ctrlPr>
            </m:fPr>
            <m:num>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y</m:t>
                  </m:r>
                </m:sub>
                <m:sup>
                  <m:r>
                    <w:rPr>
                      <w:rFonts w:ascii="Cambria Math" w:eastAsia="Times New Roman" w:hAnsi="Cambria Math" w:cs="Times New Roman"/>
                      <w:sz w:val="22"/>
                      <w:szCs w:val="22"/>
                    </w:rPr>
                    <m:t>​</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ϕ</m:t>
                      </m:r>
                    </m:e>
                    <m:sub>
                      <m:r>
                        <w:rPr>
                          <w:rFonts w:ascii="Cambria Math" w:eastAsia="Times New Roman" w:hAnsi="Cambria Math" w:cs="Times New Roman"/>
                          <w:sz w:val="22"/>
                          <w:szCs w:val="22"/>
                        </w:rPr>
                        <m:t>q</m:t>
                      </m:r>
                    </m:sub>
                  </m:sSub>
                </m:e>
              </m:nary>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q</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num>
            <m:den>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y</m:t>
                  </m:r>
                </m:sub>
                <m:sup>
                  <m:r>
                    <w:rPr>
                      <w:rFonts w:ascii="Cambria Math" w:eastAsia="Times New Roman" w:hAnsi="Cambria Math" w:cs="Times New Roman"/>
                      <w:sz w:val="22"/>
                      <w:szCs w:val="22"/>
                    </w:rPr>
                    <m:t>​</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ϕ</m:t>
                      </m:r>
                    </m:e>
                    <m:sub>
                      <m:r>
                        <w:rPr>
                          <w:rFonts w:ascii="Cambria Math" w:eastAsia="Times New Roman" w:hAnsi="Cambria Math" w:cs="Times New Roman"/>
                          <w:sz w:val="22"/>
                          <w:szCs w:val="22"/>
                        </w:rPr>
                        <m:t>q</m:t>
                      </m:r>
                    </m:sub>
                  </m:sSub>
                </m:e>
              </m:nary>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p</m:t>
                  </m:r>
                </m:e>
                <m:sub>
                  <m:r>
                    <w:rPr>
                      <w:rFonts w:ascii="Cambria Math" w:eastAsia="Times New Roman" w:hAnsi="Cambria Math" w:cs="Times New Roman"/>
                      <w:sz w:val="22"/>
                      <w:szCs w:val="22"/>
                    </w:rPr>
                    <m:t>q</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y</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den>
          </m:f>
        </m:oMath>
      </m:oMathPara>
    </w:p>
    <w:p w14:paraId="5061040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Where:</w:t>
      </w:r>
    </w:p>
    <w:p w14:paraId="34E42E1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p</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represents the standard transition probabilities.</w:t>
      </w:r>
    </w:p>
    <w:p w14:paraId="30C95FB5"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ϕ</m:t>
            </m:r>
          </m:e>
          <m:sub>
            <m:r>
              <w:rPr>
                <w:rFonts w:ascii="Cambria Math" w:eastAsia="Times New Roman" w:hAnsi="Cambria Math" w:cs="Times New Roman"/>
                <w:sz w:val="22"/>
                <w:szCs w:val="22"/>
              </w:rPr>
              <m:t>q</m:t>
            </m:r>
          </m:sub>
        </m:sSub>
        <m:r>
          <m:rPr>
            <m:sty m:val="p"/>
          </m:rPr>
          <w:rPr>
            <w:rFonts w:ascii="Cambria Math" w:eastAsia="Times New Roman" w:hAnsi="Cambria Math" w:cs="Times New Roman"/>
            <w:sz w:val="22"/>
            <w:szCs w:val="22"/>
          </w:rPr>
          <m:t>(⋅)</m:t>
        </m:r>
      </m:oMath>
      <w:r w:rsidR="00281CDE" w:rsidRPr="00281CDE">
        <w:rPr>
          <w:rFonts w:ascii="Times New Roman" w:eastAsia="Times New Roman" w:hAnsi="Times New Roman" w:cs="Times New Roman"/>
          <w:sz w:val="22"/>
          <w:szCs w:val="22"/>
        </w:rPr>
        <w:t xml:space="preserve"> is the </w:t>
      </w:r>
      <w:r w:rsidR="00281CDE" w:rsidRPr="00281CDE">
        <w:rPr>
          <w:rFonts w:ascii="Times New Roman" w:eastAsia="Times New Roman" w:hAnsi="Times New Roman" w:cs="Times New Roman"/>
          <w:b/>
          <w:bCs/>
          <w:sz w:val="22"/>
          <w:szCs w:val="22"/>
        </w:rPr>
        <w:t>escort distribution</w:t>
      </w:r>
      <w:r w:rsidR="00281CDE" w:rsidRPr="00281CDE">
        <w:rPr>
          <w:rFonts w:ascii="Times New Roman" w:eastAsia="Times New Roman" w:hAnsi="Times New Roman" w:cs="Times New Roman"/>
          <w:sz w:val="22"/>
          <w:szCs w:val="22"/>
        </w:rPr>
        <w:t xml:space="preserve">, defined as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ϕ</m:t>
            </m:r>
          </m:e>
          <m:sub>
            <m:r>
              <w:rPr>
                <w:rFonts w:ascii="Cambria Math" w:eastAsia="Times New Roman" w:hAnsi="Cambria Math" w:cs="Times New Roman"/>
                <w:sz w:val="22"/>
                <w:szCs w:val="22"/>
              </w:rPr>
              <m:t>q</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sSup>
              <m:sSupPr>
                <m:ctrlPr>
                  <w:rPr>
                    <w:rFonts w:ascii="Cambria Math" w:eastAsia="Times New Roman" w:hAnsi="Cambria Math" w:cs="Times New Roman"/>
                    <w:sz w:val="22"/>
                    <w:szCs w:val="22"/>
                  </w:rPr>
                </m:ctrlPr>
              </m:sSupPr>
              <m:e>
                <m:r>
                  <m:rPr>
                    <m:sty m:val="p"/>
                  </m:rPr>
                  <w:rPr>
                    <w:rFonts w:ascii="Cambria Math" w:eastAsia="Times New Roman" w:hAnsi="Cambria Math" w:cs="Times New Roman"/>
                    <w:sz w:val="22"/>
                    <w:szCs w:val="22"/>
                  </w:rPr>
                  <m:t>)</m:t>
                </m:r>
              </m:e>
              <m:sup>
                <m:r>
                  <w:rPr>
                    <w:rFonts w:ascii="Cambria Math" w:eastAsia="Times New Roman" w:hAnsi="Cambria Math" w:cs="Times New Roman"/>
                    <w:sz w:val="22"/>
                    <w:szCs w:val="22"/>
                  </w:rPr>
                  <m:t>q</m:t>
                </m:r>
              </m:sup>
            </m:sSup>
          </m:num>
          <m:den>
            <m:nary>
              <m:naryPr>
                <m:chr m:val="∑"/>
                <m:limLoc m:val="undOvr"/>
                <m:supHide m:val="1"/>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x</m:t>
                </m:r>
              </m:sub>
              <m:sup>
                <m:r>
                  <w:rPr>
                    <w:rFonts w:ascii="Cambria Math" w:eastAsia="Times New Roman" w:hAnsi="Cambria Math" w:cs="Times New Roman"/>
                    <w:sz w:val="22"/>
                    <w:szCs w:val="22"/>
                  </w:rPr>
                  <m:t>​</m:t>
                </m:r>
              </m:sup>
              <m:e>
                <m:r>
                  <w:rPr>
                    <w:rFonts w:ascii="Cambria Math" w:eastAsia="Times New Roman" w:hAnsi="Cambria Math" w:cs="Times New Roman"/>
                    <w:sz w:val="22"/>
                    <w:szCs w:val="22"/>
                  </w:rPr>
                  <m:t>p</m:t>
                </m:r>
              </m:e>
            </m:nary>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sSup>
              <m:sSupPr>
                <m:ctrlPr>
                  <w:rPr>
                    <w:rFonts w:ascii="Cambria Math" w:eastAsia="Times New Roman" w:hAnsi="Cambria Math" w:cs="Times New Roman"/>
                    <w:sz w:val="22"/>
                    <w:szCs w:val="22"/>
                  </w:rPr>
                </m:ctrlPr>
              </m:sSupPr>
              <m:e>
                <m:r>
                  <m:rPr>
                    <m:sty m:val="p"/>
                  </m:rPr>
                  <w:rPr>
                    <w:rFonts w:ascii="Cambria Math" w:eastAsia="Times New Roman" w:hAnsi="Cambria Math" w:cs="Times New Roman"/>
                    <w:sz w:val="22"/>
                    <w:szCs w:val="22"/>
                  </w:rPr>
                  <m:t>)</m:t>
                </m:r>
              </m:e>
              <m:sup>
                <m:r>
                  <w:rPr>
                    <w:rFonts w:ascii="Cambria Math" w:eastAsia="Times New Roman" w:hAnsi="Cambria Math" w:cs="Times New Roman"/>
                    <w:sz w:val="22"/>
                    <w:szCs w:val="22"/>
                  </w:rPr>
                  <m:t>q</m:t>
                </m:r>
              </m:sup>
            </m:sSup>
          </m:den>
        </m:f>
      </m:oMath>
      <w:r w:rsidR="00281CDE" w:rsidRPr="00281CDE">
        <w:rPr>
          <w:rFonts w:ascii="Times New Roman" w:eastAsia="Times New Roman" w:hAnsi="Times New Roman" w:cs="Times New Roman"/>
          <w:sz w:val="22"/>
          <w:szCs w:val="22"/>
        </w:rPr>
        <w:t>. This normalizes the probabilities to highlight specific parts of the distribution (e.g., extreme negative sentiment spikes).</w:t>
      </w:r>
    </w:p>
    <w:p w14:paraId="3869687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q</m:t>
        </m:r>
      </m:oMath>
      <w:r w:rsidRPr="00281CDE">
        <w:rPr>
          <w:rFonts w:ascii="Times New Roman" w:eastAsia="Times New Roman" w:hAnsi="Times New Roman" w:cs="Times New Roman"/>
          <w:sz w:val="22"/>
          <w:szCs w:val="22"/>
        </w:rPr>
        <w:t xml:space="preserve">: The sensitivity parameter. We calculate this feature with </w:t>
      </w:r>
      <m:oMath>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0.5</m:t>
        </m:r>
      </m:oMath>
      <w:r w:rsidRPr="00281CDE">
        <w:rPr>
          <w:rFonts w:ascii="Times New Roman" w:eastAsia="Times New Roman" w:hAnsi="Times New Roman" w:cs="Times New Roman"/>
          <w:sz w:val="22"/>
          <w:szCs w:val="22"/>
        </w:rPr>
        <w:t xml:space="preserve"> (emphasizing rare, extreme sentiment shocks) and </w:t>
      </w:r>
      <m:oMath>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 xml:space="preserve"> </w:t>
      </w:r>
      <w:r w:rsidRPr="00281CDE">
        <w:rPr>
          <w:rFonts w:ascii="Times New Roman" w:eastAsia="Times New Roman" w:hAnsi="Times New Roman" w:cs="Times New Roman"/>
          <w:sz w:val="22"/>
          <w:szCs w:val="22"/>
        </w:rPr>
        <w:lastRenderedPageBreak/>
        <w:t>(standard Shannon entropy) to detect regime-specific decoupling.</w:t>
      </w:r>
    </w:p>
    <w:p w14:paraId="3ED867A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3. The Decoupling Indicator (Feature Construction):</w:t>
      </w:r>
      <w:r w:rsidRPr="00281CDE">
        <w:rPr>
          <w:rFonts w:ascii="Times New Roman" w:eastAsia="Times New Roman" w:hAnsi="Times New Roman" w:cs="Times New Roman"/>
          <w:sz w:val="22"/>
          <w:szCs w:val="22"/>
        </w:rPr>
        <w:t xml:space="preserve"> Shi (2025) identifies “decoupling” as a structural break where traditional asset correlations (e.g., Gold vs. Dollar) invert or disappear due to behavioral anomalies. To capture this, we define the </w:t>
      </w:r>
      <w:r w:rsidRPr="00281CDE">
        <w:rPr>
          <w:rFonts w:ascii="Times New Roman" w:eastAsia="Times New Roman" w:hAnsi="Times New Roman" w:cs="Times New Roman"/>
          <w:b/>
          <w:bCs/>
          <w:sz w:val="22"/>
          <w:szCs w:val="22"/>
        </w:rPr>
        <w:t>Sentiment Decoupling Indicator (</w:t>
      </w:r>
      <m:oMath>
        <m:r>
          <w:rPr>
            <w:rFonts w:ascii="Cambria Math" w:eastAsia="Times New Roman" w:hAnsi="Cambria Math" w:cs="Times New Roman"/>
            <w:sz w:val="22"/>
            <w:szCs w:val="22"/>
          </w:rPr>
          <m:t>SD</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I</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w:t>
      </w:r>
    </w:p>
    <w:p w14:paraId="0F0E53A2"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First, we calculate the </w:t>
      </w:r>
      <w:r w:rsidRPr="00281CDE">
        <w:rPr>
          <w:rFonts w:ascii="Times New Roman" w:eastAsia="Times New Roman" w:hAnsi="Times New Roman" w:cs="Times New Roman"/>
          <w:b/>
          <w:bCs/>
          <w:sz w:val="22"/>
          <w:szCs w:val="22"/>
        </w:rPr>
        <w:t>Net Information Flow (</w:t>
      </w:r>
      <m:oMath>
        <m:r>
          <w:rPr>
            <w:rFonts w:ascii="Cambria Math" w:eastAsia="Times New Roman" w:hAnsi="Cambria Math" w:cs="Times New Roman"/>
            <w:sz w:val="22"/>
            <w:szCs w:val="22"/>
          </w:rPr>
          <m:t>NI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over a rolling window </w:t>
      </w:r>
      <m:oMath>
        <m:r>
          <w:rPr>
            <w:rFonts w:ascii="Cambria Math" w:eastAsia="Times New Roman" w:hAnsi="Cambria Math" w:cs="Times New Roman"/>
            <w:sz w:val="22"/>
            <w:szCs w:val="22"/>
          </w:rPr>
          <m:t>w</m:t>
        </m:r>
      </m:oMath>
      <w:r w:rsidRPr="00281CDE">
        <w:rPr>
          <w:rFonts w:ascii="Times New Roman" w:eastAsia="Times New Roman" w:hAnsi="Times New Roman" w:cs="Times New Roman"/>
          <w:sz w:val="22"/>
          <w:szCs w:val="22"/>
        </w:rPr>
        <w:t xml:space="preserve"> (e.g., 30 days):</w:t>
      </w:r>
    </w:p>
    <w:p w14:paraId="33AB240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NI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Y</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RT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Y</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RT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Y</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q</m:t>
          </m:r>
          <m:r>
            <m:rPr>
              <m:sty m:val="p"/>
            </m:rPr>
            <w:rPr>
              <w:rFonts w:ascii="Cambria Math" w:eastAsia="Times New Roman" w:hAnsi="Cambria Math" w:cs="Times New Roman"/>
              <w:sz w:val="22"/>
              <w:szCs w:val="22"/>
            </w:rPr>
            <m:t>)</m:t>
          </m:r>
        </m:oMath>
      </m:oMathPara>
    </w:p>
    <w:p w14:paraId="4791E08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Then, we define </w:t>
      </w:r>
      <w:r w:rsidRPr="00281CDE">
        <w:rPr>
          <w:rFonts w:ascii="Times New Roman" w:eastAsia="Times New Roman" w:hAnsi="Times New Roman" w:cs="Times New Roman"/>
          <w:b/>
          <w:bCs/>
          <w:sz w:val="22"/>
          <w:szCs w:val="22"/>
        </w:rPr>
        <w:t>Decoupling (</w:t>
      </w:r>
      <m:oMath>
        <m:r>
          <w:rPr>
            <w:rFonts w:ascii="Cambria Math" w:eastAsia="Times New Roman" w:hAnsi="Cambria Math" w:cs="Times New Roman"/>
            <w:sz w:val="22"/>
            <w:szCs w:val="22"/>
          </w:rPr>
          <m:t>SD</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I</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as the state where the bi-directional information flow collapses below a significance threshold </w:t>
      </w:r>
      <m:oMath>
        <m:r>
          <w:rPr>
            <w:rFonts w:ascii="Cambria Math" w:eastAsia="Times New Roman" w:hAnsi="Cambria Math" w:cs="Times New Roman"/>
            <w:sz w:val="22"/>
            <w:szCs w:val="22"/>
          </w:rPr>
          <m:t>ϵ</m:t>
        </m:r>
      </m:oMath>
      <w:r w:rsidRPr="00281CDE">
        <w:rPr>
          <w:rFonts w:ascii="Times New Roman" w:eastAsia="Times New Roman" w:hAnsi="Times New Roman" w:cs="Times New Roman"/>
          <w:sz w:val="22"/>
          <w:szCs w:val="22"/>
        </w:rPr>
        <w:t xml:space="preserve">, or when the NIF acts counter to the historical price correlation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ρ</m:t>
            </m:r>
          </m:e>
          <m:sub>
            <m:r>
              <w:rPr>
                <w:rFonts w:ascii="Cambria Math" w:eastAsia="Times New Roman" w:hAnsi="Cambria Math" w:cs="Times New Roman"/>
                <w:sz w:val="22"/>
                <w:szCs w:val="22"/>
              </w:rPr>
              <m:t>price</m:t>
            </m:r>
          </m:sub>
        </m:sSub>
      </m:oMath>
      <w:r w:rsidRPr="00281CDE">
        <w:rPr>
          <w:rFonts w:ascii="Times New Roman" w:eastAsia="Times New Roman" w:hAnsi="Times New Roman" w:cs="Times New Roman"/>
          <w:sz w:val="22"/>
          <w:szCs w:val="22"/>
        </w:rPr>
        <w:t>:</w:t>
      </w:r>
    </w:p>
    <w:p w14:paraId="425F9FE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SD</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I</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d>
            <m:dPr>
              <m:begChr m:val="{"/>
              <m:endChr m:val=""/>
              <m:ctrlPr>
                <w:rPr>
                  <w:rFonts w:ascii="Cambria Math" w:eastAsia="Times New Roman" w:hAnsi="Cambria Math" w:cs="Times New Roman"/>
                  <w:sz w:val="22"/>
                  <w:szCs w:val="22"/>
                </w:rPr>
              </m:ctrlPr>
            </m:dPr>
            <m:e>
              <m:m>
                <m:mPr>
                  <m:plcHide m:val="1"/>
                  <m:mcs>
                    <m:mc>
                      <m:mcPr>
                        <m:count m:val="2"/>
                        <m:mcJc m:val="left"/>
                      </m:mcPr>
                    </m:mc>
                  </m:mcs>
                  <m:ctrlPr>
                    <w:rPr>
                      <w:rFonts w:ascii="Cambria Math" w:eastAsia="Times New Roman" w:hAnsi="Cambria Math" w:cs="Times New Roman"/>
                      <w:sz w:val="22"/>
                      <w:szCs w:val="22"/>
                    </w:rPr>
                  </m:ctrlPr>
                </m:mPr>
                <m:mr>
                  <m:e>
                    <m:r>
                      <w:rPr>
                        <w:rFonts w:ascii="Cambria Math" w:eastAsia="Times New Roman" w:hAnsi="Cambria Math" w:cs="Times New Roman"/>
                        <w:sz w:val="22"/>
                        <w:szCs w:val="22"/>
                      </w:rPr>
                      <m:t>1</m:t>
                    </m:r>
                  </m:e>
                  <m:e>
                    <m:r>
                      <m:rPr>
                        <m:nor/>
                      </m:rPr>
                      <w:rPr>
                        <w:rFonts w:ascii="Times New Roman" w:eastAsia="Times New Roman" w:hAnsi="Times New Roman" w:cs="Times New Roman"/>
                        <w:sz w:val="22"/>
                        <w:szCs w:val="22"/>
                      </w:rPr>
                      <m:t xml:space="preserve">if </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RT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Y</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RT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E</m:t>
                        </m:r>
                      </m:e>
                      <m:sub>
                        <m:r>
                          <w:rPr>
                            <w:rFonts w:ascii="Cambria Math" w:eastAsia="Times New Roman" w:hAnsi="Cambria Math" w:cs="Times New Roman"/>
                            <w:sz w:val="22"/>
                            <w:szCs w:val="22"/>
                          </w:rPr>
                          <m:t>Y</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sub>
                    </m:sSub>
                    <m:r>
                      <m:rPr>
                        <m:sty m:val="p"/>
                      </m:rPr>
                      <w:rPr>
                        <w:rFonts w:ascii="Cambria Math" w:eastAsia="Times New Roman" w:hAnsi="Cambria Math" w:cs="Times New Roman"/>
                        <w:sz w:val="22"/>
                        <w:szCs w:val="22"/>
                      </w:rPr>
                      <m:t>)&lt;</m:t>
                    </m:r>
                    <m:r>
                      <w:rPr>
                        <w:rFonts w:ascii="Cambria Math" w:eastAsia="Times New Roman" w:hAnsi="Cambria Math" w:cs="Times New Roman"/>
                        <w:sz w:val="22"/>
                        <w:szCs w:val="22"/>
                      </w:rPr>
                      <m:t>ϵ </m:t>
                    </m:r>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Total Disconnection</m:t>
                    </m:r>
                    <m:r>
                      <m:rPr>
                        <m:sty m:val="p"/>
                      </m:rPr>
                      <w:rPr>
                        <w:rFonts w:ascii="Cambria Math" w:eastAsia="Times New Roman" w:hAnsi="Cambria Math" w:cs="Times New Roman"/>
                        <w:sz w:val="22"/>
                        <w:szCs w:val="22"/>
                      </w:rPr>
                      <m:t>)</m:t>
                    </m:r>
                  </m:e>
                </m:mr>
                <m:mr>
                  <m:e>
                    <m:r>
                      <w:rPr>
                        <w:rFonts w:ascii="Cambria Math" w:eastAsia="Times New Roman" w:hAnsi="Cambria Math" w:cs="Times New Roman"/>
                        <w:sz w:val="22"/>
                        <w:szCs w:val="22"/>
                      </w:rPr>
                      <m:t>1</m:t>
                    </m:r>
                  </m:e>
                  <m:e>
                    <m:r>
                      <m:rPr>
                        <m:nor/>
                      </m:rPr>
                      <w:rPr>
                        <w:rFonts w:ascii="Times New Roman" w:eastAsia="Times New Roman" w:hAnsi="Times New Roman" w:cs="Times New Roman"/>
                        <w:sz w:val="22"/>
                        <w:szCs w:val="22"/>
                      </w:rPr>
                      <m:t>if sign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NI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F</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sign</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m:rPr>
                            <m:nor/>
                          </m:rPr>
                          <w:rPr>
                            <w:rFonts w:ascii="Times New Roman" w:eastAsia="Times New Roman" w:hAnsi="Times New Roman" w:cs="Times New Roman"/>
                            <w:sz w:val="22"/>
                            <w:szCs w:val="22"/>
                          </w:rPr>
                          <m:t>SentimentDiff</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 </m:t>
                    </m:r>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Anomalous Flow</m:t>
                    </m:r>
                    <m:r>
                      <m:rPr>
                        <m:sty m:val="p"/>
                      </m:rPr>
                      <w:rPr>
                        <w:rFonts w:ascii="Cambria Math" w:eastAsia="Times New Roman" w:hAnsi="Cambria Math" w:cs="Times New Roman"/>
                        <w:sz w:val="22"/>
                        <w:szCs w:val="22"/>
                      </w:rPr>
                      <m:t>)</m:t>
                    </m:r>
                  </m:e>
                </m:mr>
                <m:mr>
                  <m:e>
                    <m:r>
                      <w:rPr>
                        <w:rFonts w:ascii="Cambria Math" w:eastAsia="Times New Roman" w:hAnsi="Cambria Math" w:cs="Times New Roman"/>
                        <w:sz w:val="22"/>
                        <w:szCs w:val="22"/>
                      </w:rPr>
                      <m:t>0</m:t>
                    </m:r>
                  </m:e>
                  <m:e>
                    <m:r>
                      <m:rPr>
                        <m:nor/>
                      </m:rPr>
                      <w:rPr>
                        <w:rFonts w:ascii="Times New Roman" w:eastAsia="Times New Roman" w:hAnsi="Times New Roman" w:cs="Times New Roman"/>
                        <w:sz w:val="22"/>
                        <w:szCs w:val="22"/>
                      </w:rPr>
                      <m:t>otherwise</m:t>
                    </m:r>
                  </m:e>
                </m:mr>
              </m:m>
            </m:e>
          </m:d>
        </m:oMath>
      </m:oMathPara>
    </w:p>
    <w:p w14:paraId="6985C98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Interpretation:</w:t>
      </w:r>
    </w:p>
    <w:p w14:paraId="4C91998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 xml:space="preserve">High </w:t>
      </w:r>
      <m:oMath>
        <m:r>
          <w:rPr>
            <w:rFonts w:ascii="Cambria Math" w:eastAsia="Times New Roman" w:hAnsi="Cambria Math" w:cs="Times New Roman"/>
            <w:sz w:val="22"/>
            <w:szCs w:val="22"/>
          </w:rPr>
          <m:t>RTE</m:t>
        </m:r>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Indicates strong contagion (Risk-Off regime spreading).</w:t>
      </w:r>
    </w:p>
    <w:p w14:paraId="08BCE868" w14:textId="5A071601"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 xml:space="preserve">High </w:t>
      </w:r>
      <m:oMath>
        <m:r>
          <w:rPr>
            <w:rFonts w:ascii="Cambria Math" w:eastAsia="Times New Roman" w:hAnsi="Cambria Math" w:cs="Times New Roman"/>
            <w:sz w:val="22"/>
            <w:szCs w:val="22"/>
          </w:rPr>
          <m:t>SDI</m:t>
        </m:r>
      </m:oMath>
      <w:r w:rsidRPr="00281CDE">
        <w:rPr>
          <w:rFonts w:ascii="Times New Roman" w:eastAsia="Times New Roman" w:hAnsi="Times New Roman" w:cs="Times New Roman"/>
          <w:b/>
          <w:bCs/>
          <w:sz w:val="22"/>
          <w:szCs w:val="22"/>
        </w:rPr>
        <w:t xml:space="preserve"> (Decoupling):</w:t>
      </w:r>
      <w:r w:rsidRPr="00281CDE">
        <w:rPr>
          <w:rFonts w:ascii="Times New Roman" w:eastAsia="Times New Roman" w:hAnsi="Times New Roman" w:cs="Times New Roman"/>
          <w:sz w:val="22"/>
          <w:szCs w:val="22"/>
        </w:rPr>
        <w:t xml:space="preserve"> Indicates that Asset </w:t>
      </w:r>
      <m:oMath>
        <m:r>
          <w:rPr>
            <w:rFonts w:ascii="Cambria Math" w:eastAsia="Times New Roman" w:hAnsi="Cambria Math" w:cs="Times New Roman"/>
            <w:sz w:val="22"/>
            <w:szCs w:val="22"/>
          </w:rPr>
          <m:t>X</m:t>
        </m:r>
      </m:oMath>
      <w:r w:rsidRPr="00281CDE">
        <w:rPr>
          <w:rFonts w:ascii="Times New Roman" w:eastAsia="Times New Roman" w:hAnsi="Times New Roman" w:cs="Times New Roman"/>
          <w:sz w:val="22"/>
          <w:szCs w:val="22"/>
        </w:rPr>
        <w:t xml:space="preserve"> and Asset </w:t>
      </w:r>
      <m:oMath>
        <m:r>
          <w:rPr>
            <w:rFonts w:ascii="Cambria Math" w:eastAsia="Times New Roman" w:hAnsi="Cambria Math" w:cs="Times New Roman"/>
            <w:sz w:val="22"/>
            <w:szCs w:val="22"/>
          </w:rPr>
          <m:t>Y</m:t>
        </m:r>
      </m:oMath>
      <w:r w:rsidRPr="00281CDE">
        <w:rPr>
          <w:rFonts w:ascii="Times New Roman" w:eastAsia="Times New Roman" w:hAnsi="Times New Roman" w:cs="Times New Roman"/>
          <w:sz w:val="22"/>
          <w:szCs w:val="22"/>
        </w:rPr>
        <w:t xml:space="preserve"> have structurally detached. For example, if Equity Sentiment is tanking while Crypto Sentiment is rising, </w:t>
      </w:r>
      <m:oMath>
        <m:r>
          <w:rPr>
            <w:rFonts w:ascii="Cambria Math" w:eastAsia="Times New Roman" w:hAnsi="Cambria Math" w:cs="Times New Roman"/>
            <w:sz w:val="22"/>
            <w:szCs w:val="22"/>
          </w:rPr>
          <m:t>SDI</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 xml:space="preserve"> (no information flow between them), this signals a distinct “Safe Haven” regime or a speculative bubble, supporting H2.</w:t>
      </w:r>
    </w:p>
    <w:p w14:paraId="522C8F02"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Variable Definitions Table:</w:t>
      </w:r>
    </w:p>
    <w:tbl>
      <w:tblPr>
        <w:tblStyle w:val="Table1"/>
        <w:tblW w:w="5000" w:type="pct"/>
        <w:tblLook w:val="0020" w:firstRow="1" w:lastRow="0" w:firstColumn="0" w:lastColumn="0" w:noHBand="0" w:noVBand="0"/>
      </w:tblPr>
      <w:tblGrid>
        <w:gridCol w:w="1282"/>
        <w:gridCol w:w="3504"/>
        <w:gridCol w:w="1694"/>
      </w:tblGrid>
      <w:tr w:rsidR="00281CDE" w:rsidRPr="00281CDE" w14:paraId="578F3683" w14:textId="77777777" w:rsidTr="00072582">
        <w:trPr>
          <w:cnfStyle w:val="100000000000" w:firstRow="1" w:lastRow="0" w:firstColumn="0" w:lastColumn="0" w:oddVBand="0" w:evenVBand="0" w:oddHBand="0" w:evenHBand="0" w:firstRowFirstColumn="0" w:firstRowLastColumn="0" w:lastRowFirstColumn="0" w:lastRowLastColumn="0"/>
        </w:trPr>
        <w:tc>
          <w:tcPr>
            <w:tcW w:w="0" w:type="auto"/>
          </w:tcPr>
          <w:p w14:paraId="12772688" w14:textId="77777777" w:rsidR="00281CDE" w:rsidRPr="00281CDE" w:rsidRDefault="00281CDE" w:rsidP="00281CDE">
            <w:pPr>
              <w:spacing w:before="36" w:after="36"/>
            </w:pPr>
            <w:r w:rsidRPr="00281CDE">
              <w:t>Variable</w:t>
            </w:r>
          </w:p>
        </w:tc>
        <w:tc>
          <w:tcPr>
            <w:tcW w:w="0" w:type="auto"/>
          </w:tcPr>
          <w:p w14:paraId="000DEAFA" w14:textId="77777777" w:rsidR="00281CDE" w:rsidRPr="00281CDE" w:rsidRDefault="00281CDE" w:rsidP="00281CDE">
            <w:pPr>
              <w:spacing w:before="36" w:after="36"/>
            </w:pPr>
            <w:r w:rsidRPr="00281CDE">
              <w:t>Definition</w:t>
            </w:r>
          </w:p>
        </w:tc>
        <w:tc>
          <w:tcPr>
            <w:tcW w:w="0" w:type="auto"/>
          </w:tcPr>
          <w:p w14:paraId="30FC3BCF" w14:textId="77777777" w:rsidR="00281CDE" w:rsidRPr="00281CDE" w:rsidRDefault="00281CDE" w:rsidP="00281CDE">
            <w:pPr>
              <w:spacing w:before="36" w:after="36"/>
            </w:pPr>
            <w:r w:rsidRPr="00281CDE">
              <w:t>Source</w:t>
            </w:r>
          </w:p>
        </w:tc>
      </w:tr>
      <w:tr w:rsidR="00281CDE" w:rsidRPr="00281CDE" w14:paraId="31F1E5E7" w14:textId="77777777" w:rsidTr="00072582">
        <w:tc>
          <w:tcPr>
            <w:tcW w:w="0" w:type="auto"/>
          </w:tcPr>
          <w:p w14:paraId="2C2B1D8D" w14:textId="77777777" w:rsidR="00281CDE" w:rsidRPr="00281CDE" w:rsidRDefault="00281CDE" w:rsidP="00281CDE">
            <w:pPr>
              <w:spacing w:before="36" w:after="36"/>
            </w:pPr>
            <m:oMathPara>
              <m:oMath>
                <m:r>
                  <w:rPr>
                    <w:rFonts w:ascii="Cambria Math" w:hAnsi="Cambria Math"/>
                  </w:rPr>
                  <m:t>RT</m:t>
                </m:r>
                <m:sSub>
                  <m:sSubPr>
                    <m:ctrlPr>
                      <w:rPr>
                        <w:rFonts w:ascii="Cambria Math" w:hAnsi="Cambria Math"/>
                      </w:rPr>
                    </m:ctrlPr>
                  </m:sSubPr>
                  <m:e>
                    <m:r>
                      <w:rPr>
                        <w:rFonts w:ascii="Cambria Math" w:hAnsi="Cambria Math"/>
                      </w:rPr>
                      <m:t>E</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r>
                  <w:rPr>
                    <w:rFonts w:ascii="Cambria Math" w:hAnsi="Cambria Math"/>
                  </w:rPr>
                  <m:t>q</m:t>
                </m:r>
                <m:r>
                  <m:rPr>
                    <m:sty m:val="p"/>
                  </m:rPr>
                  <w:rPr>
                    <w:rFonts w:ascii="Cambria Math" w:hAnsi="Cambria Math"/>
                  </w:rPr>
                  <m:t>)</m:t>
                </m:r>
              </m:oMath>
            </m:oMathPara>
          </w:p>
        </w:tc>
        <w:tc>
          <w:tcPr>
            <w:tcW w:w="0" w:type="auto"/>
          </w:tcPr>
          <w:p w14:paraId="0D197B86" w14:textId="77777777" w:rsidR="00281CDE" w:rsidRPr="00281CDE" w:rsidRDefault="00281CDE" w:rsidP="00281CDE">
            <w:pPr>
              <w:spacing w:before="36" w:after="36"/>
            </w:pPr>
            <w:r w:rsidRPr="00281CDE">
              <w:t xml:space="preserve">Rényi Transfer Entropy: Information flow from asset </w:t>
            </w:r>
            <m:oMath>
              <m:r>
                <w:rPr>
                  <w:rFonts w:ascii="Cambria Math" w:hAnsi="Cambria Math"/>
                </w:rPr>
                <m:t>X</m:t>
              </m:r>
            </m:oMath>
            <w:r w:rsidRPr="00281CDE">
              <w:t xml:space="preserve"> to </w:t>
            </w:r>
            <m:oMath>
              <m:r>
                <w:rPr>
                  <w:rFonts w:ascii="Cambria Math" w:hAnsi="Cambria Math"/>
                </w:rPr>
                <m:t>Y</m:t>
              </m:r>
            </m:oMath>
          </w:p>
        </w:tc>
        <w:tc>
          <w:tcPr>
            <w:tcW w:w="0" w:type="auto"/>
          </w:tcPr>
          <w:p w14:paraId="25A47A3B" w14:textId="77777777" w:rsidR="00281CDE" w:rsidRPr="00281CDE" w:rsidRDefault="00281CDE" w:rsidP="00281CDE">
            <w:pPr>
              <w:spacing w:before="36" w:after="36"/>
            </w:pPr>
            <w:r w:rsidRPr="00281CDE">
              <w:t>Caferra (2022)</w:t>
            </w:r>
          </w:p>
        </w:tc>
      </w:tr>
      <w:tr w:rsidR="00281CDE" w:rsidRPr="00281CDE" w14:paraId="3BB05C33" w14:textId="77777777" w:rsidTr="00072582">
        <w:tc>
          <w:tcPr>
            <w:tcW w:w="0" w:type="auto"/>
          </w:tcPr>
          <w:p w14:paraId="280D98CD" w14:textId="77777777" w:rsidR="00281CDE" w:rsidRPr="00281CDE" w:rsidRDefault="00281CDE" w:rsidP="00281CDE">
            <w:pPr>
              <w:spacing w:before="36" w:after="36"/>
            </w:pPr>
            <m:oMathPara>
              <m:oMath>
                <m:r>
                  <w:rPr>
                    <w:rFonts w:ascii="Cambria Math" w:hAnsi="Cambria Math"/>
                  </w:rPr>
                  <m:t>q</m:t>
                </m:r>
              </m:oMath>
            </m:oMathPara>
          </w:p>
        </w:tc>
        <w:tc>
          <w:tcPr>
            <w:tcW w:w="0" w:type="auto"/>
          </w:tcPr>
          <w:p w14:paraId="2CABA7B2" w14:textId="77777777" w:rsidR="00281CDE" w:rsidRPr="00281CDE" w:rsidRDefault="00281CDE" w:rsidP="00281CDE">
            <w:pPr>
              <w:spacing w:before="36" w:after="36"/>
            </w:pPr>
            <w:r w:rsidRPr="00281CDE">
              <w:t xml:space="preserve">Weighting parameter: </w:t>
            </w:r>
            <m:oMath>
              <m:r>
                <w:rPr>
                  <w:rFonts w:ascii="Cambria Math" w:hAnsi="Cambria Math"/>
                </w:rPr>
                <m:t>q</m:t>
              </m:r>
              <m:r>
                <m:rPr>
                  <m:sty m:val="p"/>
                </m:rPr>
                <w:rPr>
                  <w:rFonts w:ascii="Cambria Math" w:hAnsi="Cambria Math"/>
                </w:rPr>
                <m:t>&lt;</m:t>
              </m:r>
              <m:r>
                <w:rPr>
                  <w:rFonts w:ascii="Cambria Math" w:hAnsi="Cambria Math"/>
                </w:rPr>
                <m:t>1</m:t>
              </m:r>
            </m:oMath>
            <w:r w:rsidRPr="00281CDE">
              <w:t xml:space="preserve"> emphasizes tail events (crises)</w:t>
            </w:r>
          </w:p>
        </w:tc>
        <w:tc>
          <w:tcPr>
            <w:tcW w:w="0" w:type="auto"/>
          </w:tcPr>
          <w:p w14:paraId="504D2C7B" w14:textId="77777777" w:rsidR="00281CDE" w:rsidRPr="00281CDE" w:rsidRDefault="00281CDE" w:rsidP="00281CDE">
            <w:pPr>
              <w:spacing w:before="36" w:after="36"/>
            </w:pPr>
            <w:r w:rsidRPr="00281CDE">
              <w:t>Caferra (2022)</w:t>
            </w:r>
          </w:p>
        </w:tc>
      </w:tr>
      <w:tr w:rsidR="00281CDE" w:rsidRPr="00281CDE" w14:paraId="591AE291" w14:textId="77777777" w:rsidTr="00072582">
        <w:tc>
          <w:tcPr>
            <w:tcW w:w="0" w:type="auto"/>
          </w:tcPr>
          <w:p w14:paraId="77CDF17B" w14:textId="77777777" w:rsidR="00281CDE" w:rsidRPr="00281CDE" w:rsidRDefault="003E7BA0" w:rsidP="00281CDE">
            <w:pPr>
              <w:spacing w:before="36" w:after="36"/>
            </w:pPr>
            <m:oMathPara>
              <m:oMath>
                <m:sSub>
                  <m:sSubPr>
                    <m:ctrlPr>
                      <w:rPr>
                        <w:rFonts w:ascii="Cambria Math" w:hAnsi="Cambria Math"/>
                      </w:rPr>
                    </m:ctrlPr>
                  </m:sSubPr>
                  <m:e>
                    <m:r>
                      <w:rPr>
                        <w:rFonts w:ascii="Cambria Math" w:hAnsi="Cambria Math"/>
                      </w:rPr>
                      <m:t>ϕ</m:t>
                    </m:r>
                  </m:e>
                  <m:sub>
                    <m:r>
                      <w:rPr>
                        <w:rFonts w:ascii="Cambria Math" w:hAnsi="Cambria Math"/>
                      </w:rPr>
                      <m:t>q</m:t>
                    </m:r>
                  </m:sub>
                </m:sSub>
                <m:r>
                  <m:rPr>
                    <m:sty m:val="p"/>
                  </m:rPr>
                  <w:rPr>
                    <w:rFonts w:ascii="Cambria Math" w:hAnsi="Cambria Math"/>
                  </w:rPr>
                  <m:t>(⋅)</m:t>
                </m:r>
              </m:oMath>
            </m:oMathPara>
          </w:p>
        </w:tc>
        <w:tc>
          <w:tcPr>
            <w:tcW w:w="0" w:type="auto"/>
          </w:tcPr>
          <w:p w14:paraId="32B5FD89" w14:textId="77777777" w:rsidR="00281CDE" w:rsidRPr="00281CDE" w:rsidRDefault="00281CDE" w:rsidP="00281CDE">
            <w:pPr>
              <w:spacing w:before="36" w:after="36"/>
            </w:pPr>
            <w:r w:rsidRPr="00281CDE">
              <w:t xml:space="preserve">Escort distribution normalizing probabilities by </w:t>
            </w:r>
            <m:oMath>
              <m:r>
                <w:rPr>
                  <w:rFonts w:ascii="Cambria Math" w:hAnsi="Cambria Math"/>
                </w:rPr>
                <m:t>q</m:t>
              </m:r>
            </m:oMath>
          </w:p>
        </w:tc>
        <w:tc>
          <w:tcPr>
            <w:tcW w:w="0" w:type="auto"/>
          </w:tcPr>
          <w:p w14:paraId="0ACC425F" w14:textId="77777777" w:rsidR="00281CDE" w:rsidRPr="00281CDE" w:rsidRDefault="00281CDE" w:rsidP="00281CDE">
            <w:pPr>
              <w:spacing w:before="36" w:after="36"/>
            </w:pPr>
            <w:r w:rsidRPr="00281CDE">
              <w:t>Caferra (2022)</w:t>
            </w:r>
          </w:p>
        </w:tc>
      </w:tr>
      <w:tr w:rsidR="00281CDE" w:rsidRPr="00281CDE" w14:paraId="195ED7B9" w14:textId="77777777" w:rsidTr="00072582">
        <w:tc>
          <w:tcPr>
            <w:tcW w:w="0" w:type="auto"/>
          </w:tcPr>
          <w:p w14:paraId="7772CD62" w14:textId="77777777" w:rsidR="00281CDE" w:rsidRPr="00281CDE" w:rsidRDefault="00281CDE" w:rsidP="00281CDE">
            <w:pPr>
              <w:spacing w:before="36" w:after="36"/>
            </w:pPr>
            <m:oMathPara>
              <m:oMath>
                <m:r>
                  <w:rPr>
                    <w:rFonts w:ascii="Cambria Math" w:hAnsi="Cambria Math"/>
                  </w:rPr>
                  <m:t>SD</m:t>
                </m:r>
                <m:sSub>
                  <m:sSubPr>
                    <m:ctrlPr>
                      <w:rPr>
                        <w:rFonts w:ascii="Cambria Math" w:hAnsi="Cambria Math"/>
                      </w:rPr>
                    </m:ctrlPr>
                  </m:sSubPr>
                  <m:e>
                    <m:r>
                      <w:rPr>
                        <w:rFonts w:ascii="Cambria Math" w:hAnsi="Cambria Math"/>
                      </w:rPr>
                      <m:t>I</m:t>
                    </m:r>
                  </m:e>
                  <m:sub>
                    <m:r>
                      <w:rPr>
                        <w:rFonts w:ascii="Cambria Math" w:hAnsi="Cambria Math"/>
                      </w:rPr>
                      <m:t>t</m:t>
                    </m:r>
                  </m:sub>
                </m:sSub>
              </m:oMath>
            </m:oMathPara>
          </w:p>
        </w:tc>
        <w:tc>
          <w:tcPr>
            <w:tcW w:w="0" w:type="auto"/>
          </w:tcPr>
          <w:p w14:paraId="0A3E1A59" w14:textId="77777777" w:rsidR="00281CDE" w:rsidRPr="00281CDE" w:rsidRDefault="00281CDE" w:rsidP="00281CDE">
            <w:pPr>
              <w:spacing w:before="36" w:after="36"/>
            </w:pPr>
            <w:r w:rsidRPr="00281CDE">
              <w:t>Sentiment Decoupling Indicator (Binary regime feature)</w:t>
            </w:r>
          </w:p>
        </w:tc>
        <w:tc>
          <w:tcPr>
            <w:tcW w:w="0" w:type="auto"/>
          </w:tcPr>
          <w:p w14:paraId="0B857179" w14:textId="77777777" w:rsidR="00281CDE" w:rsidRPr="00281CDE" w:rsidRDefault="00281CDE" w:rsidP="00281CDE">
            <w:pPr>
              <w:spacing w:before="36" w:after="36"/>
            </w:pPr>
            <w:r w:rsidRPr="00281CDE">
              <w:t>Adapted from Shi (2025)</w:t>
            </w:r>
          </w:p>
        </w:tc>
      </w:tr>
      <w:tr w:rsidR="00281CDE" w:rsidRPr="00281CDE" w14:paraId="3D6D868E" w14:textId="77777777" w:rsidTr="00072582">
        <w:tc>
          <w:tcPr>
            <w:tcW w:w="0" w:type="auto"/>
          </w:tcPr>
          <w:p w14:paraId="6686807D" w14:textId="77777777" w:rsidR="00281CDE" w:rsidRPr="00281CDE" w:rsidRDefault="00281CDE" w:rsidP="00281CDE">
            <w:pPr>
              <w:spacing w:before="36" w:after="36"/>
            </w:pPr>
            <m:oMathPara>
              <m:oMath>
                <m:r>
                  <w:rPr>
                    <w:rFonts w:ascii="Cambria Math" w:hAnsi="Cambria Math"/>
                  </w:rPr>
                  <m:t>NI</m:t>
                </m:r>
                <m:sSub>
                  <m:sSubPr>
                    <m:ctrlPr>
                      <w:rPr>
                        <w:rFonts w:ascii="Cambria Math" w:hAnsi="Cambria Math"/>
                      </w:rPr>
                    </m:ctrlPr>
                  </m:sSubPr>
                  <m:e>
                    <m:r>
                      <w:rPr>
                        <w:rFonts w:ascii="Cambria Math" w:hAnsi="Cambria Math"/>
                      </w:rPr>
                      <m:t>F</m:t>
                    </m:r>
                  </m:e>
                  <m:sub>
                    <m:r>
                      <w:rPr>
                        <w:rFonts w:ascii="Cambria Math" w:hAnsi="Cambria Math"/>
                      </w:rPr>
                      <m:t>t</m:t>
                    </m:r>
                  </m:sub>
                </m:sSub>
              </m:oMath>
            </m:oMathPara>
          </w:p>
        </w:tc>
        <w:tc>
          <w:tcPr>
            <w:tcW w:w="0" w:type="auto"/>
          </w:tcPr>
          <w:p w14:paraId="50FC22A9" w14:textId="77777777" w:rsidR="00281CDE" w:rsidRPr="00281CDE" w:rsidRDefault="00281CDE" w:rsidP="00281CDE">
            <w:pPr>
              <w:spacing w:before="36" w:after="36"/>
            </w:pPr>
            <w:r w:rsidRPr="00281CDE">
              <w:t>Net Information Flow (Directionality of sentiment)</w:t>
            </w:r>
          </w:p>
        </w:tc>
        <w:tc>
          <w:tcPr>
            <w:tcW w:w="0" w:type="auto"/>
          </w:tcPr>
          <w:p w14:paraId="73CA92C5" w14:textId="77777777" w:rsidR="00281CDE" w:rsidRPr="00281CDE" w:rsidRDefault="00281CDE" w:rsidP="00281CDE">
            <w:pPr>
              <w:spacing w:before="36" w:after="36"/>
            </w:pPr>
            <w:r w:rsidRPr="00281CDE">
              <w:t>Caferra (2022)</w:t>
            </w:r>
          </w:p>
        </w:tc>
      </w:tr>
    </w:tbl>
    <w:p w14:paraId="2DCFBA26"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48" w:name="two-layer-regime-detection-model"/>
      <w:bookmarkEnd w:id="44"/>
      <w:bookmarkEnd w:id="47"/>
      <w:r w:rsidRPr="00281CDE">
        <w:rPr>
          <w:rFonts w:ascii="Times New Roman" w:eastAsia="Times New Roman" w:hAnsi="Times New Roman" w:cs="Times New Roman"/>
          <w:i/>
          <w:iCs/>
          <w:smallCaps/>
          <w:spacing w:val="5"/>
          <w:sz w:val="26"/>
          <w:szCs w:val="26"/>
        </w:rPr>
        <w:lastRenderedPageBreak/>
        <w:t>3.7 Two-Layer Regime Detection Model</w:t>
      </w:r>
    </w:p>
    <w:p w14:paraId="1524FF0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research employs a sequential two-layer approach. Layer 1 isolates the long-term volatility component driven by sentiment using a GARCH-MIDAS framework. Layer 2 uses these volatility estimates alongside sentiment momentum features to classify discrete market regimes via a Statistical Jump Model that penalizes frequent state switching to ensure regime persistence.</w:t>
      </w:r>
    </w:p>
    <w:p w14:paraId="47576982"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49" w:name="X7df84b9fb1f6b005aa8e5a131c4baa66d4b05f5"/>
      <w:r w:rsidRPr="00281CDE">
        <w:rPr>
          <w:rFonts w:ascii="Times New Roman" w:eastAsia="Times New Roman" w:hAnsi="Times New Roman" w:cs="Times New Roman"/>
          <w:b/>
          <w:bCs/>
          <w:spacing w:val="5"/>
        </w:rPr>
        <w:t>3.7.1 Layer 1: Sentiment-Adjusted Volatility (GARCH-MIDAS)</w:t>
      </w:r>
    </w:p>
    <w:p w14:paraId="7F77772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To address the mixed-frequency nature of daily price data and the irregularity of sentiment signals, we use the GARCH-MIDAS-Sentiment model proposed by Shi (2025) and Cai et al. (2024).</w:t>
      </w:r>
    </w:p>
    <w:p w14:paraId="252294E5" w14:textId="0C5BE1AA"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We decompose the conditional variance of asset returns, </w:t>
      </w:r>
      <m:oMath>
        <m:sSubSup>
          <m:sSubSupPr>
            <m:ctrlPr>
              <w:rPr>
                <w:rFonts w:ascii="Cambria Math" w:eastAsia="Times New Roman" w:hAnsi="Cambria Math" w:cs="Times New Roman"/>
                <w:sz w:val="22"/>
                <w:szCs w:val="22"/>
              </w:rPr>
            </m:ctrlPr>
          </m:sSubSupPr>
          <m:e>
            <m:r>
              <w:rPr>
                <w:rFonts w:ascii="Cambria Math" w:eastAsia="Times New Roman" w:hAnsi="Cambria Math" w:cs="Times New Roman"/>
                <w:sz w:val="22"/>
                <w:szCs w:val="22"/>
              </w:rPr>
              <m:t>σ</m:t>
            </m:r>
          </m:e>
          <m:sub>
            <m:r>
              <w:rPr>
                <w:rFonts w:ascii="Cambria Math" w:eastAsia="Times New Roman" w:hAnsi="Cambria Math" w:cs="Times New Roman"/>
                <w:sz w:val="22"/>
                <w:szCs w:val="22"/>
              </w:rPr>
              <m:t>t</m:t>
            </m:r>
          </m:sub>
          <m:sup>
            <m:r>
              <w:rPr>
                <w:rFonts w:ascii="Cambria Math" w:eastAsia="Times New Roman" w:hAnsi="Cambria Math" w:cs="Times New Roman"/>
                <w:sz w:val="22"/>
                <w:szCs w:val="22"/>
              </w:rPr>
              <m:t>2</m:t>
            </m:r>
          </m:sup>
        </m:sSubSup>
      </m:oMath>
      <w:r w:rsidRPr="00281CDE">
        <w:rPr>
          <w:rFonts w:ascii="Times New Roman" w:eastAsia="Times New Roman" w:hAnsi="Times New Roman" w:cs="Times New Roman"/>
          <w:sz w:val="22"/>
          <w:szCs w:val="22"/>
        </w:rPr>
        <w:t xml:space="preserve">, into a short-term transitory component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g</m:t>
            </m:r>
          </m:e>
          <m:sub>
            <m:r>
              <w:rPr>
                <w:rFonts w:ascii="Cambria Math" w:eastAsia="Times New Roman" w:hAnsi="Cambria Math" w:cs="Times New Roman"/>
                <w:sz w:val="22"/>
                <w:szCs w:val="22"/>
              </w:rPr>
              <m:t>t</m:t>
            </m:r>
          </m:sub>
        </m:sSub>
      </m:oMath>
      <w:r w:rsidR="00992429">
        <w:rPr>
          <w:rFonts w:ascii="Times New Roman" w:eastAsia="Times New Roman" w:hAnsi="Times New Roman" w:cs="Times New Roman"/>
          <w:sz w:val="22"/>
          <w:szCs w:val="22"/>
        </w:rPr>
        <w:t>,</w:t>
      </w:r>
      <w:r w:rsidRPr="00281CDE">
        <w:rPr>
          <w:rFonts w:ascii="Times New Roman" w:eastAsia="Times New Roman" w:hAnsi="Times New Roman" w:cs="Times New Roman"/>
          <w:sz w:val="22"/>
          <w:szCs w:val="22"/>
        </w:rPr>
        <w:t xml:space="preserve"> and a long-term secular component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w:t>
      </w:r>
    </w:p>
    <w:p w14:paraId="3AB6CF90"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μ</m:t>
          </m:r>
          <m:r>
            <m:rPr>
              <m:sty m:val="p"/>
            </m:rPr>
            <w:rPr>
              <w:rFonts w:ascii="Cambria Math" w:eastAsia="Times New Roman" w:hAnsi="Cambria Math" w:cs="Times New Roman"/>
              <w:sz w:val="22"/>
              <w:szCs w:val="22"/>
            </w:rPr>
            <m:t>+</m:t>
          </m:r>
          <m:rad>
            <m:radPr>
              <m:degHide m:val="1"/>
              <m:ctrlPr>
                <w:rPr>
                  <w:rFonts w:ascii="Cambria Math" w:eastAsia="Times New Roman" w:hAnsi="Cambria Math" w:cs="Times New Roman"/>
                  <w:sz w:val="22"/>
                  <w:szCs w:val="22"/>
                </w:rPr>
              </m:ctrlPr>
            </m:radPr>
            <m:deg/>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g</m:t>
                  </m:r>
                </m:e>
                <m:sub>
                  <m:r>
                    <w:rPr>
                      <w:rFonts w:ascii="Cambria Math" w:eastAsia="Times New Roman" w:hAnsi="Cambria Math" w:cs="Times New Roman"/>
                      <w:sz w:val="22"/>
                      <w:szCs w:val="22"/>
                    </w:rPr>
                    <m:t>t</m:t>
                  </m:r>
                </m:sub>
              </m:sSub>
            </m:e>
          </m:rad>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ε</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 </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ε</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oMath>
      </m:oMathPara>
    </w:p>
    <w:p w14:paraId="12458DE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1. Short-Term Component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g</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The short-term variance follows a standard GARCH (1,1) process, capturing daily clustering properties:</w:t>
      </w:r>
    </w:p>
    <w:p w14:paraId="11616814"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g</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α</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β</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α</m:t>
          </m:r>
          <m:f>
            <m:fPr>
              <m:ctrlPr>
                <w:rPr>
                  <w:rFonts w:ascii="Cambria Math" w:eastAsia="Times New Roman" w:hAnsi="Cambria Math" w:cs="Times New Roman"/>
                  <w:sz w:val="22"/>
                  <w:szCs w:val="22"/>
                </w:rPr>
              </m:ctrlPr>
            </m:fPr>
            <m:num>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μ</m:t>
              </m:r>
              <m:sSup>
                <m:sSupPr>
                  <m:ctrlPr>
                    <w:rPr>
                      <w:rFonts w:ascii="Cambria Math" w:eastAsia="Times New Roman" w:hAnsi="Cambria Math" w:cs="Times New Roman"/>
                      <w:sz w:val="22"/>
                      <w:szCs w:val="22"/>
                    </w:rPr>
                  </m:ctrlPr>
                </m:sSupPr>
                <m:e>
                  <m:r>
                    <m:rPr>
                      <m:sty m:val="p"/>
                    </m:rPr>
                    <w:rPr>
                      <w:rFonts w:ascii="Cambria Math" w:eastAsia="Times New Roman" w:hAnsi="Cambria Math" w:cs="Times New Roman"/>
                      <w:sz w:val="22"/>
                      <w:szCs w:val="22"/>
                    </w:rPr>
                    <m:t>)</m:t>
                  </m:r>
                </m:e>
                <m:sup>
                  <m:r>
                    <w:rPr>
                      <w:rFonts w:ascii="Cambria Math" w:eastAsia="Times New Roman" w:hAnsi="Cambria Math" w:cs="Times New Roman"/>
                      <w:sz w:val="22"/>
                      <w:szCs w:val="22"/>
                    </w:rPr>
                    <m:t>2</m:t>
                  </m:r>
                </m:sup>
              </m:sSup>
            </m:num>
            <m:den>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den>
          </m:f>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β</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g</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m:oMathPara>
    </w:p>
    <w:p w14:paraId="60E2919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Where:</w:t>
      </w:r>
    </w:p>
    <w:p w14:paraId="6EF8554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α</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β</m:t>
        </m:r>
      </m:oMath>
      <w:r w:rsidRPr="00281CDE">
        <w:rPr>
          <w:rFonts w:ascii="Times New Roman" w:eastAsia="Times New Roman" w:hAnsi="Times New Roman" w:cs="Times New Roman"/>
          <w:sz w:val="22"/>
          <w:szCs w:val="22"/>
        </w:rPr>
        <w:t>: ARCH and GARCH coefficients (</w:t>
      </w:r>
      <m:oMath>
        <m:r>
          <w:rPr>
            <w:rFonts w:ascii="Cambria Math" w:eastAsia="Times New Roman" w:hAnsi="Cambria Math" w:cs="Times New Roman"/>
            <w:sz w:val="22"/>
            <w:szCs w:val="22"/>
          </w:rPr>
          <m:t>α</m:t>
        </m:r>
        <m:r>
          <m:rPr>
            <m:sty m:val="p"/>
          </m:rPr>
          <w:rPr>
            <w:rFonts w:ascii="Cambria Math" w:eastAsia="Times New Roman" w:hAnsi="Cambria Math" w:cs="Times New Roman"/>
            <w:sz w:val="22"/>
            <w:szCs w:val="22"/>
          </w:rPr>
          <m:t>&gt;</m:t>
        </m:r>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β</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α</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β</m:t>
        </m:r>
        <m:r>
          <m:rPr>
            <m:sty m:val="p"/>
          </m:rPr>
          <w:rPr>
            <w:rFonts w:ascii="Cambria Math" w:eastAsia="Times New Roman" w:hAnsi="Cambria Math" w:cs="Times New Roman"/>
            <w:sz w:val="22"/>
            <w:szCs w:val="22"/>
          </w:rPr>
          <m:t>&lt;</m:t>
        </m:r>
        <m:r>
          <w:rPr>
            <w:rFonts w:ascii="Cambria Math" w:eastAsia="Times New Roman" w:hAnsi="Cambria Math" w:cs="Times New Roman"/>
            <w:sz w:val="22"/>
            <w:szCs w:val="22"/>
          </w:rPr>
          <m:t>1</m:t>
        </m:r>
      </m:oMath>
      <w:r w:rsidRPr="00281CDE">
        <w:rPr>
          <w:rFonts w:ascii="Times New Roman" w:eastAsia="Times New Roman" w:hAnsi="Times New Roman" w:cs="Times New Roman"/>
          <w:sz w:val="22"/>
          <w:szCs w:val="22"/>
        </w:rPr>
        <w:t>).</w:t>
      </w:r>
    </w:p>
    <w:p w14:paraId="47EB5AB5"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oMath>
      <w:r w:rsidR="00281CDE" w:rsidRPr="00281CDE">
        <w:rPr>
          <w:rFonts w:ascii="Times New Roman" w:eastAsia="Times New Roman" w:hAnsi="Times New Roman" w:cs="Times New Roman"/>
          <w:sz w:val="22"/>
          <w:szCs w:val="22"/>
        </w:rPr>
        <w:t>: The long-term variance component, updated at a lower frequency (e.g., weekly or based on sentiment aggregation windows).</w:t>
      </w:r>
    </w:p>
    <w:p w14:paraId="2B039F2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2. Long-Term Component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The long-term component is smoothed using MIDAS (Mixed Data Sampling) regression on the exogenous Sentiment Index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w:t>
      </w:r>
    </w:p>
    <w:p w14:paraId="44FD8D5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m:rPr>
              <m:nor/>
            </m:rPr>
            <w:rPr>
              <w:rFonts w:ascii="Times New Roman" w:eastAsia="Times New Roman" w:hAnsi="Times New Roman" w:cs="Times New Roman"/>
              <w:sz w:val="22"/>
              <w:szCs w:val="22"/>
            </w:rPr>
            <m:t>log</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m</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θ</m:t>
          </m:r>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K</m:t>
              </m:r>
            </m:sup>
            <m:e>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ϕ</m:t>
                  </m:r>
                </m:e>
                <m:sub>
                  <m:r>
                    <w:rPr>
                      <w:rFonts w:ascii="Cambria Math" w:eastAsia="Times New Roman" w:hAnsi="Cambria Math" w:cs="Times New Roman"/>
                      <w:sz w:val="22"/>
                      <w:szCs w:val="22"/>
                    </w:rPr>
                    <m:t>k</m:t>
                  </m:r>
                </m:sub>
              </m:sSub>
            </m:e>
          </m:nary>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ω</m:t>
              </m:r>
            </m:e>
            <m:sub>
              <m:r>
                <w:rPr>
                  <w:rFonts w:ascii="Cambria Math" w:eastAsia="Times New Roman" w:hAnsi="Cambria Math" w:cs="Times New Roman"/>
                  <w:sz w:val="22"/>
                  <w:szCs w:val="22"/>
                </w:rPr>
                <m:t>2</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k</m:t>
              </m:r>
            </m:sub>
          </m:sSub>
        </m:oMath>
      </m:oMathPara>
    </w:p>
    <w:p w14:paraId="4E24D55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Where:</w:t>
      </w:r>
    </w:p>
    <w:p w14:paraId="761A53E8"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m</m:t>
        </m:r>
      </m:oMath>
      <w:r w:rsidRPr="00281CDE">
        <w:rPr>
          <w:rFonts w:ascii="Times New Roman" w:eastAsia="Times New Roman" w:hAnsi="Times New Roman" w:cs="Times New Roman"/>
          <w:sz w:val="22"/>
          <w:szCs w:val="22"/>
        </w:rPr>
        <w:t>: Long-run constant variance.</w:t>
      </w:r>
    </w:p>
    <w:p w14:paraId="6B11E68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w:lastRenderedPageBreak/>
          <m:t>θ</m:t>
        </m:r>
      </m:oMath>
      <w:r w:rsidRPr="00281CDE">
        <w:rPr>
          <w:rFonts w:ascii="Times New Roman" w:eastAsia="Times New Roman" w:hAnsi="Times New Roman" w:cs="Times New Roman"/>
          <w:sz w:val="22"/>
          <w:szCs w:val="22"/>
        </w:rPr>
        <w:t>: Sensitivity of volatility to sentiment shocks. Shi (2025) found that negative sentiment often exhibits an asymmetric impact (</w:t>
      </w:r>
      <m:oMath>
        <m:r>
          <w:rPr>
            <w:rFonts w:ascii="Cambria Math" w:eastAsia="Times New Roman" w:hAnsi="Cambria Math" w:cs="Times New Roman"/>
            <w:sz w:val="22"/>
            <w:szCs w:val="22"/>
          </w:rPr>
          <m:t>1.8</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stronger than positive).</w:t>
      </w:r>
    </w:p>
    <w:p w14:paraId="28C60E55"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ϕ</m:t>
            </m:r>
          </m:e>
          <m:sub>
            <m:r>
              <w:rPr>
                <w:rFonts w:ascii="Cambria Math" w:eastAsia="Times New Roman" w:hAnsi="Cambria Math" w:cs="Times New Roman"/>
                <w:sz w:val="22"/>
                <w:szCs w:val="22"/>
              </w:rPr>
              <m:t>k</m:t>
            </m:r>
          </m:sub>
        </m:sSub>
        <m:r>
          <m:rPr>
            <m:sty m:val="p"/>
          </m:rPr>
          <w:rPr>
            <w:rFonts w:ascii="Cambria Math" w:eastAsia="Times New Roman" w:hAnsi="Cambria Math" w:cs="Times New Roman"/>
            <w:sz w:val="22"/>
            <w:szCs w:val="22"/>
          </w:rPr>
          <m:t>(⋅)</m:t>
        </m:r>
      </m:oMath>
      <w:r w:rsidR="00281CDE" w:rsidRPr="00281CDE">
        <w:rPr>
          <w:rFonts w:ascii="Times New Roman" w:eastAsia="Times New Roman" w:hAnsi="Times New Roman" w:cs="Times New Roman"/>
          <w:sz w:val="22"/>
          <w:szCs w:val="22"/>
        </w:rPr>
        <w:t>: The Beta weighting polynomial that assigns weights to lagged sentiment scores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k</m:t>
            </m:r>
          </m:sub>
        </m:sSub>
      </m:oMath>
      <w:r w:rsidR="00281CDE" w:rsidRPr="00281CDE">
        <w:rPr>
          <w:rFonts w:ascii="Times New Roman" w:eastAsia="Times New Roman" w:hAnsi="Times New Roman" w:cs="Times New Roman"/>
          <w:sz w:val="22"/>
          <w:szCs w:val="22"/>
        </w:rPr>
        <w:t>), ensuring recent sentiment is weighted more heavily while retaining long-term memory.</w:t>
      </w:r>
    </w:p>
    <w:p w14:paraId="51209065"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0" w:name="X0426eef383c5777cdd0afed2e18204ada5113b5"/>
      <w:bookmarkEnd w:id="49"/>
      <w:r w:rsidRPr="00281CDE">
        <w:rPr>
          <w:rFonts w:ascii="Times New Roman" w:eastAsia="Times New Roman" w:hAnsi="Times New Roman" w:cs="Times New Roman"/>
          <w:b/>
          <w:bCs/>
          <w:spacing w:val="5"/>
        </w:rPr>
        <w:t>3.7.2 Layer 2: Regime Classification (Statistical Jump Model)</w:t>
      </w:r>
    </w:p>
    <w:p w14:paraId="6950516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define discrete market states (e.g., Risk-On, Risk-Off), we input the feature vector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—comprising the GARCH-MIDAS volatility estimate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and Cross-Asset Sentiment Divergence—into a Statistical Jump Model (JM) as defined by Shu et al. (2024).</w:t>
      </w:r>
    </w:p>
    <w:p w14:paraId="494FA6A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Unlike Hidden Markov Models (HMMs), which rely solely on transition probabilities, the JM explicitly penalizes state turnover in the objective function to reduce “whipsaw” signals:</w:t>
      </w:r>
    </w:p>
    <w:p w14:paraId="0FB9EE8D"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limLow>
            <m:limLowPr>
              <m:ctrlPr>
                <w:rPr>
                  <w:rFonts w:ascii="Cambria Math" w:eastAsia="Times New Roman" w:hAnsi="Cambria Math" w:cs="Times New Roman"/>
                  <w:sz w:val="22"/>
                  <w:szCs w:val="22"/>
                </w:rPr>
              </m:ctrlPr>
            </m:limLowPr>
            <m:e>
              <m:r>
                <m:rPr>
                  <m:nor/>
                </m:rPr>
                <w:rPr>
                  <w:rFonts w:ascii="Times New Roman" w:eastAsia="Times New Roman" w:hAnsi="Times New Roman" w:cs="Times New Roman"/>
                  <w:sz w:val="22"/>
                  <w:szCs w:val="22"/>
                </w:rPr>
                <m:t>min</m:t>
              </m:r>
            </m:e>
            <m:lim>
              <m:r>
                <w:rPr>
                  <w:rFonts w:ascii="Cambria Math" w:eastAsia="Times New Roman" w:hAnsi="Cambria Math" w:cs="Times New Roman"/>
                  <w:sz w:val="22"/>
                  <w:szCs w:val="22"/>
                </w:rPr>
                <m:t>Θ</m:t>
              </m:r>
              <m:r>
                <m:rPr>
                  <m:sty m:val="p"/>
                </m:rPr>
                <w:rPr>
                  <w:rFonts w:ascii="Cambria Math" w:eastAsia="Times New Roman" w:hAnsi="Cambria Math" w:cs="Times New Roman"/>
                  <w:sz w:val="22"/>
                  <w:szCs w:val="22"/>
                </w:rPr>
                <m:t>,</m:t>
              </m:r>
              <m:r>
                <m:rPr>
                  <m:sty m:val="b"/>
                </m:rPr>
                <w:rPr>
                  <w:rFonts w:ascii="Cambria Math" w:eastAsia="Times New Roman" w:hAnsi="Cambria Math" w:cs="Times New Roman"/>
                  <w:sz w:val="22"/>
                  <w:szCs w:val="22"/>
                </w:rPr>
                <m:t>s</m:t>
              </m:r>
            </m:lim>
          </m:limLow>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sub>
            <m:sup>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p>
            <m:e>
              <m:r>
                <m:rPr>
                  <m:scr m:val="script"/>
                  <m:sty m:val="p"/>
                </m:rPr>
                <w:rPr>
                  <w:rFonts w:ascii="Cambria Math" w:eastAsia="Times New Roman" w:hAnsi="Cambria Math" w:cs="Times New Roman"/>
                  <w:sz w:val="22"/>
                  <w:szCs w:val="22"/>
                </w:rPr>
                <m:t>l</m:t>
              </m:r>
            </m:e>
          </m:nary>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θ</m:t>
              </m:r>
            </m:e>
            <m:sub>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λ</m:t>
          </m:r>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p>
            <m:e>
              <m:r>
                <m:rPr>
                  <m:scr m:val="double-struck"/>
                  <m:sty m:val="p"/>
                </m:rPr>
                <w:rPr>
                  <w:rFonts w:ascii="Cambria Math" w:eastAsia="Times New Roman" w:hAnsi="Cambria Math" w:cs="Times New Roman"/>
                  <w:sz w:val="22"/>
                  <w:szCs w:val="22"/>
                </w:rPr>
                <m:t>I</m:t>
              </m:r>
            </m:e>
          </m:nary>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oMath>
      </m:oMathPara>
    </w:p>
    <w:p w14:paraId="6B01576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Where:</w:t>
      </w:r>
    </w:p>
    <w:p w14:paraId="2D8430B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m:rPr>
            <m:sty m:val="b"/>
          </m:rPr>
          <w:rPr>
            <w:rFonts w:ascii="Cambria Math" w:eastAsia="Times New Roman" w:hAnsi="Cambria Math" w:cs="Times New Roman"/>
            <w:sz w:val="22"/>
            <w:szCs w:val="22"/>
          </w:rPr>
          <m:t>s</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0</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The sequence of discrete regimes (e.g.,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for Bull/Bear).</w:t>
      </w:r>
    </w:p>
    <w:p w14:paraId="434DABD4"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Θ</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θ</m:t>
            </m:r>
          </m:e>
          <m:sub>
            <m:r>
              <w:rPr>
                <w:rFonts w:ascii="Cambria Math" w:eastAsia="Times New Roman" w:hAnsi="Cambria Math" w:cs="Times New Roman"/>
                <w:sz w:val="22"/>
                <w:szCs w:val="22"/>
              </w:rPr>
              <m:t>0</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θ</m:t>
            </m:r>
          </m:e>
          <m:sub>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The centroid parameters (mean vector and covariance) for each regime state </w:t>
      </w:r>
      <m:oMath>
        <m:r>
          <w:rPr>
            <w:rFonts w:ascii="Cambria Math" w:eastAsia="Times New Roman" w:hAnsi="Cambria Math" w:cs="Times New Roman"/>
            <w:sz w:val="22"/>
            <w:szCs w:val="22"/>
          </w:rPr>
          <m:t>k</m:t>
        </m:r>
      </m:oMath>
      <w:r w:rsidRPr="00281CDE">
        <w:rPr>
          <w:rFonts w:ascii="Times New Roman" w:eastAsia="Times New Roman" w:hAnsi="Times New Roman" w:cs="Times New Roman"/>
          <w:sz w:val="22"/>
          <w:szCs w:val="22"/>
        </w:rPr>
        <w:t>.</w:t>
      </w:r>
    </w:p>
    <w:p w14:paraId="15C5CB9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m:rPr>
            <m:scr m:val="script"/>
            <m:sty m:val="p"/>
          </m:rPr>
          <w:rPr>
            <w:rFonts w:ascii="Cambria Math" w:eastAsia="Times New Roman" w:hAnsi="Cambria Math" w:cs="Times New Roman"/>
            <w:sz w:val="22"/>
            <w:szCs w:val="22"/>
          </w:rPr>
          <m:t>l(⋅)</m:t>
        </m:r>
      </m:oMath>
      <w:r w:rsidRPr="00281CDE">
        <w:rPr>
          <w:rFonts w:ascii="Times New Roman" w:eastAsia="Times New Roman" w:hAnsi="Times New Roman" w:cs="Times New Roman"/>
          <w:sz w:val="22"/>
          <w:szCs w:val="22"/>
        </w:rPr>
        <w:t xml:space="preserve">: The loss function, defined as the scaled squared Euclidean distance: </w:t>
      </w:r>
      <m:oMath>
        <m:r>
          <m:rPr>
            <m:scr m:val="script"/>
            <m:sty m:val="p"/>
          </m:rPr>
          <w:rPr>
            <w:rFonts w:ascii="Cambria Math" w:eastAsia="Times New Roman" w:hAnsi="Cambria Math" w:cs="Times New Roman"/>
            <w:sz w:val="22"/>
            <w:szCs w:val="22"/>
          </w:rPr>
          <m:t>l(</m:t>
        </m:r>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θ</m:t>
        </m:r>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1</m:t>
            </m:r>
          </m:num>
          <m:den>
            <m:r>
              <w:rPr>
                <w:rFonts w:ascii="Cambria Math" w:eastAsia="Times New Roman" w:hAnsi="Cambria Math" w:cs="Times New Roman"/>
                <w:sz w:val="22"/>
                <w:szCs w:val="22"/>
              </w:rPr>
              <m:t>2</m:t>
            </m:r>
          </m:den>
        </m:f>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x</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θ</m:t>
        </m:r>
        <m:sSup>
          <m:sSupPr>
            <m:ctrlPr>
              <w:rPr>
                <w:rFonts w:ascii="Cambria Math" w:eastAsia="Times New Roman" w:hAnsi="Cambria Math" w:cs="Times New Roman"/>
                <w:sz w:val="22"/>
                <w:szCs w:val="22"/>
              </w:rPr>
            </m:ctrlPr>
          </m:sSupPr>
          <m:e>
            <m:r>
              <m:rPr>
                <m:sty m:val="p"/>
              </m:rPr>
              <w:rPr>
                <w:rFonts w:ascii="Cambria Math" w:eastAsia="Times New Roman" w:hAnsi="Cambria Math" w:cs="Times New Roman"/>
                <w:sz w:val="22"/>
                <w:szCs w:val="22"/>
              </w:rPr>
              <m:t>∥</m:t>
            </m:r>
          </m:e>
          <m:sup>
            <m:r>
              <w:rPr>
                <w:rFonts w:ascii="Cambria Math" w:eastAsia="Times New Roman" w:hAnsi="Cambria Math" w:cs="Times New Roman"/>
                <w:sz w:val="22"/>
                <w:szCs w:val="22"/>
              </w:rPr>
              <m:t>2</m:t>
            </m:r>
          </m:sup>
        </m:sSup>
      </m:oMath>
      <w:r w:rsidRPr="00281CDE">
        <w:rPr>
          <w:rFonts w:ascii="Times New Roman" w:eastAsia="Times New Roman" w:hAnsi="Times New Roman" w:cs="Times New Roman"/>
          <w:sz w:val="22"/>
          <w:szCs w:val="22"/>
        </w:rPr>
        <w:t>.</w:t>
      </w:r>
    </w:p>
    <w:p w14:paraId="601F549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m:rPr>
            <m:scr m:val="double-struck"/>
            <m:sty m:val="p"/>
          </m:rPr>
          <w:rPr>
            <w:rFonts w:ascii="Cambria Math" w:eastAsia="Times New Roman" w:hAnsi="Cambria Math" w:cs="Times New Roman"/>
            <w:sz w:val="22"/>
            <w:szCs w:val="22"/>
          </w:rPr>
          <m:t>I(⋅)</m:t>
        </m:r>
      </m:oMath>
      <w:r w:rsidRPr="00281CDE">
        <w:rPr>
          <w:rFonts w:ascii="Times New Roman" w:eastAsia="Times New Roman" w:hAnsi="Times New Roman" w:cs="Times New Roman"/>
          <w:sz w:val="22"/>
          <w:szCs w:val="22"/>
        </w:rPr>
        <w:t>: An indicator function equal to 1 if a regime switch occurs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sz w:val="22"/>
          <w:szCs w:val="22"/>
        </w:rPr>
        <w:t>), and 0 otherwise.</w:t>
      </w:r>
    </w:p>
    <w:p w14:paraId="2CFBFED1"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λ</m:t>
        </m:r>
      </m:oMath>
      <w:r w:rsidRPr="00281CDE">
        <w:rPr>
          <w:rFonts w:ascii="Times New Roman" w:eastAsia="Times New Roman" w:hAnsi="Times New Roman" w:cs="Times New Roman"/>
          <w:sz w:val="22"/>
          <w:szCs w:val="22"/>
        </w:rPr>
        <w:t xml:space="preserve">: The </w:t>
      </w:r>
      <w:r w:rsidRPr="00281CDE">
        <w:rPr>
          <w:rFonts w:ascii="Times New Roman" w:eastAsia="Times New Roman" w:hAnsi="Times New Roman" w:cs="Times New Roman"/>
          <w:b/>
          <w:bCs/>
          <w:sz w:val="22"/>
          <w:szCs w:val="22"/>
        </w:rPr>
        <w:t>Jump Penalty</w:t>
      </w:r>
      <w:r w:rsidRPr="00281CDE">
        <w:rPr>
          <w:rFonts w:ascii="Times New Roman" w:eastAsia="Times New Roman" w:hAnsi="Times New Roman" w:cs="Times New Roman"/>
          <w:sz w:val="22"/>
          <w:szCs w:val="22"/>
        </w:rPr>
        <w:t xml:space="preserve"> hyperparameter. A higher </w:t>
      </w:r>
      <m:oMath>
        <m:r>
          <w:rPr>
            <w:rFonts w:ascii="Cambria Math" w:eastAsia="Times New Roman" w:hAnsi="Cambria Math" w:cs="Times New Roman"/>
            <w:sz w:val="22"/>
            <w:szCs w:val="22"/>
          </w:rPr>
          <m:t>λ</m:t>
        </m:r>
      </m:oMath>
      <w:r w:rsidRPr="00281CDE">
        <w:rPr>
          <w:rFonts w:ascii="Times New Roman" w:eastAsia="Times New Roman" w:hAnsi="Times New Roman" w:cs="Times New Roman"/>
          <w:sz w:val="22"/>
          <w:szCs w:val="22"/>
        </w:rPr>
        <w:t xml:space="preserve"> enforces greater regime persistence. This parameter is tuned via time-series cross-validation to maximize the Sharpe ratio of the resulting strategy.</w:t>
      </w:r>
    </w:p>
    <w:p w14:paraId="5A6B5DF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Variable Definitions Table:</w:t>
      </w:r>
    </w:p>
    <w:tbl>
      <w:tblPr>
        <w:tblStyle w:val="Table1"/>
        <w:tblW w:w="5000" w:type="pct"/>
        <w:tblLook w:val="0020" w:firstRow="1" w:lastRow="0" w:firstColumn="0" w:lastColumn="0" w:noHBand="0" w:noVBand="0"/>
      </w:tblPr>
      <w:tblGrid>
        <w:gridCol w:w="974"/>
        <w:gridCol w:w="4101"/>
        <w:gridCol w:w="1405"/>
      </w:tblGrid>
      <w:tr w:rsidR="00281CDE" w:rsidRPr="00281CDE" w14:paraId="5173F24C" w14:textId="77777777" w:rsidTr="00072582">
        <w:trPr>
          <w:cnfStyle w:val="100000000000" w:firstRow="1" w:lastRow="0" w:firstColumn="0" w:lastColumn="0" w:oddVBand="0" w:evenVBand="0" w:oddHBand="0" w:evenHBand="0" w:firstRowFirstColumn="0" w:firstRowLastColumn="0" w:lastRowFirstColumn="0" w:lastRowLastColumn="0"/>
        </w:trPr>
        <w:tc>
          <w:tcPr>
            <w:tcW w:w="0" w:type="auto"/>
          </w:tcPr>
          <w:p w14:paraId="64016004" w14:textId="77777777" w:rsidR="00281CDE" w:rsidRPr="00281CDE" w:rsidRDefault="00281CDE" w:rsidP="00281CDE">
            <w:pPr>
              <w:spacing w:before="36" w:after="36"/>
            </w:pPr>
            <w:r w:rsidRPr="00281CDE">
              <w:t>Variable</w:t>
            </w:r>
          </w:p>
        </w:tc>
        <w:tc>
          <w:tcPr>
            <w:tcW w:w="0" w:type="auto"/>
          </w:tcPr>
          <w:p w14:paraId="23CD60A2" w14:textId="77777777" w:rsidR="00281CDE" w:rsidRPr="00281CDE" w:rsidRDefault="00281CDE" w:rsidP="00281CDE">
            <w:pPr>
              <w:spacing w:before="36" w:after="36"/>
            </w:pPr>
            <w:r w:rsidRPr="00281CDE">
              <w:t>Definition</w:t>
            </w:r>
          </w:p>
        </w:tc>
        <w:tc>
          <w:tcPr>
            <w:tcW w:w="0" w:type="auto"/>
          </w:tcPr>
          <w:p w14:paraId="1900DEE7" w14:textId="77777777" w:rsidR="00281CDE" w:rsidRPr="00281CDE" w:rsidRDefault="00281CDE" w:rsidP="00281CDE">
            <w:pPr>
              <w:spacing w:before="36" w:after="36"/>
            </w:pPr>
            <w:r w:rsidRPr="00281CDE">
              <w:t>Source</w:t>
            </w:r>
          </w:p>
        </w:tc>
      </w:tr>
      <w:tr w:rsidR="00281CDE" w:rsidRPr="00281CDE" w14:paraId="1CF1B611" w14:textId="77777777" w:rsidTr="00072582">
        <w:tc>
          <w:tcPr>
            <w:tcW w:w="0" w:type="auto"/>
          </w:tcPr>
          <w:p w14:paraId="68233828" w14:textId="77777777" w:rsidR="00281CDE" w:rsidRPr="00281CDE" w:rsidRDefault="003E7BA0" w:rsidP="00281CDE">
            <w:pPr>
              <w:spacing w:before="36" w:after="36"/>
            </w:pPr>
            <m:oMathPara>
              <m:oMath>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0" w:type="auto"/>
          </w:tcPr>
          <w:p w14:paraId="2A2E3B9C" w14:textId="77777777" w:rsidR="00281CDE" w:rsidRPr="00281CDE" w:rsidRDefault="00281CDE" w:rsidP="00281CDE">
            <w:pPr>
              <w:spacing w:before="36" w:after="36"/>
            </w:pPr>
            <w:r w:rsidRPr="00281CDE">
              <w:t>Long-term secular volatility component driven by sentiment</w:t>
            </w:r>
          </w:p>
        </w:tc>
        <w:tc>
          <w:tcPr>
            <w:tcW w:w="0" w:type="auto"/>
          </w:tcPr>
          <w:p w14:paraId="4AB1AAC9" w14:textId="77777777" w:rsidR="00281CDE" w:rsidRPr="00281CDE" w:rsidRDefault="00281CDE" w:rsidP="00281CDE">
            <w:pPr>
              <w:spacing w:before="36" w:after="36"/>
            </w:pPr>
            <w:r w:rsidRPr="00281CDE">
              <w:t>Shi (2025)</w:t>
            </w:r>
          </w:p>
        </w:tc>
      </w:tr>
      <w:tr w:rsidR="00281CDE" w:rsidRPr="00281CDE" w14:paraId="45296890" w14:textId="77777777" w:rsidTr="00072582">
        <w:tc>
          <w:tcPr>
            <w:tcW w:w="0" w:type="auto"/>
          </w:tcPr>
          <w:p w14:paraId="7FE263DE" w14:textId="77777777" w:rsidR="00281CDE" w:rsidRPr="00281CDE" w:rsidRDefault="003E7BA0" w:rsidP="00281CDE">
            <w:pPr>
              <w:spacing w:before="36" w:after="36"/>
            </w:pPr>
            <m:oMathPara>
              <m:oMath>
                <m:sSub>
                  <m:sSubPr>
                    <m:ctrlPr>
                      <w:rPr>
                        <w:rFonts w:ascii="Cambria Math" w:hAnsi="Cambria Math"/>
                      </w:rPr>
                    </m:ctrlPr>
                  </m:sSubPr>
                  <m:e>
                    <m:r>
                      <w:rPr>
                        <w:rFonts w:ascii="Cambria Math" w:hAnsi="Cambria Math"/>
                      </w:rPr>
                      <m:t>g</m:t>
                    </m:r>
                  </m:e>
                  <m:sub>
                    <m:r>
                      <w:rPr>
                        <w:rFonts w:ascii="Cambria Math" w:hAnsi="Cambria Math"/>
                      </w:rPr>
                      <m:t>t</m:t>
                    </m:r>
                  </m:sub>
                </m:sSub>
              </m:oMath>
            </m:oMathPara>
          </w:p>
        </w:tc>
        <w:tc>
          <w:tcPr>
            <w:tcW w:w="0" w:type="auto"/>
          </w:tcPr>
          <w:p w14:paraId="2B1E369B" w14:textId="77777777" w:rsidR="00281CDE" w:rsidRPr="00281CDE" w:rsidRDefault="00281CDE" w:rsidP="00281CDE">
            <w:pPr>
              <w:spacing w:before="36" w:after="36"/>
            </w:pPr>
            <w:r w:rsidRPr="00281CDE">
              <w:t>Short-term transitory volatility component (GARCH)</w:t>
            </w:r>
          </w:p>
        </w:tc>
        <w:tc>
          <w:tcPr>
            <w:tcW w:w="0" w:type="auto"/>
          </w:tcPr>
          <w:p w14:paraId="4121B4FF" w14:textId="77777777" w:rsidR="00281CDE" w:rsidRPr="00281CDE" w:rsidRDefault="00281CDE" w:rsidP="00281CDE">
            <w:pPr>
              <w:spacing w:before="36" w:after="36"/>
            </w:pPr>
            <w:r w:rsidRPr="00281CDE">
              <w:t>Shi (2025)</w:t>
            </w:r>
          </w:p>
        </w:tc>
      </w:tr>
      <w:tr w:rsidR="00281CDE" w:rsidRPr="00281CDE" w14:paraId="6363B8A1" w14:textId="77777777" w:rsidTr="00072582">
        <w:tc>
          <w:tcPr>
            <w:tcW w:w="0" w:type="auto"/>
          </w:tcPr>
          <w:p w14:paraId="609D328E" w14:textId="77777777" w:rsidR="00281CDE" w:rsidRPr="00281CDE" w:rsidRDefault="003E7BA0" w:rsidP="00281CDE">
            <w:pPr>
              <w:spacing w:before="36" w:after="36"/>
            </w:pPr>
            <m:oMathPara>
              <m:oMath>
                <m:sSub>
                  <m:sSubPr>
                    <m:ctrlPr>
                      <w:rPr>
                        <w:rFonts w:ascii="Cambria Math" w:hAnsi="Cambria Math"/>
                      </w:rPr>
                    </m:ctrlPr>
                  </m:sSubPr>
                  <m:e>
                    <m:r>
                      <w:rPr>
                        <w:rFonts w:ascii="Cambria Math" w:hAnsi="Cambria Math"/>
                      </w:rPr>
                      <m:t>S</m:t>
                    </m:r>
                  </m:e>
                  <m:sub>
                    <m:r>
                      <w:rPr>
                        <w:rFonts w:ascii="Cambria Math" w:hAnsi="Cambria Math"/>
                      </w:rPr>
                      <m:t>t</m:t>
                    </m:r>
                    <m:r>
                      <m:rPr>
                        <m:sty m:val="p"/>
                      </m:rPr>
                      <w:rPr>
                        <w:rFonts w:ascii="Cambria Math" w:hAnsi="Cambria Math"/>
                      </w:rPr>
                      <m:t>-</m:t>
                    </m:r>
                    <m:r>
                      <w:rPr>
                        <w:rFonts w:ascii="Cambria Math" w:hAnsi="Cambria Math"/>
                      </w:rPr>
                      <m:t>k</m:t>
                    </m:r>
                  </m:sub>
                </m:sSub>
              </m:oMath>
            </m:oMathPara>
          </w:p>
        </w:tc>
        <w:tc>
          <w:tcPr>
            <w:tcW w:w="0" w:type="auto"/>
          </w:tcPr>
          <w:p w14:paraId="09A94E0D" w14:textId="77777777" w:rsidR="00281CDE" w:rsidRPr="00281CDE" w:rsidRDefault="00281CDE" w:rsidP="00281CDE">
            <w:pPr>
              <w:spacing w:before="36" w:after="36"/>
            </w:pPr>
            <w:r w:rsidRPr="00281CDE">
              <w:t>Lagged Sentiment Index constructed via FinBERT/RoBERTa</w:t>
            </w:r>
          </w:p>
        </w:tc>
        <w:tc>
          <w:tcPr>
            <w:tcW w:w="0" w:type="auto"/>
          </w:tcPr>
          <w:p w14:paraId="3F2401BE" w14:textId="77777777" w:rsidR="00281CDE" w:rsidRPr="00281CDE" w:rsidRDefault="00281CDE" w:rsidP="00281CDE">
            <w:pPr>
              <w:spacing w:before="36" w:after="36"/>
            </w:pPr>
            <w:r w:rsidRPr="00281CDE">
              <w:t>Cai et al. (2024)</w:t>
            </w:r>
          </w:p>
        </w:tc>
      </w:tr>
      <w:tr w:rsidR="00281CDE" w:rsidRPr="00281CDE" w14:paraId="0A1B3B4D" w14:textId="77777777" w:rsidTr="00072582">
        <w:tc>
          <w:tcPr>
            <w:tcW w:w="0" w:type="auto"/>
          </w:tcPr>
          <w:p w14:paraId="03AED3D4" w14:textId="77777777" w:rsidR="00281CDE" w:rsidRPr="00281CDE" w:rsidRDefault="00281CDE" w:rsidP="00281CDE">
            <w:pPr>
              <w:spacing w:before="36" w:after="36"/>
            </w:pPr>
            <m:oMathPara>
              <m:oMath>
                <m:r>
                  <w:rPr>
                    <w:rFonts w:ascii="Cambria Math" w:hAnsi="Cambria Math"/>
                  </w:rPr>
                  <m:t>θ</m:t>
                </m:r>
              </m:oMath>
            </m:oMathPara>
          </w:p>
        </w:tc>
        <w:tc>
          <w:tcPr>
            <w:tcW w:w="0" w:type="auto"/>
          </w:tcPr>
          <w:p w14:paraId="65012F99" w14:textId="77777777" w:rsidR="00281CDE" w:rsidRPr="00281CDE" w:rsidRDefault="00281CDE" w:rsidP="00281CDE">
            <w:pPr>
              <w:spacing w:before="36" w:after="36"/>
            </w:pPr>
            <w:r w:rsidRPr="00281CDE">
              <w:t>Coefficient measuring sentiment’s marginal impact on variance</w:t>
            </w:r>
          </w:p>
        </w:tc>
        <w:tc>
          <w:tcPr>
            <w:tcW w:w="0" w:type="auto"/>
          </w:tcPr>
          <w:p w14:paraId="798BFAA3" w14:textId="77777777" w:rsidR="00281CDE" w:rsidRPr="00281CDE" w:rsidRDefault="00281CDE" w:rsidP="00281CDE">
            <w:pPr>
              <w:spacing w:before="36" w:after="36"/>
            </w:pPr>
            <w:r w:rsidRPr="00281CDE">
              <w:t>Shi (2025)</w:t>
            </w:r>
          </w:p>
        </w:tc>
      </w:tr>
      <w:tr w:rsidR="00281CDE" w:rsidRPr="00281CDE" w14:paraId="1568DCC3" w14:textId="77777777" w:rsidTr="00072582">
        <w:tc>
          <w:tcPr>
            <w:tcW w:w="0" w:type="auto"/>
          </w:tcPr>
          <w:p w14:paraId="51BEA4A8" w14:textId="77777777" w:rsidR="00281CDE" w:rsidRPr="00281CDE" w:rsidRDefault="00281CDE" w:rsidP="00281CDE">
            <w:pPr>
              <w:spacing w:before="36" w:after="36"/>
            </w:pPr>
            <m:oMathPara>
              <m:oMath>
                <m:r>
                  <w:rPr>
                    <w:rFonts w:ascii="Cambria Math" w:hAnsi="Cambria Math"/>
                  </w:rPr>
                  <m:t>λ</m:t>
                </m:r>
              </m:oMath>
            </m:oMathPara>
          </w:p>
        </w:tc>
        <w:tc>
          <w:tcPr>
            <w:tcW w:w="0" w:type="auto"/>
          </w:tcPr>
          <w:p w14:paraId="19BF96E7" w14:textId="77777777" w:rsidR="00281CDE" w:rsidRPr="00281CDE" w:rsidRDefault="00281CDE" w:rsidP="00281CDE">
            <w:pPr>
              <w:spacing w:before="36" w:after="36"/>
            </w:pPr>
            <w:r w:rsidRPr="00281CDE">
              <w:t>Jump penalty parameter controlling regime persistence</w:t>
            </w:r>
          </w:p>
        </w:tc>
        <w:tc>
          <w:tcPr>
            <w:tcW w:w="0" w:type="auto"/>
          </w:tcPr>
          <w:p w14:paraId="660CD589" w14:textId="77777777" w:rsidR="00281CDE" w:rsidRPr="00281CDE" w:rsidRDefault="00281CDE" w:rsidP="00281CDE">
            <w:pPr>
              <w:spacing w:before="36" w:after="36"/>
            </w:pPr>
            <w:r w:rsidRPr="00281CDE">
              <w:t>Shu et al. (2024)</w:t>
            </w:r>
          </w:p>
        </w:tc>
      </w:tr>
      <w:tr w:rsidR="00281CDE" w:rsidRPr="00281CDE" w14:paraId="0BED8FD7" w14:textId="77777777" w:rsidTr="00072582">
        <w:tc>
          <w:tcPr>
            <w:tcW w:w="0" w:type="auto"/>
          </w:tcPr>
          <w:p w14:paraId="72E9DF35" w14:textId="77777777" w:rsidR="00281CDE" w:rsidRPr="00281CDE" w:rsidRDefault="003E7BA0" w:rsidP="00281CDE">
            <w:pPr>
              <w:spacing w:before="36" w:after="36"/>
            </w:pPr>
            <m:oMathPara>
              <m:oMath>
                <m:sSub>
                  <m:sSubPr>
                    <m:ctrlPr>
                      <w:rPr>
                        <w:rFonts w:ascii="Cambria Math" w:hAnsi="Cambria Math"/>
                      </w:rPr>
                    </m:ctrlPr>
                  </m:sSubPr>
                  <m:e>
                    <m:r>
                      <w:rPr>
                        <w:rFonts w:ascii="Cambria Math" w:hAnsi="Cambria Math"/>
                      </w:rPr>
                      <m:t>s</m:t>
                    </m:r>
                  </m:e>
                  <m:sub>
                    <m:r>
                      <w:rPr>
                        <w:rFonts w:ascii="Cambria Math" w:hAnsi="Cambria Math"/>
                      </w:rPr>
                      <m:t>t</m:t>
                    </m:r>
                  </m:sub>
                </m:sSub>
              </m:oMath>
            </m:oMathPara>
          </w:p>
        </w:tc>
        <w:tc>
          <w:tcPr>
            <w:tcW w:w="0" w:type="auto"/>
          </w:tcPr>
          <w:p w14:paraId="1124E134" w14:textId="77777777" w:rsidR="00281CDE" w:rsidRPr="00281CDE" w:rsidRDefault="00281CDE" w:rsidP="00281CDE">
            <w:pPr>
              <w:spacing w:before="36" w:after="36"/>
            </w:pPr>
            <w:r w:rsidRPr="00281CDE">
              <w:t xml:space="preserve">Discrete regime state at time </w:t>
            </w:r>
            <m:oMath>
              <m:r>
                <w:rPr>
                  <w:rFonts w:ascii="Cambria Math" w:hAnsi="Cambria Math"/>
                </w:rPr>
                <m:t>t</m:t>
              </m:r>
            </m:oMath>
            <w:r w:rsidRPr="00281CDE">
              <w:t xml:space="preserve"> (Output)</w:t>
            </w:r>
          </w:p>
        </w:tc>
        <w:tc>
          <w:tcPr>
            <w:tcW w:w="0" w:type="auto"/>
          </w:tcPr>
          <w:p w14:paraId="4EE03F69" w14:textId="77777777" w:rsidR="00281CDE" w:rsidRPr="00281CDE" w:rsidRDefault="00281CDE" w:rsidP="00281CDE">
            <w:pPr>
              <w:spacing w:before="36" w:after="36"/>
            </w:pPr>
            <w:r w:rsidRPr="00281CDE">
              <w:t>Shu et al. (2024)</w:t>
            </w:r>
          </w:p>
        </w:tc>
      </w:tr>
    </w:tbl>
    <w:p w14:paraId="33B3E5C7"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1" w:name="regime-definitions"/>
      <w:bookmarkEnd w:id="50"/>
      <w:r w:rsidRPr="00281CDE">
        <w:rPr>
          <w:rFonts w:ascii="Times New Roman" w:eastAsia="Times New Roman" w:hAnsi="Times New Roman" w:cs="Times New Roman"/>
          <w:b/>
          <w:bCs/>
          <w:spacing w:val="5"/>
        </w:rPr>
        <w:t>3.7.3 Regime Definitions</w:t>
      </w:r>
    </w:p>
    <w:p w14:paraId="1782BF6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Based on VIX and price action, historical periods are labeled as:</w:t>
      </w:r>
    </w:p>
    <w:p w14:paraId="0DF5065F"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Risk-On</w:t>
      </w:r>
      <w:r w:rsidRPr="00281CDE">
        <w:rPr>
          <w:rFonts w:ascii="Times New Roman" w:eastAsia="Times New Roman" w:hAnsi="Times New Roman" w:cs="Times New Roman"/>
          <w:sz w:val="22"/>
          <w:szCs w:val="22"/>
        </w:rPr>
        <w:t>: VIX &lt; 20, equities rising, crypto/commodities rallying</w:t>
      </w:r>
    </w:p>
    <w:p w14:paraId="0C020FFB"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Risk-Off</w:t>
      </w:r>
      <w:r w:rsidRPr="00281CDE">
        <w:rPr>
          <w:rFonts w:ascii="Times New Roman" w:eastAsia="Times New Roman" w:hAnsi="Times New Roman" w:cs="Times New Roman"/>
          <w:sz w:val="22"/>
          <w:szCs w:val="22"/>
        </w:rPr>
        <w:t>: VIX &gt; 30, equities falling, flight to safety (bonds, gold, USD)</w:t>
      </w:r>
    </w:p>
    <w:p w14:paraId="462BBCC4"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Transition</w:t>
      </w:r>
      <w:r w:rsidRPr="00281CDE">
        <w:rPr>
          <w:rFonts w:ascii="Times New Roman" w:eastAsia="Times New Roman" w:hAnsi="Times New Roman" w:cs="Times New Roman"/>
          <w:sz w:val="22"/>
          <w:szCs w:val="22"/>
        </w:rPr>
        <w:t>: VIX 20-30, mixed signals, choppy price action</w:t>
      </w:r>
    </w:p>
    <w:p w14:paraId="16F587F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Labeling Strategy:</w:t>
      </w:r>
    </w:p>
    <w:p w14:paraId="646DE39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Manual labeling of major historical regimes (COVID crash, 2021 bull run, 2022 bear market)</w:t>
      </w:r>
    </w:p>
    <w:p w14:paraId="66C2433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Algorithmic labeling using VIX thresholds + price trends</w:t>
      </w:r>
    </w:p>
    <w:p w14:paraId="459AA4B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~1000-2000 labeled days (2016-present)</w:t>
      </w:r>
    </w:p>
    <w:p w14:paraId="58AE2911"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Model Comparison:</w:t>
      </w:r>
      <w:r w:rsidRPr="00281CDE">
        <w:rPr>
          <w:rFonts w:ascii="Times New Roman" w:eastAsia="Times New Roman" w:hAnsi="Times New Roman" w:cs="Times New Roman"/>
          <w:sz w:val="22"/>
          <w:szCs w:val="22"/>
        </w:rPr>
        <w:t xml:space="preserve"> We compare:</w:t>
      </w:r>
    </w:p>
    <w:p w14:paraId="2C6A658A"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Random Forest</w:t>
      </w:r>
      <w:r w:rsidRPr="00281CDE">
        <w:rPr>
          <w:rFonts w:ascii="Times New Roman" w:eastAsia="Times New Roman" w:hAnsi="Times New Roman" w:cs="Times New Roman"/>
          <w:sz w:val="22"/>
          <w:szCs w:val="22"/>
        </w:rPr>
        <w:t>: Ensemble tree-based classifier</w:t>
      </w:r>
    </w:p>
    <w:p w14:paraId="08C63C59"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XGBoost</w:t>
      </w:r>
      <w:r w:rsidRPr="00281CDE">
        <w:rPr>
          <w:rFonts w:ascii="Times New Roman" w:eastAsia="Times New Roman" w:hAnsi="Times New Roman" w:cs="Times New Roman"/>
          <w:sz w:val="22"/>
          <w:szCs w:val="22"/>
        </w:rPr>
        <w:t>: Gradient boosting (handles non-linear relationships well)</w:t>
      </w:r>
    </w:p>
    <w:p w14:paraId="3805D44F"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LSTM</w:t>
      </w:r>
      <w:r w:rsidRPr="00281CDE">
        <w:rPr>
          <w:rFonts w:ascii="Times New Roman" w:eastAsia="Times New Roman" w:hAnsi="Times New Roman" w:cs="Times New Roman"/>
          <w:sz w:val="22"/>
          <w:szCs w:val="22"/>
        </w:rPr>
        <w:t>: Recurrent neural network (captures temporal dependencies in sentiment time series)</w:t>
      </w:r>
    </w:p>
    <w:p w14:paraId="52AEBA75"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Statistical Jump Model</w:t>
      </w:r>
      <w:r w:rsidRPr="00281CDE">
        <w:rPr>
          <w:rFonts w:ascii="Times New Roman" w:eastAsia="Times New Roman" w:hAnsi="Times New Roman" w:cs="Times New Roman"/>
          <w:sz w:val="22"/>
          <w:szCs w:val="22"/>
        </w:rPr>
        <w:t>: Following Shu et al. (2024), a Markov-switching approach with jump penalties that promote regime persistence and reduce spurious switching signals</w:t>
      </w:r>
    </w:p>
    <w:p w14:paraId="1433F99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Features (per time window)</w:t>
      </w:r>
      <w:r w:rsidRPr="00281CDE">
        <w:rPr>
          <w:rFonts w:ascii="Times New Roman" w:eastAsia="Times New Roman" w:hAnsi="Times New Roman" w:cs="Times New Roman"/>
          <w:sz w:val="22"/>
          <w:szCs w:val="22"/>
        </w:rPr>
        <w:t>:</w:t>
      </w:r>
    </w:p>
    <w:p w14:paraId="28FADC9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 indices for all 4 asset classes (4 features)</w:t>
      </w:r>
    </w:p>
    <w:p w14:paraId="3AED5251"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 momentum (4 features)</w:t>
      </w:r>
    </w:p>
    <w:p w14:paraId="3D7BAF83"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Cross-asset divergence (1 feature)</w:t>
      </w:r>
    </w:p>
    <w:p w14:paraId="4D09165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Historical VIX (1 feature)</w:t>
      </w:r>
    </w:p>
    <w:p w14:paraId="70AC15E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Rolling correlations between sentiment indices (6 features)</w:t>
      </w:r>
    </w:p>
    <w:p w14:paraId="14D1EFA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 connectedness metrics: Following Cao et al. (2025), network centrality measures (degree, betweenness) capturing cross-asset sentiment propagation intensity (4 features)</w:t>
      </w:r>
    </w:p>
    <w:p w14:paraId="54E3A951"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Total</w:t>
      </w:r>
      <w:r w:rsidRPr="00281CDE">
        <w:rPr>
          <w:rFonts w:ascii="Times New Roman" w:eastAsia="Times New Roman" w:hAnsi="Times New Roman" w:cs="Times New Roman"/>
          <w:sz w:val="22"/>
          <w:szCs w:val="22"/>
        </w:rPr>
        <w:t>: ~20 features</w:t>
      </w:r>
    </w:p>
    <w:p w14:paraId="3CE3657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Training/Validation Split</w:t>
      </w:r>
      <w:r w:rsidRPr="00281CDE">
        <w:rPr>
          <w:rFonts w:ascii="Times New Roman" w:eastAsia="Times New Roman" w:hAnsi="Times New Roman" w:cs="Times New Roman"/>
          <w:sz w:val="22"/>
          <w:szCs w:val="22"/>
        </w:rPr>
        <w:t>:</w:t>
      </w:r>
    </w:p>
    <w:p w14:paraId="7AB936D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Training: 2016-2021 (5 years)</w:t>
      </w:r>
    </w:p>
    <w:p w14:paraId="2E78B19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Validation: 2022-2023 (2 years)</w:t>
      </w:r>
    </w:p>
    <w:p w14:paraId="6740BFA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Test: 2024-present (out-of-sample)</w:t>
      </w:r>
    </w:p>
    <w:p w14:paraId="3A051115"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52" w:name="X58e0851f9f4cb1eaae8c5928735096e1e22364c"/>
      <w:bookmarkEnd w:id="48"/>
      <w:bookmarkEnd w:id="51"/>
      <w:r w:rsidRPr="00281CDE">
        <w:rPr>
          <w:rFonts w:ascii="Times New Roman" w:eastAsia="Times New Roman" w:hAnsi="Times New Roman" w:cs="Times New Roman"/>
          <w:i/>
          <w:iCs/>
          <w:smallCaps/>
          <w:spacing w:val="5"/>
          <w:sz w:val="26"/>
          <w:szCs w:val="26"/>
        </w:rPr>
        <w:t>3.8 Evaluation Strategy: Regime Detection &amp; Lead-Time Analysis</w:t>
      </w:r>
    </w:p>
    <w:p w14:paraId="6F6D1AE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To rigorously assess the model’s ability to anticipate structural breaks rather than merely describe them, we employ a tripartite evaluation framework focusing on directional correctness, class-imbalanced performance, and temporal precedence.</w:t>
      </w:r>
    </w:p>
    <w:p w14:paraId="47AF2787"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3" w:name="directional-accuracy-da"/>
      <w:r w:rsidRPr="00281CDE">
        <w:rPr>
          <w:rFonts w:ascii="Times New Roman" w:eastAsia="Times New Roman" w:hAnsi="Times New Roman" w:cs="Times New Roman"/>
          <w:b/>
          <w:bCs/>
          <w:spacing w:val="5"/>
        </w:rPr>
        <w:t>3.8.1 Directional Accuracy (DA)</w:t>
      </w:r>
    </w:p>
    <w:p w14:paraId="258C44A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Following the protocol of Dakalbab et al. (2025), we use Directional Accuracy (DA) to evaluate the model’s ability to predict t</w:t>
      </w:r>
      <w:r w:rsidRPr="00281CDE">
        <w:rPr>
          <w:rFonts w:ascii="Times New Roman" w:eastAsia="Times New Roman" w:hAnsi="Times New Roman" w:cs="Times New Roman"/>
          <w:i/>
          <w:iCs/>
          <w:sz w:val="22"/>
          <w:szCs w:val="22"/>
        </w:rPr>
        <w:t>ransitions</w:t>
      </w:r>
      <w:r w:rsidRPr="00281CDE">
        <w:rPr>
          <w:rFonts w:ascii="Times New Roman" w:eastAsia="Times New Roman" w:hAnsi="Times New Roman" w:cs="Times New Roman"/>
          <w:sz w:val="22"/>
          <w:szCs w:val="22"/>
        </w:rPr>
        <w:t xml:space="preserve"> between regimes rather than static states. This is critical for avoiding “inertial” high-accuracy scores where a model simply predicts that the current state will continue.</w:t>
      </w:r>
    </w:p>
    <w:p w14:paraId="11338A8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m:t>DA</m:t>
          </m:r>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1</m:t>
              </m:r>
            </m:num>
            <m:den>
              <m:r>
                <w:rPr>
                  <w:rFonts w:ascii="Cambria Math" w:eastAsia="Times New Roman" w:hAnsi="Cambria Math" w:cs="Times New Roman"/>
                  <w:sz w:val="22"/>
                  <w:szCs w:val="22"/>
                </w:rPr>
                <m:t>N</m:t>
              </m:r>
            </m:den>
          </m:f>
          <m:nary>
            <m:naryPr>
              <m:chr m:val="∑"/>
              <m:limLoc m:val="undOvr"/>
              <m:ctrlPr>
                <w:rPr>
                  <w:rFonts w:ascii="Cambria Math" w:eastAsia="Times New Roman" w:hAnsi="Cambria Math" w:cs="Times New Roman"/>
                  <w:sz w:val="22"/>
                  <w:szCs w:val="22"/>
                </w:rPr>
              </m:ctrlPr>
            </m:naryPr>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up>
              <m:r>
                <w:rPr>
                  <w:rFonts w:ascii="Cambria Math" w:eastAsia="Times New Roman" w:hAnsi="Cambria Math" w:cs="Times New Roman"/>
                  <w:sz w:val="22"/>
                  <w:szCs w:val="22"/>
                </w:rPr>
                <m:t>N</m:t>
              </m:r>
            </m:sup>
            <m:e>
              <m:r>
                <m:rPr>
                  <m:scr m:val="double-struck"/>
                  <m:sty m:val="p"/>
                </m:rPr>
                <w:rPr>
                  <w:rFonts w:ascii="Cambria Math" w:eastAsia="Times New Roman" w:hAnsi="Cambria Math" w:cs="Times New Roman"/>
                  <w:sz w:val="22"/>
                  <w:szCs w:val="22"/>
                </w:rPr>
                <m:t>I</m:t>
              </m:r>
            </m:e>
          </m:nary>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sign</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actual</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actual</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r>
            <m:rPr>
              <m:nor/>
            </m:rPr>
            <w:rPr>
              <w:rFonts w:ascii="Times New Roman" w:eastAsia="Times New Roman" w:hAnsi="Times New Roman" w:cs="Times New Roman"/>
              <w:sz w:val="22"/>
              <w:szCs w:val="22"/>
            </w:rPr>
            <m:t>sign</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pred</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R</m:t>
              </m:r>
            </m:e>
            <m:sub>
              <m:r>
                <w:rPr>
                  <w:rFonts w:ascii="Cambria Math" w:eastAsia="Times New Roman" w:hAnsi="Cambria Math" w:cs="Times New Roman"/>
                  <w:sz w:val="22"/>
                  <w:szCs w:val="22"/>
                </w:rPr>
                <m:t>pred</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r>
            <m:rPr>
              <m:sty m:val="p"/>
            </m:rPr>
            <w:rPr>
              <w:rFonts w:ascii="Cambria Math" w:eastAsia="Times New Roman" w:hAnsi="Cambria Math" w:cs="Times New Roman"/>
              <w:sz w:val="22"/>
              <w:szCs w:val="22"/>
            </w:rPr>
            <m:t>)]</m:t>
          </m:r>
        </m:oMath>
      </m:oMathPara>
    </w:p>
    <w:p w14:paraId="0155085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Where:</w:t>
      </w:r>
    </w:p>
    <w:p w14:paraId="362D17FE"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m:rPr>
            <m:scr m:val="double-struck"/>
            <m:sty m:val="p"/>
          </m:rPr>
          <w:rPr>
            <w:rFonts w:ascii="Cambria Math" w:eastAsia="Times New Roman" w:hAnsi="Cambria Math" w:cs="Times New Roman"/>
            <w:sz w:val="22"/>
            <w:szCs w:val="22"/>
          </w:rPr>
          <m:t>I</m:t>
        </m:r>
      </m:oMath>
      <w:r w:rsidRPr="00281CDE">
        <w:rPr>
          <w:rFonts w:ascii="Times New Roman" w:eastAsia="Times New Roman" w:hAnsi="Times New Roman" w:cs="Times New Roman"/>
          <w:sz w:val="22"/>
          <w:szCs w:val="22"/>
        </w:rPr>
        <w:t xml:space="preserve"> is the indicator function.</w:t>
      </w:r>
    </w:p>
    <w:p w14:paraId="7AFE3BD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m:oMath>
        <m:r>
          <w:rPr>
            <w:rFonts w:ascii="Cambria Math" w:eastAsia="Times New Roman" w:hAnsi="Cambria Math" w:cs="Times New Roman"/>
            <w:sz w:val="22"/>
            <w:szCs w:val="22"/>
          </w:rPr>
          <m:t>R</m:t>
        </m:r>
      </m:oMath>
      <w:r w:rsidRPr="00281CDE">
        <w:rPr>
          <w:rFonts w:ascii="Times New Roman" w:eastAsia="Times New Roman" w:hAnsi="Times New Roman" w:cs="Times New Roman"/>
          <w:sz w:val="22"/>
          <w:szCs w:val="22"/>
        </w:rPr>
        <w:t xml:space="preserve"> represents the regime state (e.g., discrete states mapped to ordinal risk levels).</w:t>
      </w:r>
    </w:p>
    <w:p w14:paraId="0649D6B6"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High DA confirms the model correctly identifies the </w:t>
      </w:r>
      <w:r w:rsidRPr="00281CDE">
        <w:rPr>
          <w:rFonts w:ascii="Times New Roman" w:eastAsia="Times New Roman" w:hAnsi="Times New Roman" w:cs="Times New Roman"/>
          <w:i/>
          <w:iCs/>
          <w:sz w:val="22"/>
          <w:szCs w:val="22"/>
        </w:rPr>
        <w:t>moment</w:t>
      </w:r>
      <w:r w:rsidRPr="00281CDE">
        <w:rPr>
          <w:rFonts w:ascii="Times New Roman" w:eastAsia="Times New Roman" w:hAnsi="Times New Roman" w:cs="Times New Roman"/>
          <w:sz w:val="22"/>
          <w:szCs w:val="22"/>
        </w:rPr>
        <w:t xml:space="preserve"> of regime change.</w:t>
      </w:r>
    </w:p>
    <w:p w14:paraId="59BEBB7D"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4" w:name="matthews-correlation-coefficient-mcc"/>
      <w:bookmarkEnd w:id="53"/>
      <w:r w:rsidRPr="00281CDE">
        <w:rPr>
          <w:rFonts w:ascii="Times New Roman" w:eastAsia="Times New Roman" w:hAnsi="Times New Roman" w:cs="Times New Roman"/>
          <w:b/>
          <w:bCs/>
          <w:spacing w:val="5"/>
        </w:rPr>
        <w:t>3.8.2 Matthews Correlation Coefficient (MCC)</w:t>
      </w:r>
    </w:p>
    <w:p w14:paraId="052B8D2B"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Financial regimes are inherently imbalanced; “Risk-Off” or “Crash” regimes occur far less frequently than “Normal” regimes. Standard accuracy or F1-scores can be biased by the majority class. Therefore, we adopt the Matthews Correlation Coefficient (MCC) as the primary classification metric, as recommended by Dakalbab et al. (2025) for financial forecasting. The MCC produces a value between -1 and +1, where +1 represents a perfect prediction, 0 represents no better than random, and -1 represents total disagreement.</w:t>
      </w:r>
    </w:p>
    <w:p w14:paraId="72D36D8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m:oMathPara>
        <m:oMathParaPr>
          <m:jc m:val="center"/>
        </m:oMathParaPr>
        <m:oMath>
          <m:r>
            <w:rPr>
              <w:rFonts w:ascii="Cambria Math" w:eastAsia="Times New Roman" w:hAnsi="Cambria Math" w:cs="Times New Roman"/>
              <w:sz w:val="22"/>
              <w:szCs w:val="22"/>
            </w:rPr>
            <w:lastRenderedPageBreak/>
            <m:t>MCC</m:t>
          </m:r>
          <m:r>
            <m:rPr>
              <m:sty m:val="p"/>
            </m:rPr>
            <w:rPr>
              <w:rFonts w:ascii="Cambria Math" w:eastAsia="Times New Roman" w:hAnsi="Cambria Math" w:cs="Times New Roman"/>
              <w:sz w:val="22"/>
              <w:szCs w:val="22"/>
            </w:rPr>
            <m:t>=</m:t>
          </m:r>
          <m:f>
            <m:fPr>
              <m:ctrlPr>
                <w:rPr>
                  <w:rFonts w:ascii="Cambria Math" w:eastAsia="Times New Roman" w:hAnsi="Cambria Math" w:cs="Times New Roman"/>
                  <w:sz w:val="22"/>
                  <w:szCs w:val="22"/>
                </w:rPr>
              </m:ctrlPr>
            </m:fPr>
            <m:num>
              <m:r>
                <w:rPr>
                  <w:rFonts w:ascii="Cambria Math" w:eastAsia="Times New Roman" w:hAnsi="Cambria Math" w:cs="Times New Roman"/>
                  <w:sz w:val="22"/>
                  <w:szCs w:val="22"/>
                </w:rPr>
                <m:t>TP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FP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FN</m:t>
              </m:r>
            </m:num>
            <m:den>
              <m:rad>
                <m:radPr>
                  <m:degHide m:val="1"/>
                  <m:ctrlPr>
                    <w:rPr>
                      <w:rFonts w:ascii="Cambria Math" w:eastAsia="Times New Roman" w:hAnsi="Cambria Math" w:cs="Times New Roman"/>
                      <w:sz w:val="22"/>
                      <w:szCs w:val="22"/>
                    </w:rPr>
                  </m:ctrlPr>
                </m:radPr>
                <m:deg/>
                <m:e>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FP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FN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FP</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TN</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FN</m:t>
                  </m:r>
                  <m:r>
                    <m:rPr>
                      <m:sty m:val="p"/>
                    </m:rPr>
                    <w:rPr>
                      <w:rFonts w:ascii="Cambria Math" w:eastAsia="Times New Roman" w:hAnsi="Cambria Math" w:cs="Times New Roman"/>
                      <w:sz w:val="22"/>
                      <w:szCs w:val="22"/>
                    </w:rPr>
                    <m:t>)</m:t>
                  </m:r>
                </m:e>
              </m:rad>
            </m:den>
          </m:f>
        </m:oMath>
      </m:oMathPara>
    </w:p>
    <w:p w14:paraId="341DDC1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metric ensures that a model achieving 95% accuracy by simply predicting “Bull Market” every day (during a long bull run) is penalized for missing the few critical “Bear” transition days.</w:t>
      </w:r>
    </w:p>
    <w:p w14:paraId="789218FA"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5" w:name="lead-time-analysis-lta"/>
      <w:bookmarkEnd w:id="54"/>
      <w:r w:rsidRPr="00281CDE">
        <w:rPr>
          <w:rFonts w:ascii="Times New Roman" w:eastAsia="Times New Roman" w:hAnsi="Times New Roman" w:cs="Times New Roman"/>
          <w:b/>
          <w:bCs/>
          <w:spacing w:val="5"/>
        </w:rPr>
        <w:t>3.8.3 Lead-Time Analysis (LTA)</w:t>
      </w:r>
    </w:p>
    <w:p w14:paraId="17D523D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test the </w:t>
      </w:r>
      <w:r w:rsidRPr="00281CDE">
        <w:rPr>
          <w:rFonts w:ascii="Times New Roman" w:eastAsia="Times New Roman" w:hAnsi="Times New Roman" w:cs="Times New Roman"/>
          <w:b/>
          <w:bCs/>
          <w:sz w:val="22"/>
          <w:szCs w:val="22"/>
        </w:rPr>
        <w:t>Leading Indicator Hypothesis (H1)</w:t>
      </w:r>
      <w:r w:rsidRPr="00281CDE">
        <w:rPr>
          <w:rFonts w:ascii="Times New Roman" w:eastAsia="Times New Roman" w:hAnsi="Times New Roman" w:cs="Times New Roman"/>
          <w:sz w:val="22"/>
          <w:szCs w:val="22"/>
        </w:rPr>
        <w:t xml:space="preserve">, we define a custom </w:t>
      </w:r>
      <w:r w:rsidRPr="00281CDE">
        <w:rPr>
          <w:rFonts w:ascii="Times New Roman" w:eastAsia="Times New Roman" w:hAnsi="Times New Roman" w:cs="Times New Roman"/>
          <w:b/>
          <w:bCs/>
          <w:sz w:val="22"/>
          <w:szCs w:val="22"/>
        </w:rPr>
        <w:t>Lead-Time metric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Δ</m:t>
            </m:r>
          </m:e>
          <m:sub>
            <m:r>
              <w:rPr>
                <w:rFonts w:ascii="Cambria Math" w:eastAsia="Times New Roman" w:hAnsi="Cambria Math" w:cs="Times New Roman"/>
                <w:sz w:val="22"/>
                <w:szCs w:val="22"/>
              </w:rPr>
              <m:t>lead</m:t>
            </m:r>
          </m:sub>
        </m:sSub>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This quantifies the temporal gap between the Sentiment-based Regime signal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 and the Volatility-based VIX confirmation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V</m:t>
            </m:r>
          </m:e>
          <m:sub>
            <m:r>
              <w:rPr>
                <w:rFonts w:ascii="Cambria Math" w:eastAsia="Times New Roman" w:hAnsi="Cambria Math" w:cs="Times New Roman"/>
                <w:sz w:val="22"/>
                <w:szCs w:val="22"/>
              </w:rPr>
              <m:t>t</m:t>
            </m:r>
          </m:sub>
        </m:sSub>
      </m:oMath>
      <w:r w:rsidRPr="00281CDE">
        <w:rPr>
          <w:rFonts w:ascii="Times New Roman" w:eastAsia="Times New Roman" w:hAnsi="Times New Roman" w:cs="Times New Roman"/>
          <w:sz w:val="22"/>
          <w:szCs w:val="22"/>
        </w:rPr>
        <w:t>).</w:t>
      </w:r>
    </w:p>
    <w:p w14:paraId="66CD7E1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We define the onset of a regime </w:t>
      </w:r>
      <m:oMath>
        <m:r>
          <w:rPr>
            <w:rFonts w:ascii="Cambria Math" w:eastAsia="Times New Roman" w:hAnsi="Cambria Math" w:cs="Times New Roman"/>
            <w:sz w:val="22"/>
            <w:szCs w:val="22"/>
          </w:rPr>
          <m:t>k</m:t>
        </m:r>
      </m:oMath>
      <w:r w:rsidRPr="00281CDE">
        <w:rPr>
          <w:rFonts w:ascii="Times New Roman" w:eastAsia="Times New Roman" w:hAnsi="Times New Roman" w:cs="Times New Roman"/>
          <w:sz w:val="22"/>
          <w:szCs w:val="22"/>
        </w:rPr>
        <w:t xml:space="preserve"> as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start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The Lead-Time is calculated for all major regime transitions identified in the test set:</w:t>
      </w:r>
    </w:p>
    <w:p w14:paraId="746C44E0" w14:textId="77777777" w:rsidR="00281CDE" w:rsidRPr="00281CDE" w:rsidRDefault="003E7BA0" w:rsidP="00281CDE">
      <w:pPr>
        <w:spacing w:before="180" w:after="180" w:line="276" w:lineRule="auto"/>
        <w:rPr>
          <w:rFonts w:ascii="Times New Roman" w:eastAsia="Times New Roman" w:hAnsi="Times New Roman" w:cs="Times New Roman"/>
          <w:sz w:val="22"/>
          <w:szCs w:val="22"/>
        </w:rPr>
      </w:pPr>
      <m:oMathPara>
        <m:oMathParaPr>
          <m:jc m:val="center"/>
        </m:oMathPara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Δ</m:t>
              </m:r>
            </m:e>
            <m:sub>
              <m:r>
                <w:rPr>
                  <w:rFonts w:ascii="Cambria Math" w:eastAsia="Times New Roman" w:hAnsi="Cambria Math" w:cs="Times New Roman"/>
                  <w:sz w:val="22"/>
                  <w:szCs w:val="22"/>
                </w:rPr>
                <m:t>lead</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start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VI</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X</m:t>
              </m:r>
            </m:e>
            <m:sub>
              <m:r>
                <w:rPr>
                  <w:rFonts w:ascii="Cambria Math" w:eastAsia="Times New Roman" w:hAnsi="Cambria Math" w:cs="Times New Roman"/>
                  <w:sz w:val="22"/>
                  <w:szCs w:val="22"/>
                </w:rPr>
                <m:t>t</m:t>
              </m:r>
              <m:r>
                <w:rPr>
                  <w:rFonts w:ascii="Cambria Math" w:eastAsia="Times New Roman" w:hAnsi="Cambria Math" w:cs="Times New Roman"/>
                  <w:sz w:val="22"/>
                  <w:szCs w:val="22"/>
                </w:rPr>
                <m:t>h</m:t>
              </m:r>
              <m:r>
                <w:rPr>
                  <w:rFonts w:ascii="Cambria Math" w:eastAsia="Times New Roman" w:hAnsi="Cambria Math" w:cs="Times New Roman"/>
                  <w:sz w:val="22"/>
                  <w:szCs w:val="22"/>
                </w:rPr>
                <m:t>res</m:t>
              </m:r>
              <m:r>
                <w:rPr>
                  <w:rFonts w:ascii="Cambria Math" w:eastAsia="Times New Roman" w:hAnsi="Cambria Math" w:cs="Times New Roman"/>
                  <w:sz w:val="22"/>
                  <w:szCs w:val="22"/>
                </w:rPr>
                <m:t>h</m:t>
              </m:r>
              <m:r>
                <w:rPr>
                  <w:rFonts w:ascii="Cambria Math" w:eastAsia="Times New Roman" w:hAnsi="Cambria Math" w:cs="Times New Roman"/>
                  <w:sz w:val="22"/>
                  <w:szCs w:val="22"/>
                </w:rPr>
                <m:t>old</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start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Mode</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l</m:t>
              </m:r>
            </m:e>
            <m:sub>
              <m:r>
                <w:rPr>
                  <w:rFonts w:ascii="Cambria Math" w:eastAsia="Times New Roman" w:hAnsi="Cambria Math" w:cs="Times New Roman"/>
                  <w:sz w:val="22"/>
                  <w:szCs w:val="22"/>
                </w:rPr>
                <m:t>pred</m:t>
              </m:r>
            </m:sub>
          </m:sSub>
          <m:r>
            <m:rPr>
              <m:sty m:val="p"/>
            </m:rPr>
            <w:rPr>
              <w:rFonts w:ascii="Cambria Math" w:eastAsia="Times New Roman" w:hAnsi="Cambria Math" w:cs="Times New Roman"/>
              <w:sz w:val="22"/>
              <w:szCs w:val="22"/>
            </w:rPr>
            <m:t>)</m:t>
          </m:r>
        </m:oMath>
      </m:oMathPara>
    </w:p>
    <w:p w14:paraId="789B2881"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Δ</m:t>
            </m:r>
          </m:e>
          <m:sub>
            <m:r>
              <w:rPr>
                <w:rFonts w:ascii="Cambria Math" w:eastAsia="Times New Roman" w:hAnsi="Cambria Math" w:cs="Times New Roman"/>
                <w:sz w:val="22"/>
                <w:szCs w:val="22"/>
              </w:rPr>
              <m:t>lead</m:t>
            </m:r>
          </m:sub>
        </m:sSub>
        <m:r>
          <m:rPr>
            <m:sty m:val="p"/>
          </m:rPr>
          <w:rPr>
            <w:rFonts w:ascii="Cambria Math" w:eastAsia="Times New Roman" w:hAnsi="Cambria Math" w:cs="Times New Roman"/>
            <w:sz w:val="22"/>
            <w:szCs w:val="22"/>
          </w:rPr>
          <m:t>&gt;</m:t>
        </m:r>
        <m:r>
          <w:rPr>
            <w:rFonts w:ascii="Cambria Math" w:eastAsia="Times New Roman" w:hAnsi="Cambria Math" w:cs="Times New Roman"/>
            <w:sz w:val="22"/>
            <w:szCs w:val="22"/>
          </w:rPr>
          <m:t>0</m:t>
        </m:r>
      </m:oMath>
      <w:r w:rsidR="00281CDE" w:rsidRPr="00281CDE">
        <w:rPr>
          <w:rFonts w:ascii="Times New Roman" w:eastAsia="Times New Roman" w:hAnsi="Times New Roman" w:cs="Times New Roman"/>
          <w:b/>
          <w:bCs/>
          <w:sz w:val="22"/>
          <w:szCs w:val="22"/>
        </w:rPr>
        <w:t>:</w:t>
      </w:r>
      <w:r w:rsidR="00281CDE" w:rsidRPr="00281CDE">
        <w:rPr>
          <w:rFonts w:ascii="Times New Roman" w:eastAsia="Times New Roman" w:hAnsi="Times New Roman" w:cs="Times New Roman"/>
          <w:sz w:val="22"/>
          <w:szCs w:val="22"/>
        </w:rPr>
        <w:t xml:space="preserve"> The model provides an early warning (Positive Lead Time).</w:t>
      </w:r>
    </w:p>
    <w:p w14:paraId="736DC2B0" w14:textId="77777777" w:rsidR="00281CDE" w:rsidRPr="00281CDE" w:rsidRDefault="003E7BA0" w:rsidP="00281CDE">
      <w:pPr>
        <w:numPr>
          <w:ilvl w:val="0"/>
          <w:numId w:val="5"/>
        </w:numPr>
        <w:spacing w:before="36" w:after="36" w:line="276" w:lineRule="auto"/>
        <w:rPr>
          <w:rFonts w:ascii="Times New Roman" w:eastAsia="Times New Roman" w:hAnsi="Times New Roman" w:cs="Times New Roman"/>
          <w:sz w:val="22"/>
          <w:szCs w:val="22"/>
        </w:rPr>
      </w:pP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Δ</m:t>
            </m:r>
          </m:e>
          <m:sub>
            <m:r>
              <w:rPr>
                <w:rFonts w:ascii="Cambria Math" w:eastAsia="Times New Roman" w:hAnsi="Cambria Math" w:cs="Times New Roman"/>
                <w:sz w:val="22"/>
                <w:szCs w:val="22"/>
              </w:rPr>
              <m:t>lead</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0</m:t>
        </m:r>
      </m:oMath>
      <w:r w:rsidR="00281CDE" w:rsidRPr="00281CDE">
        <w:rPr>
          <w:rFonts w:ascii="Times New Roman" w:eastAsia="Times New Roman" w:hAnsi="Times New Roman" w:cs="Times New Roman"/>
          <w:b/>
          <w:bCs/>
          <w:sz w:val="22"/>
          <w:szCs w:val="22"/>
        </w:rPr>
        <w:t>:</w:t>
      </w:r>
      <w:r w:rsidR="00281CDE" w:rsidRPr="00281CDE">
        <w:rPr>
          <w:rFonts w:ascii="Times New Roman" w:eastAsia="Times New Roman" w:hAnsi="Times New Roman" w:cs="Times New Roman"/>
          <w:sz w:val="22"/>
          <w:szCs w:val="22"/>
        </w:rPr>
        <w:t xml:space="preserve"> The model is coincident or lagging.</w:t>
      </w:r>
    </w:p>
    <w:p w14:paraId="54D2D47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Target:</w:t>
      </w:r>
      <w:r w:rsidRPr="00281CDE">
        <w:rPr>
          <w:rFonts w:ascii="Times New Roman" w:eastAsia="Times New Roman" w:hAnsi="Times New Roman" w:cs="Times New Roman"/>
          <w:sz w:val="22"/>
          <w:szCs w:val="22"/>
        </w:rPr>
        <w:t xml:space="preserve"> Based on Bollen et al. (2011) and Trushkovskyi (2025), we aim for the mean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Δ</m:t>
            </m:r>
          </m:e>
          <m:sub>
            <m:r>
              <w:rPr>
                <w:rFonts w:ascii="Cambria Math" w:eastAsia="Times New Roman" w:hAnsi="Cambria Math" w:cs="Times New Roman"/>
                <w:sz w:val="22"/>
                <w:szCs w:val="22"/>
              </w:rPr>
              <m:t>lead</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5</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trading days.</w:t>
      </w:r>
    </w:p>
    <w:p w14:paraId="372CF2A8"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56" w:name="additional-metrics"/>
      <w:bookmarkEnd w:id="55"/>
      <w:r w:rsidRPr="00281CDE">
        <w:rPr>
          <w:rFonts w:ascii="Times New Roman" w:eastAsia="Times New Roman" w:hAnsi="Times New Roman" w:cs="Times New Roman"/>
          <w:b/>
          <w:bCs/>
          <w:spacing w:val="5"/>
        </w:rPr>
        <w:t>3.8.4 Additional Metrics</w:t>
      </w:r>
    </w:p>
    <w:p w14:paraId="5265D75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Accuracy, Precision, Recall, F1-score per regime class</w:t>
      </w:r>
    </w:p>
    <w:p w14:paraId="280238C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Confusion matrix analysis</w:t>
      </w:r>
    </w:p>
    <w:p w14:paraId="7849423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Sharpe ratio of the regime-based trading strategy</w:t>
      </w:r>
    </w:p>
    <w:p w14:paraId="2D7F52D0"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57" w:name="dashboard-development"/>
      <w:bookmarkEnd w:id="52"/>
      <w:bookmarkEnd w:id="56"/>
      <w:r w:rsidRPr="00281CDE">
        <w:rPr>
          <w:rFonts w:ascii="Times New Roman" w:eastAsia="Times New Roman" w:hAnsi="Times New Roman" w:cs="Times New Roman"/>
          <w:i/>
          <w:iCs/>
          <w:smallCaps/>
          <w:spacing w:val="5"/>
          <w:sz w:val="26"/>
          <w:szCs w:val="26"/>
        </w:rPr>
        <w:t>3.9 Dashboard Development</w:t>
      </w:r>
    </w:p>
    <w:p w14:paraId="0898CD02"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Backend</w:t>
      </w:r>
      <w:r w:rsidRPr="00281CDE">
        <w:rPr>
          <w:rFonts w:ascii="Times New Roman" w:eastAsia="Times New Roman" w:hAnsi="Times New Roman" w:cs="Times New Roman"/>
          <w:sz w:val="22"/>
          <w:szCs w:val="22"/>
        </w:rPr>
        <w:t>:</w:t>
      </w:r>
    </w:p>
    <w:p w14:paraId="68FD783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Framework</w:t>
      </w:r>
      <w:r w:rsidRPr="00281CDE">
        <w:rPr>
          <w:rFonts w:ascii="Times New Roman" w:eastAsia="Times New Roman" w:hAnsi="Times New Roman" w:cs="Times New Roman"/>
          <w:sz w:val="22"/>
          <w:szCs w:val="22"/>
        </w:rPr>
        <w:t>: FastAPI (Python)</w:t>
      </w:r>
    </w:p>
    <w:p w14:paraId="5EFA333E"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Database</w:t>
      </w:r>
      <w:r w:rsidRPr="00281CDE">
        <w:rPr>
          <w:rFonts w:ascii="Times New Roman" w:eastAsia="Times New Roman" w:hAnsi="Times New Roman" w:cs="Times New Roman"/>
          <w:sz w:val="22"/>
          <w:szCs w:val="22"/>
        </w:rPr>
        <w:t>: PostgreSQL (time-series data)</w:t>
      </w:r>
    </w:p>
    <w:p w14:paraId="3F8CBA2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APIs</w:t>
      </w:r>
      <w:r w:rsidRPr="00281CDE">
        <w:rPr>
          <w:rFonts w:ascii="Times New Roman" w:eastAsia="Times New Roman" w:hAnsi="Times New Roman" w:cs="Times New Roman"/>
          <w:sz w:val="22"/>
          <w:szCs w:val="22"/>
        </w:rPr>
        <w:t>:</w:t>
      </w:r>
    </w:p>
    <w:p w14:paraId="14CD26FC"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/sentiment/{asset_class}: Returns sentiment index time series</w:t>
      </w:r>
    </w:p>
    <w:p w14:paraId="1D5D3E5B"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/regime/current: Returns current regime prediction + confidence</w:t>
      </w:r>
    </w:p>
    <w:p w14:paraId="1D2DF45D"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/alerts/divergence: Returns cross-asset divergence alerts </w:t>
      </w:r>
      <w:r w:rsidRPr="00281CDE">
        <w:rPr>
          <w:rFonts w:ascii="Times New Roman" w:eastAsia="Times New Roman" w:hAnsi="Times New Roman" w:cs="Times New Roman"/>
          <w:b/>
          <w:bCs/>
          <w:sz w:val="22"/>
          <w:szCs w:val="22"/>
        </w:rPr>
        <w:t>Frontend</w:t>
      </w:r>
      <w:r w:rsidRPr="00281CDE">
        <w:rPr>
          <w:rFonts w:ascii="Times New Roman" w:eastAsia="Times New Roman" w:hAnsi="Times New Roman" w:cs="Times New Roman"/>
          <w:sz w:val="22"/>
          <w:szCs w:val="22"/>
        </w:rPr>
        <w:t>:</w:t>
      </w:r>
    </w:p>
    <w:p w14:paraId="07045C5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Framework</w:t>
      </w:r>
      <w:r w:rsidRPr="00281CDE">
        <w:rPr>
          <w:rFonts w:ascii="Times New Roman" w:eastAsia="Times New Roman" w:hAnsi="Times New Roman" w:cs="Times New Roman"/>
          <w:sz w:val="22"/>
          <w:szCs w:val="22"/>
        </w:rPr>
        <w:t>: React (Vite build tool)</w:t>
      </w:r>
    </w:p>
    <w:p w14:paraId="4D5662A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Visualization</w:t>
      </w:r>
      <w:r w:rsidRPr="00281CDE">
        <w:rPr>
          <w:rFonts w:ascii="Times New Roman" w:eastAsia="Times New Roman" w:hAnsi="Times New Roman" w:cs="Times New Roman"/>
          <w:sz w:val="22"/>
          <w:szCs w:val="22"/>
        </w:rPr>
        <w:t>: Recharts or D3.js for interactive time-series charts</w:t>
      </w:r>
    </w:p>
    <w:p w14:paraId="061432C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Components</w:t>
      </w:r>
      <w:r w:rsidRPr="00281CDE">
        <w:rPr>
          <w:rFonts w:ascii="Times New Roman" w:eastAsia="Times New Roman" w:hAnsi="Times New Roman" w:cs="Times New Roman"/>
          <w:sz w:val="22"/>
          <w:szCs w:val="22"/>
        </w:rPr>
        <w:t>:</w:t>
      </w:r>
    </w:p>
    <w:p w14:paraId="4FEC00E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Real-time sentiment gauge (per asset class)</w:t>
      </w:r>
    </w:p>
    <w:p w14:paraId="2BEAD816"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Historical sentiment trends (line charts)</w:t>
      </w:r>
    </w:p>
    <w:p w14:paraId="6B7092BD"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Regime indicator (Risk-On/Off/Transition)</w:t>
      </w:r>
    </w:p>
    <w:p w14:paraId="58BA5931"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Divergence alerts (when sentiment contradicts price or cross-asset sentiment diverges)</w:t>
      </w:r>
    </w:p>
    <w:p w14:paraId="7FFC824A"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Deployment</w:t>
      </w:r>
      <w:r w:rsidRPr="00281CDE">
        <w:rPr>
          <w:rFonts w:ascii="Times New Roman" w:eastAsia="Times New Roman" w:hAnsi="Times New Roman" w:cs="Times New Roman"/>
          <w:sz w:val="22"/>
          <w:szCs w:val="22"/>
        </w:rPr>
        <w:t>:</w:t>
      </w:r>
    </w:p>
    <w:p w14:paraId="151F5AC1"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Backend</w:t>
      </w:r>
      <w:r w:rsidRPr="00281CDE">
        <w:rPr>
          <w:rFonts w:ascii="Times New Roman" w:eastAsia="Times New Roman" w:hAnsi="Times New Roman" w:cs="Times New Roman"/>
          <w:sz w:val="22"/>
          <w:szCs w:val="22"/>
        </w:rPr>
        <w:t>: Cloud hosting (AWS EC2, Google Cloud Run, or Heroku)</w:t>
      </w:r>
    </w:p>
    <w:p w14:paraId="6EE959F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Frontend</w:t>
      </w:r>
      <w:r w:rsidRPr="00281CDE">
        <w:rPr>
          <w:rFonts w:ascii="Times New Roman" w:eastAsia="Times New Roman" w:hAnsi="Times New Roman" w:cs="Times New Roman"/>
          <w:sz w:val="22"/>
          <w:szCs w:val="22"/>
        </w:rPr>
        <w:t>: Vercel or Netlify</w:t>
      </w:r>
    </w:p>
    <w:p w14:paraId="092DD10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CI/CD</w:t>
      </w:r>
      <w:r w:rsidRPr="00281CDE">
        <w:rPr>
          <w:rFonts w:ascii="Times New Roman" w:eastAsia="Times New Roman" w:hAnsi="Times New Roman" w:cs="Times New Roman"/>
          <w:sz w:val="22"/>
          <w:szCs w:val="22"/>
        </w:rPr>
        <w:t>: GitHub Actions</w:t>
      </w:r>
    </w:p>
    <w:p w14:paraId="3DB96B30"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bookmarkStart w:id="58" w:name="implementation-plan"/>
      <w:bookmarkEnd w:id="36"/>
      <w:bookmarkEnd w:id="57"/>
      <w:r w:rsidRPr="00281CDE">
        <w:rPr>
          <w:rFonts w:ascii="Times New Roman" w:eastAsia="Times New Roman" w:hAnsi="Times New Roman" w:cs="Times New Roman"/>
          <w:smallCaps/>
          <w:sz w:val="28"/>
          <w:szCs w:val="28"/>
        </w:rPr>
        <w:t>4. Implementation Plan</w:t>
      </w:r>
    </w:p>
    <w:p w14:paraId="0D51E243"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59" w:name="software-technology-stack"/>
      <w:r w:rsidRPr="00281CDE">
        <w:rPr>
          <w:rFonts w:ascii="Times New Roman" w:eastAsia="Times New Roman" w:hAnsi="Times New Roman" w:cs="Times New Roman"/>
          <w:i/>
          <w:iCs/>
          <w:smallCaps/>
          <w:spacing w:val="5"/>
          <w:sz w:val="26"/>
          <w:szCs w:val="26"/>
        </w:rPr>
        <w:t>4.1 Software &amp; Technology Stack</w:t>
      </w:r>
    </w:p>
    <w:p w14:paraId="1961E54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We will adopt a microservices-oriented architecture to decouple heavy NLP inference from the lightweight regime-detection logic.</w:t>
      </w:r>
    </w:p>
    <w:p w14:paraId="5BA6A751"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0" w:name="data-nlp-layer"/>
      <w:r w:rsidRPr="00281CDE">
        <w:rPr>
          <w:rFonts w:ascii="Times New Roman" w:eastAsia="Times New Roman" w:hAnsi="Times New Roman" w:cs="Times New Roman"/>
          <w:b/>
          <w:bCs/>
          <w:spacing w:val="5"/>
        </w:rPr>
        <w:t>4.1.1 Data &amp; NLP Layer</w:t>
      </w:r>
    </w:p>
    <w:p w14:paraId="236DC14B"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Language Models:</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Hugging Face Transformers</w:t>
      </w:r>
      <w:r w:rsidRPr="00281CDE">
        <w:rPr>
          <w:rFonts w:ascii="Times New Roman" w:eastAsia="Times New Roman" w:hAnsi="Times New Roman" w:cs="Times New Roman"/>
          <w:sz w:val="22"/>
          <w:szCs w:val="22"/>
        </w:rPr>
        <w:t xml:space="preserve"> for FinBERT and RoBERTa-base.</w:t>
      </w:r>
    </w:p>
    <w:p w14:paraId="449D1F2E"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LLM Integration:</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OpenAI API</w:t>
      </w:r>
      <w:r w:rsidRPr="00281CDE">
        <w:rPr>
          <w:rFonts w:ascii="Times New Roman" w:eastAsia="Times New Roman" w:hAnsi="Times New Roman" w:cs="Times New Roman"/>
          <w:sz w:val="22"/>
          <w:szCs w:val="22"/>
        </w:rPr>
        <w:t xml:space="preserve"> (GPT-4o) for zero-shot validation and complex entity disambiguation, as recommended by Nasiopoulos et al. (2025) for scalability without heavy local compute.</w:t>
      </w:r>
    </w:p>
    <w:p w14:paraId="5AC205B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Orchestration:</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Airflow</w:t>
      </w:r>
      <w:r w:rsidRPr="00281CDE">
        <w:rPr>
          <w:rFonts w:ascii="Times New Roman" w:eastAsia="Times New Roman" w:hAnsi="Times New Roman" w:cs="Times New Roman"/>
          <w:sz w:val="22"/>
          <w:szCs w:val="22"/>
        </w:rPr>
        <w:t xml:space="preserve"> or </w:t>
      </w:r>
      <w:r w:rsidRPr="00281CDE">
        <w:rPr>
          <w:rFonts w:ascii="Consolas" w:eastAsia="Times New Roman" w:hAnsi="Consolas" w:cs="Times New Roman"/>
          <w:i/>
          <w:sz w:val="22"/>
          <w:szCs w:val="22"/>
        </w:rPr>
        <w:t>Celery</w:t>
      </w:r>
      <w:r w:rsidRPr="00281CDE">
        <w:rPr>
          <w:rFonts w:ascii="Times New Roman" w:eastAsia="Times New Roman" w:hAnsi="Times New Roman" w:cs="Times New Roman"/>
          <w:sz w:val="22"/>
          <w:szCs w:val="22"/>
        </w:rPr>
        <w:t xml:space="preserve"> to manage the asynchronous scraping of Reddit/Twitter APIs and news feeds.</w:t>
      </w:r>
    </w:p>
    <w:p w14:paraId="606348A7"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1" w:name="modeling-inference-layer"/>
      <w:bookmarkEnd w:id="60"/>
      <w:r w:rsidRPr="00281CDE">
        <w:rPr>
          <w:rFonts w:ascii="Times New Roman" w:eastAsia="Times New Roman" w:hAnsi="Times New Roman" w:cs="Times New Roman"/>
          <w:b/>
          <w:bCs/>
          <w:spacing w:val="5"/>
        </w:rPr>
        <w:t>4.1.2 Modeling &amp; Inference Layer</w:t>
      </w:r>
    </w:p>
    <w:p w14:paraId="5BE7077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Deep Learning Framework:</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PyTorch</w:t>
      </w:r>
      <w:r w:rsidRPr="00281CDE">
        <w:rPr>
          <w:rFonts w:ascii="Times New Roman" w:eastAsia="Times New Roman" w:hAnsi="Times New Roman" w:cs="Times New Roman"/>
          <w:sz w:val="22"/>
          <w:szCs w:val="22"/>
        </w:rPr>
        <w:t xml:space="preserve"> for custom model training and the Statistical Jump Model implementation.</w:t>
      </w:r>
    </w:p>
    <w:p w14:paraId="4915F6B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Econometrics:</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statsmodels</w:t>
      </w:r>
      <w:r w:rsidRPr="00281CDE">
        <w:rPr>
          <w:rFonts w:ascii="Times New Roman" w:eastAsia="Times New Roman" w:hAnsi="Times New Roman" w:cs="Times New Roman"/>
          <w:sz w:val="22"/>
          <w:szCs w:val="22"/>
        </w:rPr>
        <w:t xml:space="preserve"> or </w:t>
      </w:r>
      <w:r w:rsidRPr="00281CDE">
        <w:rPr>
          <w:rFonts w:ascii="Consolas" w:eastAsia="Times New Roman" w:hAnsi="Consolas" w:cs="Times New Roman"/>
          <w:i/>
          <w:sz w:val="22"/>
          <w:szCs w:val="22"/>
        </w:rPr>
        <w:t>arch</w:t>
      </w:r>
      <w:r w:rsidRPr="00281CDE">
        <w:rPr>
          <w:rFonts w:ascii="Times New Roman" w:eastAsia="Times New Roman" w:hAnsi="Times New Roman" w:cs="Times New Roman"/>
          <w:sz w:val="22"/>
          <w:szCs w:val="22"/>
        </w:rPr>
        <w:t xml:space="preserve"> (Python) for the GARCH-MIDAS volatility components.</w:t>
      </w:r>
    </w:p>
    <w:p w14:paraId="6AA66A7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Optimization:</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Optuna</w:t>
      </w:r>
      <w:r w:rsidRPr="00281CDE">
        <w:rPr>
          <w:rFonts w:ascii="Times New Roman" w:eastAsia="Times New Roman" w:hAnsi="Times New Roman" w:cs="Times New Roman"/>
          <w:sz w:val="22"/>
          <w:szCs w:val="22"/>
        </w:rPr>
        <w:t xml:space="preserve"> for Bayesian hyperparameter tuning of the Jump Penalty (</w:t>
      </w:r>
      <m:oMath>
        <m:r>
          <w:rPr>
            <w:rFonts w:ascii="Cambria Math" w:eastAsia="Times New Roman" w:hAnsi="Cambria Math" w:cs="Times New Roman"/>
            <w:sz w:val="22"/>
            <w:szCs w:val="22"/>
          </w:rPr>
          <m:t>λ</m:t>
        </m:r>
      </m:oMath>
      <w:r w:rsidRPr="00281CDE">
        <w:rPr>
          <w:rFonts w:ascii="Times New Roman" w:eastAsia="Times New Roman" w:hAnsi="Times New Roman" w:cs="Times New Roman"/>
          <w:sz w:val="22"/>
          <w:szCs w:val="22"/>
        </w:rPr>
        <w:t>) and lookback windows, utilizing 100 trials as per Nasiopoulos et al. (2025).</w:t>
      </w:r>
    </w:p>
    <w:p w14:paraId="0D4F934E"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2" w:name="backend-deployment"/>
      <w:bookmarkEnd w:id="61"/>
      <w:r w:rsidRPr="00281CDE">
        <w:rPr>
          <w:rFonts w:ascii="Times New Roman" w:eastAsia="Times New Roman" w:hAnsi="Times New Roman" w:cs="Times New Roman"/>
          <w:b/>
          <w:bCs/>
          <w:spacing w:val="5"/>
        </w:rPr>
        <w:t>4.1.3 Backend &amp; Deployment</w:t>
      </w:r>
    </w:p>
    <w:p w14:paraId="40D2C7A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API:</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FastAPI</w:t>
      </w:r>
      <w:r w:rsidRPr="00281CDE">
        <w:rPr>
          <w:rFonts w:ascii="Times New Roman" w:eastAsia="Times New Roman" w:hAnsi="Times New Roman" w:cs="Times New Roman"/>
          <w:sz w:val="22"/>
          <w:szCs w:val="22"/>
        </w:rPr>
        <w:t xml:space="preserve"> for high-performance, non-blocking inference endpoints (e.g., </w:t>
      </w:r>
      <w:r w:rsidRPr="00281CDE">
        <w:rPr>
          <w:rFonts w:ascii="Consolas" w:eastAsia="Times New Roman" w:hAnsi="Consolas" w:cs="Times New Roman"/>
          <w:i/>
          <w:sz w:val="22"/>
          <w:szCs w:val="22"/>
        </w:rPr>
        <w:t>/predict_regime</w:t>
      </w:r>
      <w:r w:rsidRPr="00281CDE">
        <w:rPr>
          <w:rFonts w:ascii="Times New Roman" w:eastAsia="Times New Roman" w:hAnsi="Times New Roman" w:cs="Times New Roman"/>
          <w:sz w:val="22"/>
          <w:szCs w:val="22"/>
        </w:rPr>
        <w:t>).</w:t>
      </w:r>
    </w:p>
    <w:p w14:paraId="7142A4A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Database:</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PostgreSQL</w:t>
      </w:r>
      <w:r w:rsidRPr="00281CDE">
        <w:rPr>
          <w:rFonts w:ascii="Times New Roman" w:eastAsia="Times New Roman" w:hAnsi="Times New Roman" w:cs="Times New Roman"/>
          <w:sz w:val="22"/>
          <w:szCs w:val="22"/>
        </w:rPr>
        <w:t xml:space="preserve"> (TimescaleDB extension) for efficient storage of high-frequency time-series sentiment data.</w:t>
      </w:r>
    </w:p>
    <w:p w14:paraId="24B3FAC8"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APIs</w:t>
      </w:r>
      <w:r w:rsidRPr="00281CDE">
        <w:rPr>
          <w:rFonts w:ascii="Times New Roman" w:eastAsia="Times New Roman" w:hAnsi="Times New Roman" w:cs="Times New Roman"/>
          <w:sz w:val="22"/>
          <w:szCs w:val="22"/>
        </w:rPr>
        <w:t>:</w:t>
      </w:r>
    </w:p>
    <w:p w14:paraId="27A88939"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/sentiment/{asset_class}: Returns sentiment index time series</w:t>
      </w:r>
    </w:p>
    <w:p w14:paraId="07A51CE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/regime/current: Returns current regime prediction + confidence</w:t>
      </w:r>
    </w:p>
    <w:p w14:paraId="6451E76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/alerts/divergence: Returns cross-asset divergence alerts</w:t>
      </w:r>
    </w:p>
    <w:p w14:paraId="3526A046"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3" w:name="frontend"/>
      <w:bookmarkEnd w:id="62"/>
      <w:r w:rsidRPr="00281CDE">
        <w:rPr>
          <w:rFonts w:ascii="Times New Roman" w:eastAsia="Times New Roman" w:hAnsi="Times New Roman" w:cs="Times New Roman"/>
          <w:b/>
          <w:bCs/>
          <w:spacing w:val="5"/>
        </w:rPr>
        <w:t>4.1.4 Frontend</w:t>
      </w:r>
    </w:p>
    <w:p w14:paraId="25DF791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Framework:</w:t>
      </w:r>
      <w:r w:rsidRPr="00281CDE">
        <w:rPr>
          <w:rFonts w:ascii="Times New Roman" w:eastAsia="Times New Roman" w:hAnsi="Times New Roman" w:cs="Times New Roman"/>
          <w:sz w:val="22"/>
          <w:szCs w:val="22"/>
        </w:rPr>
        <w:t xml:space="preserve"> React (Vite build tool)</w:t>
      </w:r>
    </w:p>
    <w:p w14:paraId="093460A3"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Visualization:</w:t>
      </w:r>
      <w:r w:rsidRPr="00281CDE">
        <w:rPr>
          <w:rFonts w:ascii="Times New Roman" w:eastAsia="Times New Roman" w:hAnsi="Times New Roman" w:cs="Times New Roman"/>
          <w:sz w:val="22"/>
          <w:szCs w:val="22"/>
        </w:rPr>
        <w:t xml:space="preserve"> Recharts or D3.js for interactive time-series charts</w:t>
      </w:r>
    </w:p>
    <w:p w14:paraId="396C106D"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Components:</w:t>
      </w:r>
    </w:p>
    <w:p w14:paraId="01BEFCD1"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Real-time sentiment gauge (per asset class)</w:t>
      </w:r>
    </w:p>
    <w:p w14:paraId="16F5A1E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Historical sentiment trends (line charts)</w:t>
      </w:r>
    </w:p>
    <w:p w14:paraId="685051A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Regime indicator (Risk-On/Off/Transition)</w:t>
      </w:r>
    </w:p>
    <w:p w14:paraId="6C58D8B1"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Divergence alerts (when sentiment contradicts price or cross-asset sentiment diverges)</w:t>
      </w:r>
    </w:p>
    <w:p w14:paraId="277DEF85"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4" w:name="deployment-cicd"/>
      <w:bookmarkEnd w:id="63"/>
      <w:r w:rsidRPr="00281CDE">
        <w:rPr>
          <w:rFonts w:ascii="Times New Roman" w:eastAsia="Times New Roman" w:hAnsi="Times New Roman" w:cs="Times New Roman"/>
          <w:b/>
          <w:bCs/>
          <w:spacing w:val="5"/>
        </w:rPr>
        <w:t>4.1.5 Deployment &amp; CI/CD</w:t>
      </w:r>
    </w:p>
    <w:p w14:paraId="255A867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Backend:</w:t>
      </w:r>
      <w:r w:rsidRPr="00281CDE">
        <w:rPr>
          <w:rFonts w:ascii="Times New Roman" w:eastAsia="Times New Roman" w:hAnsi="Times New Roman" w:cs="Times New Roman"/>
          <w:sz w:val="22"/>
          <w:szCs w:val="22"/>
        </w:rPr>
        <w:t xml:space="preserve"> Cloud hosting (AWS EC2, Google Cloud Run, or Heroku)</w:t>
      </w:r>
    </w:p>
    <w:p w14:paraId="1CE5C2E6"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Frontend:</w:t>
      </w:r>
      <w:r w:rsidRPr="00281CDE">
        <w:rPr>
          <w:rFonts w:ascii="Times New Roman" w:eastAsia="Times New Roman" w:hAnsi="Times New Roman" w:cs="Times New Roman"/>
          <w:sz w:val="22"/>
          <w:szCs w:val="22"/>
        </w:rPr>
        <w:t xml:space="preserve"> Vercel or Netlify</w:t>
      </w:r>
    </w:p>
    <w:p w14:paraId="3572BD7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CI/CD:</w:t>
      </w:r>
      <w:r w:rsidRPr="00281CDE">
        <w:rPr>
          <w:rFonts w:ascii="Times New Roman" w:eastAsia="Times New Roman" w:hAnsi="Times New Roman" w:cs="Times New Roman"/>
          <w:sz w:val="22"/>
          <w:szCs w:val="22"/>
        </w:rPr>
        <w:t xml:space="preserve"> GitHub Actions</w:t>
      </w:r>
    </w:p>
    <w:p w14:paraId="0DDB0B6C" w14:textId="31461929"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65" w:name="backtesting-engine-architecture"/>
      <w:bookmarkEnd w:id="59"/>
      <w:bookmarkEnd w:id="64"/>
      <w:r w:rsidRPr="00281CDE">
        <w:rPr>
          <w:rFonts w:ascii="Times New Roman" w:eastAsia="Times New Roman" w:hAnsi="Times New Roman" w:cs="Times New Roman"/>
          <w:i/>
          <w:iCs/>
          <w:smallCaps/>
          <w:spacing w:val="5"/>
          <w:sz w:val="26"/>
          <w:szCs w:val="26"/>
        </w:rPr>
        <w:t>4.2 Back</w:t>
      </w:r>
      <w:r w:rsidR="00893643">
        <w:rPr>
          <w:rFonts w:ascii="Times New Roman" w:eastAsia="Times New Roman" w:hAnsi="Times New Roman" w:cs="Times New Roman"/>
          <w:i/>
          <w:iCs/>
          <w:smallCaps/>
          <w:spacing w:val="5"/>
          <w:sz w:val="26"/>
          <w:szCs w:val="26"/>
        </w:rPr>
        <w:t>-</w:t>
      </w:r>
      <w:r w:rsidRPr="00281CDE">
        <w:rPr>
          <w:rFonts w:ascii="Times New Roman" w:eastAsia="Times New Roman" w:hAnsi="Times New Roman" w:cs="Times New Roman"/>
          <w:i/>
          <w:iCs/>
          <w:smallCaps/>
          <w:spacing w:val="5"/>
          <w:sz w:val="26"/>
          <w:szCs w:val="26"/>
        </w:rPr>
        <w:t>testing Engine Architecture</w:t>
      </w:r>
    </w:p>
    <w:p w14:paraId="2751E083"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To validate the “Leading Indicator” hypothesis (H1) and avoid look-ahead bias—a critical failure point identified by Kengmegni (2024)—we will construct a </w:t>
      </w:r>
      <w:r w:rsidRPr="00281CDE">
        <w:rPr>
          <w:rFonts w:ascii="Times New Roman" w:eastAsia="Times New Roman" w:hAnsi="Times New Roman" w:cs="Times New Roman"/>
          <w:b/>
          <w:bCs/>
          <w:sz w:val="22"/>
          <w:szCs w:val="22"/>
        </w:rPr>
        <w:t>Walk-Forward Validation Engine</w:t>
      </w:r>
      <w:r w:rsidRPr="00281CDE">
        <w:rPr>
          <w:rFonts w:ascii="Times New Roman" w:eastAsia="Times New Roman" w:hAnsi="Times New Roman" w:cs="Times New Roman"/>
          <w:sz w:val="22"/>
          <w:szCs w:val="22"/>
        </w:rPr>
        <w:t xml:space="preserve"> rather than a standard cross-validation loop.</w:t>
      </w:r>
    </w:p>
    <w:p w14:paraId="0B1ED6DD"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6" w:name="the-rolling-window-architecture"/>
      <w:r w:rsidRPr="00281CDE">
        <w:rPr>
          <w:rFonts w:ascii="Times New Roman" w:eastAsia="Times New Roman" w:hAnsi="Times New Roman" w:cs="Times New Roman"/>
          <w:b/>
          <w:bCs/>
          <w:spacing w:val="5"/>
        </w:rPr>
        <w:t>4.2.1 The “Rolling-Window” Architecture</w:t>
      </w:r>
    </w:p>
    <w:p w14:paraId="3925848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Following the protocols of Shao et al. (2024) and Kengmegni (2024), the engine simulates real-time trading by advancing the training window.</w:t>
      </w:r>
    </w:p>
    <w:p w14:paraId="6F59D0E8"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Initialization:</w:t>
      </w:r>
      <w:r w:rsidRPr="00281CDE">
        <w:rPr>
          <w:rFonts w:ascii="Times New Roman" w:eastAsia="Times New Roman" w:hAnsi="Times New Roman" w:cs="Times New Roman"/>
          <w:sz w:val="22"/>
          <w:szCs w:val="22"/>
        </w:rPr>
        <w:t xml:space="preserve"> Train Sentiment &amp; Regime models on data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0</m:t>
            </m:r>
          </m:sub>
        </m:sSub>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k</m:t>
            </m:r>
          </m:sub>
        </m:sSub>
      </m:oMath>
      <w:r w:rsidRPr="00281CDE">
        <w:rPr>
          <w:rFonts w:ascii="Times New Roman" w:eastAsia="Times New Roman" w:hAnsi="Times New Roman" w:cs="Times New Roman"/>
          <w:sz w:val="22"/>
          <w:szCs w:val="22"/>
        </w:rPr>
        <w:t xml:space="preserve"> (e.g., 2 years).</w:t>
      </w:r>
    </w:p>
    <w:p w14:paraId="63B05861"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Prediction Step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b/>
          <w:bCs/>
          <w:sz w:val="22"/>
          <w:szCs w:val="22"/>
        </w:rPr>
        <w:t>):</w:t>
      </w:r>
    </w:p>
    <w:p w14:paraId="7F3B6411"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 Cutoff:</w:t>
      </w:r>
      <w:r w:rsidRPr="00281CDE">
        <w:rPr>
          <w:rFonts w:ascii="Times New Roman" w:eastAsia="Times New Roman" w:hAnsi="Times New Roman" w:cs="Times New Roman"/>
          <w:sz w:val="22"/>
          <w:szCs w:val="22"/>
        </w:rPr>
        <w:t xml:space="preserve"> Strictly enforce a 4:30 PM EST cutoff for news data to prevent information leakage into the next trading day.</w:t>
      </w:r>
    </w:p>
    <w:p w14:paraId="247AD06C"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Inference:</w:t>
      </w:r>
      <w:r w:rsidRPr="00281CDE">
        <w:rPr>
          <w:rFonts w:ascii="Times New Roman" w:eastAsia="Times New Roman" w:hAnsi="Times New Roman" w:cs="Times New Roman"/>
          <w:sz w:val="22"/>
          <w:szCs w:val="22"/>
        </w:rPr>
        <w:t xml:space="preserve"> Generate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sz w:val="22"/>
          <w:szCs w:val="22"/>
        </w:rPr>
        <w:t xml:space="preserve"> (Sentiment Score) </w:t>
      </w:r>
      <m:oMath>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τ</m:t>
            </m:r>
          </m:e>
          <m:sub>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sz w:val="22"/>
          <w:szCs w:val="22"/>
        </w:rPr>
        <w:t xml:space="preserve"> (GARCH Volatility) </w:t>
      </w:r>
      <m:oMath>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Regime State (Risk-On/Off).</w:t>
      </w:r>
    </w:p>
    <w:p w14:paraId="169A7676"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Execution Simulation:</w:t>
      </w:r>
    </w:p>
    <w:p w14:paraId="3EBF3B5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 xml:space="preserve">If Regime switches (e.g., Risk-On </w:t>
      </w:r>
      <m:oMath>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Risk-Off), trigger portfolio rebalancing.</w:t>
      </w:r>
    </w:p>
    <w:p w14:paraId="4953AA4E"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Apply </w:t>
      </w:r>
      <w:r w:rsidRPr="00281CDE">
        <w:rPr>
          <w:rFonts w:ascii="Times New Roman" w:eastAsia="Times New Roman" w:hAnsi="Times New Roman" w:cs="Times New Roman"/>
          <w:b/>
          <w:bCs/>
          <w:sz w:val="22"/>
          <w:szCs w:val="22"/>
        </w:rPr>
        <w:t>Transaction Costs:</w:t>
      </w:r>
      <w:r w:rsidRPr="00281CDE">
        <w:rPr>
          <w:rFonts w:ascii="Times New Roman" w:eastAsia="Times New Roman" w:hAnsi="Times New Roman" w:cs="Times New Roman"/>
          <w:sz w:val="22"/>
          <w:szCs w:val="22"/>
        </w:rPr>
        <w:t xml:space="preserve"> 10 basis points (bps) per trade to simulate institutional slippage.</w:t>
      </w:r>
    </w:p>
    <w:p w14:paraId="29B9534B" w14:textId="77777777" w:rsidR="00281CDE" w:rsidRPr="00281CDE" w:rsidRDefault="00281CDE" w:rsidP="00281CDE">
      <w:pPr>
        <w:numPr>
          <w:ilvl w:val="0"/>
          <w:numId w:val="2"/>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Update Step:</w:t>
      </w:r>
      <w:r w:rsidRPr="00281CDE">
        <w:rPr>
          <w:rFonts w:ascii="Times New Roman" w:eastAsia="Times New Roman" w:hAnsi="Times New Roman" w:cs="Times New Roman"/>
          <w:sz w:val="22"/>
          <w:szCs w:val="22"/>
        </w:rPr>
        <w:t xml:space="preserve"> Add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t</m:t>
            </m:r>
          </m:e>
          <m:sub>
            <m:r>
              <w:rPr>
                <w:rFonts w:ascii="Cambria Math" w:eastAsia="Times New Roman" w:hAnsi="Cambria Math" w:cs="Times New Roman"/>
                <w:sz w:val="22"/>
                <w:szCs w:val="22"/>
              </w:rPr>
              <m:t>k</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sub>
        </m:sSub>
      </m:oMath>
      <w:r w:rsidRPr="00281CDE">
        <w:rPr>
          <w:rFonts w:ascii="Times New Roman" w:eastAsia="Times New Roman" w:hAnsi="Times New Roman" w:cs="Times New Roman"/>
          <w:sz w:val="22"/>
          <w:szCs w:val="22"/>
        </w:rPr>
        <w:t xml:space="preserve"> to the training set. Retrain or incrementally update model parameters (e.g., monthly retraining) to adapt to concept drift.</w:t>
      </w:r>
    </w:p>
    <w:p w14:paraId="45BD3FBC"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67" w:name="event-driven-logic"/>
      <w:bookmarkEnd w:id="66"/>
      <w:r w:rsidRPr="00281CDE">
        <w:rPr>
          <w:rFonts w:ascii="Times New Roman" w:eastAsia="Times New Roman" w:hAnsi="Times New Roman" w:cs="Times New Roman"/>
          <w:b/>
          <w:bCs/>
          <w:spacing w:val="5"/>
        </w:rPr>
        <w:t>4.2.2 Event-Driven Logic</w:t>
      </w:r>
    </w:p>
    <w:p w14:paraId="0842E0D3" w14:textId="34A11FC6"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back</w:t>
      </w:r>
      <w:r w:rsidR="00893643">
        <w:rPr>
          <w:rFonts w:ascii="Times New Roman" w:eastAsia="Times New Roman" w:hAnsi="Times New Roman" w:cs="Times New Roman"/>
          <w:sz w:val="22"/>
          <w:szCs w:val="22"/>
        </w:rPr>
        <w:t>-</w:t>
      </w:r>
      <w:r w:rsidRPr="00281CDE">
        <w:rPr>
          <w:rFonts w:ascii="Times New Roman" w:eastAsia="Times New Roman" w:hAnsi="Times New Roman" w:cs="Times New Roman"/>
          <w:sz w:val="22"/>
          <w:szCs w:val="22"/>
        </w:rPr>
        <w:t>tester will use an event-driven loop to handle the mixed frequencies of our data (irregular news vs. regular prices):</w:t>
      </w:r>
    </w:p>
    <w:p w14:paraId="08B7A3B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Input:</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Stream&lt;NewsEvent&gt;</w:t>
      </w:r>
      <w:r w:rsidRPr="00281CDE">
        <w:rPr>
          <w:rFonts w:ascii="Times New Roman" w:eastAsia="Times New Roman" w:hAnsi="Times New Roman" w:cs="Times New Roman"/>
          <w:sz w:val="22"/>
          <w:szCs w:val="22"/>
        </w:rPr>
        <w:t xml:space="preserve">, </w:t>
      </w:r>
      <w:r w:rsidRPr="00281CDE">
        <w:rPr>
          <w:rFonts w:ascii="Consolas" w:eastAsia="Times New Roman" w:hAnsi="Consolas" w:cs="Times New Roman"/>
          <w:i/>
          <w:sz w:val="22"/>
          <w:szCs w:val="22"/>
        </w:rPr>
        <w:t>Stream&lt;PriceTick&gt;</w:t>
      </w:r>
    </w:p>
    <w:p w14:paraId="0811867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Alignment Processor:</w:t>
      </w:r>
      <w:r w:rsidRPr="00281CDE">
        <w:rPr>
          <w:rFonts w:ascii="Times New Roman" w:eastAsia="Times New Roman" w:hAnsi="Times New Roman" w:cs="Times New Roman"/>
          <w:sz w:val="22"/>
          <w:szCs w:val="22"/>
        </w:rPr>
        <w:t xml:space="preserve"> Implements the “Forward-Fill with Aggregation” logic (from Methodology 3.4) to align sentiment signals to the nearest tradable price bar.</w:t>
      </w:r>
    </w:p>
    <w:p w14:paraId="23615AC7"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68" w:name="implementation-roadmap"/>
      <w:bookmarkEnd w:id="65"/>
      <w:bookmarkEnd w:id="67"/>
      <w:r w:rsidRPr="00281CDE">
        <w:rPr>
          <w:rFonts w:ascii="Times New Roman" w:eastAsia="Times New Roman" w:hAnsi="Times New Roman" w:cs="Times New Roman"/>
          <w:i/>
          <w:iCs/>
          <w:smallCaps/>
          <w:spacing w:val="5"/>
          <w:sz w:val="26"/>
          <w:szCs w:val="26"/>
        </w:rPr>
        <w:t>4.3 Implementation Roadmap</w:t>
      </w:r>
    </w:p>
    <w:p w14:paraId="68E45750"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Phase 1: Pipeline Construction (Weeks 1-2):</w:t>
      </w:r>
      <w:r w:rsidRPr="00281CDE">
        <w:rPr>
          <w:rFonts w:ascii="Times New Roman" w:eastAsia="Times New Roman" w:hAnsi="Times New Roman" w:cs="Times New Roman"/>
          <w:sz w:val="22"/>
          <w:szCs w:val="22"/>
        </w:rPr>
        <w:t xml:space="preserve"> Set up scrapers (Twitter/News) and the FinBERT/RoBERTa inference pipeline.</w:t>
      </w:r>
    </w:p>
    <w:p w14:paraId="1AF67BCB"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Phase 2: Feature Engineering (Week 3):</w:t>
      </w:r>
      <w:r w:rsidRPr="00281CDE">
        <w:rPr>
          <w:rFonts w:ascii="Times New Roman" w:eastAsia="Times New Roman" w:hAnsi="Times New Roman" w:cs="Times New Roman"/>
          <w:sz w:val="22"/>
          <w:szCs w:val="22"/>
        </w:rPr>
        <w:t xml:space="preserve"> Implement the Entropy-based Connectedness and Transfer Entropy Divergence metrics.</w:t>
      </w:r>
    </w:p>
    <w:p w14:paraId="7CF7EB84"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Phase 3: Model Integration (Weeks 4-5):</w:t>
      </w:r>
      <w:r w:rsidRPr="00281CDE">
        <w:rPr>
          <w:rFonts w:ascii="Times New Roman" w:eastAsia="Times New Roman" w:hAnsi="Times New Roman" w:cs="Times New Roman"/>
          <w:sz w:val="22"/>
          <w:szCs w:val="22"/>
        </w:rPr>
        <w:t xml:space="preserve"> Build the Two-Layer GARCH-MIDAS + Jump Model in PyTorch.</w:t>
      </w:r>
    </w:p>
    <w:p w14:paraId="4E131FD0" w14:textId="244CCC4B"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Phase 4: Back</w:t>
      </w:r>
      <w:r w:rsidR="00893643">
        <w:rPr>
          <w:rFonts w:ascii="Times New Roman" w:eastAsia="Times New Roman" w:hAnsi="Times New Roman" w:cs="Times New Roman"/>
          <w:b/>
          <w:bCs/>
          <w:sz w:val="22"/>
          <w:szCs w:val="22"/>
        </w:rPr>
        <w:t>-</w:t>
      </w:r>
      <w:r w:rsidRPr="00281CDE">
        <w:rPr>
          <w:rFonts w:ascii="Times New Roman" w:eastAsia="Times New Roman" w:hAnsi="Times New Roman" w:cs="Times New Roman"/>
          <w:b/>
          <w:bCs/>
          <w:sz w:val="22"/>
          <w:szCs w:val="22"/>
        </w:rPr>
        <w:t>testing &amp; Tuning (Weeks 6-7):</w:t>
      </w:r>
      <w:r w:rsidRPr="00281CDE">
        <w:rPr>
          <w:rFonts w:ascii="Times New Roman" w:eastAsia="Times New Roman" w:hAnsi="Times New Roman" w:cs="Times New Roman"/>
          <w:sz w:val="22"/>
          <w:szCs w:val="22"/>
        </w:rPr>
        <w:t xml:space="preserve"> Run the Walk-Forward validation and tune the Jump Penalty (</w:t>
      </w:r>
      <m:oMath>
        <m:r>
          <w:rPr>
            <w:rFonts w:ascii="Cambria Math" w:eastAsia="Times New Roman" w:hAnsi="Cambria Math" w:cs="Times New Roman"/>
            <w:sz w:val="22"/>
            <w:szCs w:val="22"/>
          </w:rPr>
          <m:t>λ</m:t>
        </m:r>
      </m:oMath>
      <w:r w:rsidRPr="00281CDE">
        <w:rPr>
          <w:rFonts w:ascii="Times New Roman" w:eastAsia="Times New Roman" w:hAnsi="Times New Roman" w:cs="Times New Roman"/>
          <w:sz w:val="22"/>
          <w:szCs w:val="22"/>
        </w:rPr>
        <w:t>) to maximize the Sharpe Ratio.</w:t>
      </w:r>
    </w:p>
    <w:p w14:paraId="4EB847F4"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bookmarkStart w:id="69" w:name="expected-results"/>
      <w:bookmarkEnd w:id="58"/>
      <w:bookmarkEnd w:id="68"/>
      <w:r w:rsidRPr="00281CDE">
        <w:rPr>
          <w:rFonts w:ascii="Times New Roman" w:eastAsia="Times New Roman" w:hAnsi="Times New Roman" w:cs="Times New Roman"/>
          <w:smallCaps/>
          <w:sz w:val="28"/>
          <w:szCs w:val="28"/>
        </w:rPr>
        <w:t>5. Expected Results</w:t>
      </w:r>
    </w:p>
    <w:p w14:paraId="0EAD29D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70" w:name="sentiment-model-performance-targets"/>
      <w:r w:rsidRPr="00281CDE">
        <w:rPr>
          <w:rFonts w:ascii="Times New Roman" w:eastAsia="Times New Roman" w:hAnsi="Times New Roman" w:cs="Times New Roman"/>
          <w:i/>
          <w:iCs/>
          <w:smallCaps/>
          <w:spacing w:val="5"/>
          <w:sz w:val="26"/>
          <w:szCs w:val="26"/>
        </w:rPr>
        <w:t>5.1 Sentiment Model Performance Targets</w:t>
      </w:r>
    </w:p>
    <w:p w14:paraId="242BF567"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Based on benchmark performance from FinBERT (Araci, 2019) and ensemble approaches:</w:t>
      </w:r>
    </w:p>
    <w:p w14:paraId="45723C6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Classification Accuracy: 85-90% on financial text sentiment (positive/neutral/negative)</w:t>
      </w:r>
    </w:p>
    <w:p w14:paraId="4A83CF93"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F1-Score: &gt;0.80 across all sentiment classes</w:t>
      </w:r>
    </w:p>
    <w:p w14:paraId="3DBF0EE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Source-Specific Performance: Higher accuracy on news (&gt;90%) vs. social media (&gt;80%)</w:t>
      </w:r>
    </w:p>
    <w:p w14:paraId="65AC4960"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71" w:name="Xd44de613b8932075dd6c8fc4af6e7aba96bb98e"/>
      <w:bookmarkEnd w:id="70"/>
      <w:r w:rsidRPr="00281CDE">
        <w:rPr>
          <w:rFonts w:ascii="Times New Roman" w:eastAsia="Times New Roman" w:hAnsi="Times New Roman" w:cs="Times New Roman"/>
          <w:i/>
          <w:iCs/>
          <w:smallCaps/>
          <w:spacing w:val="5"/>
          <w:sz w:val="26"/>
          <w:szCs w:val="26"/>
        </w:rPr>
        <w:t>5.2 Regime Classification Performance Targets</w:t>
      </w:r>
    </w:p>
    <w:p w14:paraId="1D87D95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Overall Accuracy: 75-85% for three-class regime prediction (Risk-On/Risk-Off/Transition)</w:t>
      </w:r>
    </w:p>
    <w:p w14:paraId="7FA8D26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Lead Time: Sentiment-based signals detect regime transitions 1-5 trading days before VIX-based indicators</w:t>
      </w:r>
    </w:p>
    <w:p w14:paraId="0A9D0C1F"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Transition Detection: F1-score &gt;0.70 for identifying Transition regimes (most challenging class)</w:t>
      </w:r>
    </w:p>
    <w:p w14:paraId="45E6AC0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MCC Target: &gt;0.60 (demonstrating performance well above random chance on imbalanced classes)</w:t>
      </w:r>
    </w:p>
    <w:p w14:paraId="3D631756"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Cross-validation: Time-series split validation (2016-2021 train, 2022-2023 validation, 2024+ test)</w:t>
      </w:r>
    </w:p>
    <w:p w14:paraId="1D8302F4" w14:textId="5CE4125B"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72" w:name="backtesting-validation-events"/>
      <w:bookmarkEnd w:id="71"/>
      <w:r w:rsidRPr="00281CDE">
        <w:rPr>
          <w:rFonts w:ascii="Times New Roman" w:eastAsia="Times New Roman" w:hAnsi="Times New Roman" w:cs="Times New Roman"/>
          <w:i/>
          <w:iCs/>
          <w:smallCaps/>
          <w:spacing w:val="5"/>
          <w:sz w:val="26"/>
          <w:szCs w:val="26"/>
        </w:rPr>
        <w:t>5.3 Back</w:t>
      </w:r>
      <w:r w:rsidR="00893643">
        <w:rPr>
          <w:rFonts w:ascii="Times New Roman" w:eastAsia="Times New Roman" w:hAnsi="Times New Roman" w:cs="Times New Roman"/>
          <w:i/>
          <w:iCs/>
          <w:smallCaps/>
          <w:spacing w:val="5"/>
          <w:sz w:val="26"/>
          <w:szCs w:val="26"/>
        </w:rPr>
        <w:t>-</w:t>
      </w:r>
      <w:r w:rsidRPr="00281CDE">
        <w:rPr>
          <w:rFonts w:ascii="Times New Roman" w:eastAsia="Times New Roman" w:hAnsi="Times New Roman" w:cs="Times New Roman"/>
          <w:i/>
          <w:iCs/>
          <w:smallCaps/>
          <w:spacing w:val="5"/>
          <w:sz w:val="26"/>
          <w:szCs w:val="26"/>
        </w:rPr>
        <w:t>testing Validation Events</w:t>
      </w:r>
    </w:p>
    <w:p w14:paraId="461513C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system will be validated on major historical market events:</w:t>
      </w:r>
    </w:p>
    <w:p w14:paraId="31A4513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COVID-19 Crash (Feb-Mar 2020): Did sentiment signals predict Risk-Off transition before VIX spike?</w:t>
      </w:r>
    </w:p>
    <w:p w14:paraId="07CBC2D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2021 Crypto Bull Run (Jan-Nov 2021): Was cross-asset divergence visible before the crypto correction?</w:t>
      </w:r>
    </w:p>
    <w:p w14:paraId="2EFE2CC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2022 Bear Market (Jan-Oct 2022): Could sentiment indices forecast Fed tightening impact?</w:t>
      </w:r>
    </w:p>
    <w:p w14:paraId="6808F8D4"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2023 AI Rally (Jan-Jul 2023): Did equity sentiment decouple from broader market psychology?</w:t>
      </w:r>
    </w:p>
    <w:p w14:paraId="3B3EC6BD"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73" w:name="lead-time-analysis-validating-h1"/>
      <w:bookmarkEnd w:id="72"/>
      <w:r w:rsidRPr="00281CDE">
        <w:rPr>
          <w:rFonts w:ascii="Times New Roman" w:eastAsia="Times New Roman" w:hAnsi="Times New Roman" w:cs="Times New Roman"/>
          <w:i/>
          <w:iCs/>
          <w:smallCaps/>
          <w:spacing w:val="5"/>
          <w:sz w:val="26"/>
          <w:szCs w:val="26"/>
        </w:rPr>
        <w:t>5.4 Lead-Time Analysis (Validating H1)</w:t>
      </w:r>
    </w:p>
    <w:p w14:paraId="725B25D0"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section presents statistical evidence that our sentiment signal precedes the volatility signal.</w:t>
      </w:r>
    </w:p>
    <w:p w14:paraId="2DC67EA5"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74" w:name="lagged-cross-correlation-analysis"/>
      <w:r w:rsidRPr="00281CDE">
        <w:rPr>
          <w:rFonts w:ascii="Times New Roman" w:eastAsia="Times New Roman" w:hAnsi="Times New Roman" w:cs="Times New Roman"/>
          <w:b/>
          <w:bCs/>
          <w:spacing w:val="5"/>
        </w:rPr>
        <w:t>5.4.1 Lagged Cross-Correlation Analysis</w:t>
      </w:r>
    </w:p>
    <w:p w14:paraId="32F550F1"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Visualization:</w:t>
      </w:r>
      <w:r w:rsidRPr="00281CDE">
        <w:rPr>
          <w:rFonts w:ascii="Times New Roman" w:eastAsia="Times New Roman" w:hAnsi="Times New Roman" w:cs="Times New Roman"/>
          <w:sz w:val="22"/>
          <w:szCs w:val="22"/>
        </w:rPr>
        <w:t xml:space="preserve"> A </w:t>
      </w:r>
      <w:r w:rsidRPr="00281CDE">
        <w:rPr>
          <w:rFonts w:ascii="Times New Roman" w:eastAsia="Times New Roman" w:hAnsi="Times New Roman" w:cs="Times New Roman"/>
          <w:b/>
          <w:bCs/>
          <w:sz w:val="22"/>
          <w:szCs w:val="22"/>
        </w:rPr>
        <w:t>Cross-Correlation Function (CCF) Plot</w:t>
      </w:r>
      <w:r w:rsidRPr="00281CDE">
        <w:rPr>
          <w:rFonts w:ascii="Times New Roman" w:eastAsia="Times New Roman" w:hAnsi="Times New Roman" w:cs="Times New Roman"/>
          <w:sz w:val="22"/>
          <w:szCs w:val="22"/>
        </w:rPr>
        <w:t>.</w:t>
      </w:r>
    </w:p>
    <w:p w14:paraId="082EEE98"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X-axis:</w:t>
      </w:r>
      <w:r w:rsidRPr="00281CDE">
        <w:rPr>
          <w:rFonts w:ascii="Times New Roman" w:eastAsia="Times New Roman" w:hAnsi="Times New Roman" w:cs="Times New Roman"/>
          <w:sz w:val="22"/>
          <w:szCs w:val="22"/>
        </w:rPr>
        <w:t xml:space="preserve"> Time Lags (</w:t>
      </w:r>
      <m:oMath>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5</m:t>
        </m:r>
      </m:oMath>
      <w:r w:rsidRPr="00281CDE">
        <w:rPr>
          <w:rFonts w:ascii="Times New Roman" w:eastAsia="Times New Roman" w:hAnsi="Times New Roman" w:cs="Times New Roman"/>
          <w:sz w:val="22"/>
          <w:szCs w:val="22"/>
        </w:rPr>
        <w:t xml:space="preserve"> to </w:t>
      </w:r>
      <m:oMath>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5</m:t>
        </m:r>
      </m:oMath>
      <w:r w:rsidRPr="00281CDE">
        <w:rPr>
          <w:rFonts w:ascii="Times New Roman" w:eastAsia="Times New Roman" w:hAnsi="Times New Roman" w:cs="Times New Roman"/>
          <w:sz w:val="22"/>
          <w:szCs w:val="22"/>
        </w:rPr>
        <w:t xml:space="preserve"> days).</w:t>
      </w:r>
    </w:p>
    <w:p w14:paraId="0B83E3CF"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Y-axis:</w:t>
      </w:r>
      <w:r w:rsidRPr="00281CDE">
        <w:rPr>
          <w:rFonts w:ascii="Times New Roman" w:eastAsia="Times New Roman" w:hAnsi="Times New Roman" w:cs="Times New Roman"/>
          <w:sz w:val="22"/>
          <w:szCs w:val="22"/>
        </w:rPr>
        <w:t xml:space="preserve"> Pearson Correlation Coefficient.</w:t>
      </w:r>
    </w:p>
    <w:p w14:paraId="5DC74494"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Goal:</w:t>
      </w:r>
      <w:r w:rsidRPr="00281CDE">
        <w:rPr>
          <w:rFonts w:ascii="Times New Roman" w:eastAsia="Times New Roman" w:hAnsi="Times New Roman" w:cs="Times New Roman"/>
          <w:sz w:val="22"/>
          <w:szCs w:val="22"/>
        </w:rPr>
        <w:t xml:space="preserve"> Show a “Left-Skewed” peak. If the highest correlation between our </w:t>
      </w:r>
      <w:r w:rsidRPr="00281CDE">
        <w:rPr>
          <w:rFonts w:ascii="Times New Roman" w:eastAsia="Times New Roman" w:hAnsi="Times New Roman" w:cs="Times New Roman"/>
          <w:i/>
          <w:iCs/>
          <w:sz w:val="22"/>
          <w:szCs w:val="22"/>
        </w:rPr>
        <w:t>Sentiment Regime Probability</w:t>
      </w:r>
      <w:r w:rsidRPr="00281CDE">
        <w:rPr>
          <w:rFonts w:ascii="Times New Roman" w:eastAsia="Times New Roman" w:hAnsi="Times New Roman" w:cs="Times New Roman"/>
          <w:sz w:val="22"/>
          <w:szCs w:val="22"/>
        </w:rPr>
        <w:t xml:space="preserve"> and the </w:t>
      </w:r>
      <w:r w:rsidRPr="00281CDE">
        <w:rPr>
          <w:rFonts w:ascii="Times New Roman" w:eastAsia="Times New Roman" w:hAnsi="Times New Roman" w:cs="Times New Roman"/>
          <w:i/>
          <w:iCs/>
          <w:sz w:val="22"/>
          <w:szCs w:val="22"/>
        </w:rPr>
        <w:t>VIX</w:t>
      </w:r>
      <w:r w:rsidRPr="00281CDE">
        <w:rPr>
          <w:rFonts w:ascii="Times New Roman" w:eastAsia="Times New Roman" w:hAnsi="Times New Roman" w:cs="Times New Roman"/>
          <w:sz w:val="22"/>
          <w:szCs w:val="22"/>
        </w:rPr>
        <w:t xml:space="preserve"> occurs at </w:t>
      </w:r>
      <m:oMath>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2</m:t>
        </m:r>
      </m:oMath>
      <w:r w:rsidRPr="00281CDE">
        <w:rPr>
          <w:rFonts w:ascii="Times New Roman" w:eastAsia="Times New Roman" w:hAnsi="Times New Roman" w:cs="Times New Roman"/>
          <w:sz w:val="22"/>
          <w:szCs w:val="22"/>
        </w:rPr>
        <w:t xml:space="preserve"> or </w:t>
      </w:r>
      <m:oMath>
        <m:r>
          <w:rPr>
            <w:rFonts w:ascii="Cambria Math" w:eastAsia="Times New Roman" w:hAnsi="Cambria Math" w:cs="Times New Roman"/>
            <w:sz w:val="22"/>
            <w:szCs w:val="22"/>
          </w:rPr>
          <m:t>t</m:t>
        </m:r>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3</m:t>
        </m:r>
      </m:oMath>
      <w:r w:rsidRPr="00281CDE">
        <w:rPr>
          <w:rFonts w:ascii="Times New Roman" w:eastAsia="Times New Roman" w:hAnsi="Times New Roman" w:cs="Times New Roman"/>
          <w:sz w:val="22"/>
          <w:szCs w:val="22"/>
        </w:rPr>
        <w:t>, we statistically confirm that sentiment leads volatility.</w:t>
      </w:r>
    </w:p>
    <w:p w14:paraId="409ECD70"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Source Inspiration:</w:t>
      </w:r>
      <w:r w:rsidRPr="00281CDE">
        <w:rPr>
          <w:rFonts w:ascii="Times New Roman" w:eastAsia="Times New Roman" w:hAnsi="Times New Roman" w:cs="Times New Roman"/>
          <w:sz w:val="22"/>
          <w:szCs w:val="22"/>
        </w:rPr>
        <w:t xml:space="preserve"> Trushkovskyi (2025) used similar temporal correlation plots to show sentiment metrics peaking 2 days before price changes.</w:t>
      </w:r>
    </w:p>
    <w:p w14:paraId="273C1C34"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75" w:name="granger-causality-impulse-response"/>
      <w:bookmarkEnd w:id="74"/>
      <w:r w:rsidRPr="00281CDE">
        <w:rPr>
          <w:rFonts w:ascii="Times New Roman" w:eastAsia="Times New Roman" w:hAnsi="Times New Roman" w:cs="Times New Roman"/>
          <w:b/>
          <w:bCs/>
          <w:spacing w:val="5"/>
        </w:rPr>
        <w:t>5.4.2 Granger Causality &amp; Impulse Response</w:t>
      </w:r>
    </w:p>
    <w:p w14:paraId="4812BA8D"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Visualization:</w:t>
      </w:r>
      <w:r w:rsidRPr="00281CDE">
        <w:rPr>
          <w:rFonts w:ascii="Times New Roman" w:eastAsia="Times New Roman" w:hAnsi="Times New Roman" w:cs="Times New Roman"/>
          <w:sz w:val="22"/>
          <w:szCs w:val="22"/>
        </w:rPr>
        <w:t xml:space="preserve"> An </w:t>
      </w:r>
      <w:r w:rsidRPr="00281CDE">
        <w:rPr>
          <w:rFonts w:ascii="Times New Roman" w:eastAsia="Times New Roman" w:hAnsi="Times New Roman" w:cs="Times New Roman"/>
          <w:b/>
          <w:bCs/>
          <w:sz w:val="22"/>
          <w:szCs w:val="22"/>
        </w:rPr>
        <w:t>Impulse Response Function (IRF) Chart</w:t>
      </w:r>
      <w:r w:rsidRPr="00281CDE">
        <w:rPr>
          <w:rFonts w:ascii="Times New Roman" w:eastAsia="Times New Roman" w:hAnsi="Times New Roman" w:cs="Times New Roman"/>
          <w:sz w:val="22"/>
          <w:szCs w:val="22"/>
        </w:rPr>
        <w:t>.</w:t>
      </w:r>
    </w:p>
    <w:p w14:paraId="118B8DE4"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Description:</w:t>
      </w:r>
      <w:r w:rsidRPr="00281CDE">
        <w:rPr>
          <w:rFonts w:ascii="Times New Roman" w:eastAsia="Times New Roman" w:hAnsi="Times New Roman" w:cs="Times New Roman"/>
          <w:sz w:val="22"/>
          <w:szCs w:val="22"/>
        </w:rPr>
        <w:t xml:space="preserve"> Simulate a 1-standard deviation shock to the </w:t>
      </w:r>
      <w:r w:rsidRPr="00281CDE">
        <w:rPr>
          <w:rFonts w:ascii="Times New Roman" w:eastAsia="Times New Roman" w:hAnsi="Times New Roman" w:cs="Times New Roman"/>
          <w:i/>
          <w:iCs/>
          <w:sz w:val="22"/>
          <w:szCs w:val="22"/>
        </w:rPr>
        <w:t>Cross-Asset Sentiment Index</w:t>
      </w:r>
      <w:r w:rsidRPr="00281CDE">
        <w:rPr>
          <w:rFonts w:ascii="Times New Roman" w:eastAsia="Times New Roman" w:hAnsi="Times New Roman" w:cs="Times New Roman"/>
          <w:sz w:val="22"/>
          <w:szCs w:val="22"/>
        </w:rPr>
        <w:t>. Plot the response of the VIX over the next 10 days.</w:t>
      </w:r>
    </w:p>
    <w:p w14:paraId="31CF0F10"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Target Result:</w:t>
      </w:r>
      <w:r w:rsidRPr="00281CDE">
        <w:rPr>
          <w:rFonts w:ascii="Times New Roman" w:eastAsia="Times New Roman" w:hAnsi="Times New Roman" w:cs="Times New Roman"/>
          <w:sz w:val="22"/>
          <w:szCs w:val="22"/>
        </w:rPr>
        <w:t xml:space="preserve"> The VIX should show a delayed significant reaction (e.g., rising after 2 days), indicating the directional flow of information from Sentiment </w:t>
      </w:r>
      <m:oMath>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 xml:space="preserve"> Volatility.</w:t>
      </w:r>
    </w:p>
    <w:p w14:paraId="6F81AB3B"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Citation:</w:t>
      </w:r>
      <w:r w:rsidRPr="00281CDE">
        <w:rPr>
          <w:rFonts w:ascii="Times New Roman" w:eastAsia="Times New Roman" w:hAnsi="Times New Roman" w:cs="Times New Roman"/>
          <w:sz w:val="22"/>
          <w:szCs w:val="22"/>
        </w:rPr>
        <w:t xml:space="preserve"> Caferra (2022) and Trushkovskyi (2025) use this to demonstrate causal directionality rather than merely correlation.</w:t>
      </w:r>
    </w:p>
    <w:p w14:paraId="5C92EF24"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76" w:name="X6fa71f383c079fe994f95d8b6b382527c8172eb"/>
      <w:bookmarkEnd w:id="73"/>
      <w:bookmarkEnd w:id="75"/>
      <w:r w:rsidRPr="00281CDE">
        <w:rPr>
          <w:rFonts w:ascii="Times New Roman" w:eastAsia="Times New Roman" w:hAnsi="Times New Roman" w:cs="Times New Roman"/>
          <w:i/>
          <w:iCs/>
          <w:smallCaps/>
          <w:spacing w:val="5"/>
          <w:sz w:val="26"/>
          <w:szCs w:val="26"/>
        </w:rPr>
        <w:t>5.5 Regime Detection vs. VIX (Visual Benchmarking)</w:t>
      </w:r>
    </w:p>
    <w:p w14:paraId="0BED29E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section presents a visual comparison of our model against the industry standard.</w:t>
      </w:r>
    </w:p>
    <w:p w14:paraId="246D0CA9"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77" w:name="the-early-warning-time-series-plot"/>
      <w:r w:rsidRPr="00281CDE">
        <w:rPr>
          <w:rFonts w:ascii="Times New Roman" w:eastAsia="Times New Roman" w:hAnsi="Times New Roman" w:cs="Times New Roman"/>
          <w:b/>
          <w:bCs/>
          <w:spacing w:val="5"/>
        </w:rPr>
        <w:t>5.5.1 The “Early Warning” Time-Series Plot</w:t>
      </w:r>
    </w:p>
    <w:p w14:paraId="068B7A67"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Visualization:</w:t>
      </w:r>
      <w:r w:rsidRPr="00281CDE">
        <w:rPr>
          <w:rFonts w:ascii="Times New Roman" w:eastAsia="Times New Roman" w:hAnsi="Times New Roman" w:cs="Times New Roman"/>
          <w:sz w:val="22"/>
          <w:szCs w:val="22"/>
        </w:rPr>
        <w:t xml:space="preserve"> A dual-axis time-series chart covering a crisis period (e.g., COVID-19 Crash, Feb 2020).</w:t>
      </w:r>
    </w:p>
    <w:p w14:paraId="2FE36E14"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Primary Y-Axis (Line):</w:t>
      </w:r>
      <w:r w:rsidRPr="00281CDE">
        <w:rPr>
          <w:rFonts w:ascii="Times New Roman" w:eastAsia="Times New Roman" w:hAnsi="Times New Roman" w:cs="Times New Roman"/>
          <w:sz w:val="22"/>
          <w:szCs w:val="22"/>
        </w:rPr>
        <w:t xml:space="preserve"> The VIX Index.</w:t>
      </w:r>
    </w:p>
    <w:p w14:paraId="4302B2A2"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Secondary Y-Axis (Shaded Region):</w:t>
      </w:r>
      <w:r w:rsidRPr="00281CDE">
        <w:rPr>
          <w:rFonts w:ascii="Times New Roman" w:eastAsia="Times New Roman" w:hAnsi="Times New Roman" w:cs="Times New Roman"/>
          <w:sz w:val="22"/>
          <w:szCs w:val="22"/>
        </w:rPr>
        <w:t xml:space="preserve"> Our Model’s “Risk-Off” Regime Probability (</w:t>
      </w:r>
      <m:oMath>
        <m:r>
          <w:rPr>
            <w:rFonts w:ascii="Cambria Math" w:eastAsia="Times New Roman" w:hAnsi="Cambria Math" w:cs="Times New Roman"/>
            <w:sz w:val="22"/>
            <w:szCs w:val="22"/>
          </w:rPr>
          <m:t>P</m:t>
        </m:r>
        <m:r>
          <m:rPr>
            <m:sty m:val="p"/>
          </m:rPr>
          <w:rPr>
            <w:rFonts w:ascii="Cambria Math" w:eastAsia="Times New Roman" w:hAnsi="Cambria Math" w:cs="Times New Roman"/>
            <w:sz w:val="22"/>
            <w:szCs w:val="22"/>
          </w:rPr>
          <m:t>(</m:t>
        </m:r>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S</m:t>
            </m:r>
          </m:e>
          <m:sub>
            <m:r>
              <w:rPr>
                <w:rFonts w:ascii="Cambria Math" w:eastAsia="Times New Roman" w:hAnsi="Cambria Math" w:cs="Times New Roman"/>
                <w:sz w:val="22"/>
                <w:szCs w:val="22"/>
              </w:rPr>
              <m:t>t</m:t>
            </m:r>
          </m:sub>
        </m:sSub>
        <m:r>
          <m:rPr>
            <m:sty m:val="p"/>
          </m:rPr>
          <w:rPr>
            <w:rFonts w:ascii="Cambria Math" w:eastAsia="Times New Roman" w:hAnsi="Cambria Math" w:cs="Times New Roman"/>
            <w:sz w:val="22"/>
            <w:szCs w:val="22"/>
          </w:rPr>
          <m:t>=</m:t>
        </m:r>
        <m:r>
          <w:rPr>
            <w:rFonts w:ascii="Cambria Math" w:eastAsia="Times New Roman" w:hAnsi="Cambria Math" w:cs="Times New Roman"/>
            <w:sz w:val="22"/>
            <w:szCs w:val="22"/>
          </w:rPr>
          <m:t>1</m:t>
        </m:r>
        <m:r>
          <m:rPr>
            <m:sty m:val="p"/>
          </m:rPr>
          <w:rPr>
            <w:rFonts w:ascii="Cambria Math" w:eastAsia="Times New Roman" w:hAnsi="Cambria Math" w:cs="Times New Roman"/>
            <w:sz w:val="22"/>
            <w:szCs w:val="22"/>
          </w:rPr>
          <m:t>)</m:t>
        </m:r>
      </m:oMath>
      <w:r w:rsidRPr="00281CDE">
        <w:rPr>
          <w:rFonts w:ascii="Times New Roman" w:eastAsia="Times New Roman" w:hAnsi="Times New Roman" w:cs="Times New Roman"/>
          <w:sz w:val="22"/>
          <w:szCs w:val="22"/>
        </w:rPr>
        <w:t>).</w:t>
      </w:r>
    </w:p>
    <w:p w14:paraId="598BC19F"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Annotation:</w:t>
      </w:r>
      <w:r w:rsidRPr="00281CDE">
        <w:rPr>
          <w:rFonts w:ascii="Times New Roman" w:eastAsia="Times New Roman" w:hAnsi="Times New Roman" w:cs="Times New Roman"/>
          <w:sz w:val="22"/>
          <w:szCs w:val="22"/>
        </w:rPr>
        <w:t xml:space="preserve"> Mark the date our model switched to “Risk-Off” vs. the date the VIX crossed the 30 threshold. The gap is our </w:t>
      </w:r>
      <m:oMath>
        <m:sSub>
          <m:sSubPr>
            <m:ctrlPr>
              <w:rPr>
                <w:rFonts w:ascii="Cambria Math" w:eastAsia="Times New Roman" w:hAnsi="Cambria Math" w:cs="Times New Roman"/>
                <w:sz w:val="22"/>
                <w:szCs w:val="22"/>
              </w:rPr>
            </m:ctrlPr>
          </m:sSubPr>
          <m:e>
            <m:r>
              <w:rPr>
                <w:rFonts w:ascii="Cambria Math" w:eastAsia="Times New Roman" w:hAnsi="Cambria Math" w:cs="Times New Roman"/>
                <w:sz w:val="22"/>
                <w:szCs w:val="22"/>
              </w:rPr>
              <m:t>Δ</m:t>
            </m:r>
          </m:e>
          <m:sub>
            <m:r>
              <w:rPr>
                <w:rFonts w:ascii="Cambria Math" w:eastAsia="Times New Roman" w:hAnsi="Cambria Math" w:cs="Times New Roman"/>
                <w:sz w:val="22"/>
                <w:szCs w:val="22"/>
              </w:rPr>
              <m:t>lead</m:t>
            </m:r>
          </m:sub>
        </m:sSub>
      </m:oMath>
      <w:r w:rsidRPr="00281CDE">
        <w:rPr>
          <w:rFonts w:ascii="Times New Roman" w:eastAsia="Times New Roman" w:hAnsi="Times New Roman" w:cs="Times New Roman"/>
          <w:sz w:val="22"/>
          <w:szCs w:val="22"/>
        </w:rPr>
        <w:t>.</w:t>
      </w:r>
    </w:p>
    <w:p w14:paraId="618FE99F"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Source Inspiration:</w:t>
      </w:r>
      <w:r w:rsidRPr="00281CDE">
        <w:rPr>
          <w:rFonts w:ascii="Times New Roman" w:eastAsia="Times New Roman" w:hAnsi="Times New Roman" w:cs="Times New Roman"/>
          <w:sz w:val="22"/>
          <w:szCs w:val="22"/>
        </w:rPr>
        <w:t xml:space="preserve"> Shu et al. (2024) use shaded vertical bars to depict regimes inferred by Statistical Jump Models overlaid on asset returns to demonstrate how JMs avoid the “whipsaw” false signals common in HMMs.</w:t>
      </w:r>
    </w:p>
    <w:p w14:paraId="69025213"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78" w:name="comparative-confusion-matrix-heatmap"/>
      <w:bookmarkEnd w:id="77"/>
      <w:r w:rsidRPr="00281CDE">
        <w:rPr>
          <w:rFonts w:ascii="Times New Roman" w:eastAsia="Times New Roman" w:hAnsi="Times New Roman" w:cs="Times New Roman"/>
          <w:b/>
          <w:bCs/>
          <w:spacing w:val="5"/>
        </w:rPr>
        <w:t>5.5.2 Comparative Confusion Matrix (Heatmap)</w:t>
      </w:r>
    </w:p>
    <w:p w14:paraId="19139086"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Visualization:</w:t>
      </w:r>
      <w:r w:rsidRPr="00281CDE">
        <w:rPr>
          <w:rFonts w:ascii="Times New Roman" w:eastAsia="Times New Roman" w:hAnsi="Times New Roman" w:cs="Times New Roman"/>
          <w:sz w:val="22"/>
          <w:szCs w:val="22"/>
        </w:rPr>
        <w:t xml:space="preserve"> Side-by-side Confusion Matrices.</w:t>
      </w:r>
    </w:p>
    <w:p w14:paraId="1E9C348E"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Left Matrix:</w:t>
      </w:r>
      <w:r w:rsidRPr="00281CDE">
        <w:rPr>
          <w:rFonts w:ascii="Times New Roman" w:eastAsia="Times New Roman" w:hAnsi="Times New Roman" w:cs="Times New Roman"/>
          <w:sz w:val="22"/>
          <w:szCs w:val="22"/>
        </w:rPr>
        <w:t xml:space="preserve"> FinBERT + HMM (Baseline).</w:t>
      </w:r>
    </w:p>
    <w:p w14:paraId="6998F730"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Right Matrix:</w:t>
      </w:r>
      <w:r w:rsidRPr="00281CDE">
        <w:rPr>
          <w:rFonts w:ascii="Times New Roman" w:eastAsia="Times New Roman" w:hAnsi="Times New Roman" w:cs="Times New Roman"/>
          <w:sz w:val="22"/>
          <w:szCs w:val="22"/>
        </w:rPr>
        <w:t xml:space="preserve"> Our Model (FinLlama + GARCH-MIDAS + Jump Model).</w:t>
      </w:r>
    </w:p>
    <w:p w14:paraId="2C4FD0D8"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Focus:</w:t>
      </w:r>
      <w:r w:rsidRPr="00281CDE">
        <w:rPr>
          <w:rFonts w:ascii="Times New Roman" w:eastAsia="Times New Roman" w:hAnsi="Times New Roman" w:cs="Times New Roman"/>
          <w:sz w:val="22"/>
          <w:szCs w:val="22"/>
        </w:rPr>
        <w:t xml:space="preserve"> Highlight the </w:t>
      </w:r>
      <w:r w:rsidRPr="00281CDE">
        <w:rPr>
          <w:rFonts w:ascii="Times New Roman" w:eastAsia="Times New Roman" w:hAnsi="Times New Roman" w:cs="Times New Roman"/>
          <w:b/>
          <w:bCs/>
          <w:sz w:val="22"/>
          <w:szCs w:val="22"/>
        </w:rPr>
        <w:t>Recall</w:t>
      </w:r>
      <w:r w:rsidRPr="00281CDE">
        <w:rPr>
          <w:rFonts w:ascii="Times New Roman" w:eastAsia="Times New Roman" w:hAnsi="Times New Roman" w:cs="Times New Roman"/>
          <w:sz w:val="22"/>
          <w:szCs w:val="22"/>
        </w:rPr>
        <w:t xml:space="preserve"> on the “Transition” class. This shows that our model captures the </w:t>
      </w:r>
      <w:r w:rsidRPr="00281CDE">
        <w:rPr>
          <w:rFonts w:ascii="Times New Roman" w:eastAsia="Times New Roman" w:hAnsi="Times New Roman" w:cs="Times New Roman"/>
          <w:i/>
          <w:iCs/>
          <w:sz w:val="22"/>
          <w:szCs w:val="22"/>
        </w:rPr>
        <w:t>start</w:t>
      </w:r>
      <w:r w:rsidRPr="00281CDE">
        <w:rPr>
          <w:rFonts w:ascii="Times New Roman" w:eastAsia="Times New Roman" w:hAnsi="Times New Roman" w:cs="Times New Roman"/>
          <w:sz w:val="22"/>
          <w:szCs w:val="22"/>
        </w:rPr>
        <w:t xml:space="preserve"> of the shift, whereas HMMs typically capture only the </w:t>
      </w:r>
      <w:r w:rsidRPr="00281CDE">
        <w:rPr>
          <w:rFonts w:ascii="Times New Roman" w:eastAsia="Times New Roman" w:hAnsi="Times New Roman" w:cs="Times New Roman"/>
          <w:i/>
          <w:iCs/>
          <w:sz w:val="22"/>
          <w:szCs w:val="22"/>
        </w:rPr>
        <w:t>middle</w:t>
      </w:r>
      <w:r w:rsidRPr="00281CDE">
        <w:rPr>
          <w:rFonts w:ascii="Times New Roman" w:eastAsia="Times New Roman" w:hAnsi="Times New Roman" w:cs="Times New Roman"/>
          <w:sz w:val="22"/>
          <w:szCs w:val="22"/>
        </w:rPr>
        <w:t xml:space="preserve"> or </w:t>
      </w:r>
      <w:r w:rsidRPr="00281CDE">
        <w:rPr>
          <w:rFonts w:ascii="Times New Roman" w:eastAsia="Times New Roman" w:hAnsi="Times New Roman" w:cs="Times New Roman"/>
          <w:i/>
          <w:iCs/>
          <w:sz w:val="22"/>
          <w:szCs w:val="22"/>
        </w:rPr>
        <w:t>end</w:t>
      </w:r>
      <w:r w:rsidRPr="00281CDE">
        <w:rPr>
          <w:rFonts w:ascii="Times New Roman" w:eastAsia="Times New Roman" w:hAnsi="Times New Roman" w:cs="Times New Roman"/>
          <w:sz w:val="22"/>
          <w:szCs w:val="22"/>
        </w:rPr>
        <w:t xml:space="preserve"> (persistence vs. noise).</w:t>
      </w:r>
    </w:p>
    <w:p w14:paraId="0D0BB13C"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Source Inspiration:</w:t>
      </w:r>
      <w:r w:rsidRPr="00281CDE">
        <w:rPr>
          <w:rFonts w:ascii="Times New Roman" w:eastAsia="Times New Roman" w:hAnsi="Times New Roman" w:cs="Times New Roman"/>
          <w:sz w:val="22"/>
          <w:szCs w:val="22"/>
        </w:rPr>
        <w:t xml:space="preserve"> Dakalbab et al. (2025) use comparative heatmaps to show how attention mechanisms improve directional accuracy compared with single-model approaches.</w:t>
      </w:r>
    </w:p>
    <w:p w14:paraId="149AF835"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79" w:name="X87b73014cc9fb875746ae218b25b6a016941b39"/>
      <w:bookmarkEnd w:id="76"/>
      <w:bookmarkEnd w:id="78"/>
      <w:r w:rsidRPr="00281CDE">
        <w:rPr>
          <w:rFonts w:ascii="Times New Roman" w:eastAsia="Times New Roman" w:hAnsi="Times New Roman" w:cs="Times New Roman"/>
          <w:i/>
          <w:iCs/>
          <w:smallCaps/>
          <w:spacing w:val="5"/>
          <w:sz w:val="26"/>
          <w:szCs w:val="26"/>
        </w:rPr>
        <w:t>5.6 Cross-Asset Divergence &amp; Network Structure (Validating H2 &amp; H3)</w:t>
      </w:r>
    </w:p>
    <w:p w14:paraId="1830BF9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This section validates the specific mechanisms (Connectedness and Divergence) driving the detection.</w:t>
      </w:r>
    </w:p>
    <w:p w14:paraId="21325EB1"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80" w:name="the-entropy-radar-network-connectedness"/>
      <w:r w:rsidRPr="00281CDE">
        <w:rPr>
          <w:rFonts w:ascii="Times New Roman" w:eastAsia="Times New Roman" w:hAnsi="Times New Roman" w:cs="Times New Roman"/>
          <w:b/>
          <w:bCs/>
          <w:spacing w:val="5"/>
        </w:rPr>
        <w:t>5.6.1 The “Entropy Radar” (Network Connectedness)</w:t>
      </w:r>
    </w:p>
    <w:p w14:paraId="2467828C"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Visualization:</w:t>
      </w:r>
      <w:r w:rsidRPr="00281CDE">
        <w:rPr>
          <w:rFonts w:ascii="Times New Roman" w:eastAsia="Times New Roman" w:hAnsi="Times New Roman" w:cs="Times New Roman"/>
          <w:sz w:val="22"/>
          <w:szCs w:val="22"/>
        </w:rPr>
        <w:t xml:space="preserve"> A Radar Chart or Network Graph.</w:t>
      </w:r>
    </w:p>
    <w:p w14:paraId="3207EAF5"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Scenario:</w:t>
      </w:r>
      <w:r w:rsidRPr="00281CDE">
        <w:rPr>
          <w:rFonts w:ascii="Times New Roman" w:eastAsia="Times New Roman" w:hAnsi="Times New Roman" w:cs="Times New Roman"/>
          <w:sz w:val="22"/>
          <w:szCs w:val="22"/>
        </w:rPr>
        <w:t xml:space="preserve"> Compare a “Normal” day vs. a “Pre-Crash” day.</w:t>
      </w:r>
    </w:p>
    <w:p w14:paraId="74CD9862"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w:t>
      </w:r>
      <w:r w:rsidRPr="00281CDE">
        <w:rPr>
          <w:rFonts w:ascii="Times New Roman" w:eastAsia="Times New Roman" w:hAnsi="Times New Roman" w:cs="Times New Roman"/>
          <w:sz w:val="22"/>
          <w:szCs w:val="22"/>
        </w:rPr>
        <w:t xml:space="preserve"> The </w:t>
      </w:r>
      <w:r w:rsidRPr="00281CDE">
        <w:rPr>
          <w:rFonts w:ascii="Times New Roman" w:eastAsia="Times New Roman" w:hAnsi="Times New Roman" w:cs="Times New Roman"/>
          <w:b/>
          <w:bCs/>
          <w:sz w:val="22"/>
          <w:szCs w:val="22"/>
        </w:rPr>
        <w:t>Entropy Weights</w:t>
      </w:r>
      <w:r w:rsidRPr="00281CDE">
        <w:rPr>
          <w:rFonts w:ascii="Times New Roman" w:eastAsia="Times New Roman" w:hAnsi="Times New Roman" w:cs="Times New Roman"/>
          <w:sz w:val="22"/>
          <w:szCs w:val="22"/>
        </w:rPr>
        <w:t xml:space="preserve"> (</w:t>
      </w:r>
      <m:oMath>
        <m:r>
          <w:rPr>
            <w:rFonts w:ascii="Cambria Math" w:eastAsia="Times New Roman" w:hAnsi="Cambria Math" w:cs="Times New Roman"/>
            <w:sz w:val="22"/>
            <w:szCs w:val="22"/>
          </w:rPr>
          <m:t>AssetSentix</m:t>
        </m:r>
      </m:oMath>
      <w:r w:rsidRPr="00281CDE">
        <w:rPr>
          <w:rFonts w:ascii="Times New Roman" w:eastAsia="Times New Roman" w:hAnsi="Times New Roman" w:cs="Times New Roman"/>
          <w:sz w:val="22"/>
          <w:szCs w:val="22"/>
        </w:rPr>
        <w:t>) calculated in Methodology 3.6.2.</w:t>
      </w:r>
    </w:p>
    <w:p w14:paraId="0E5BF093"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Target Result:</w:t>
      </w:r>
      <w:r w:rsidRPr="00281CDE">
        <w:rPr>
          <w:rFonts w:ascii="Times New Roman" w:eastAsia="Times New Roman" w:hAnsi="Times New Roman" w:cs="Times New Roman"/>
          <w:sz w:val="22"/>
          <w:szCs w:val="22"/>
        </w:rPr>
        <w:t xml:space="preserve"> Show that during the “Pre-Crash” phase, the </w:t>
      </w:r>
      <w:r w:rsidRPr="00281CDE">
        <w:rPr>
          <w:rFonts w:ascii="Times New Roman" w:eastAsia="Times New Roman" w:hAnsi="Times New Roman" w:cs="Times New Roman"/>
          <w:i/>
          <w:iCs/>
          <w:sz w:val="22"/>
          <w:szCs w:val="22"/>
        </w:rPr>
        <w:t>Connectedness</w:t>
      </w:r>
      <w:r w:rsidRPr="00281CDE">
        <w:rPr>
          <w:rFonts w:ascii="Times New Roman" w:eastAsia="Times New Roman" w:hAnsi="Times New Roman" w:cs="Times New Roman"/>
          <w:sz w:val="22"/>
          <w:szCs w:val="22"/>
        </w:rPr>
        <w:t xml:space="preserve"> (graph density) spikes significantly, or that specific nodes (e.g., Crypto) act as the central transmitter of negative sentiment.</w:t>
      </w:r>
    </w:p>
    <w:p w14:paraId="7828EC60"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Citation:</w:t>
      </w:r>
      <w:r w:rsidRPr="00281CDE">
        <w:rPr>
          <w:rFonts w:ascii="Times New Roman" w:eastAsia="Times New Roman" w:hAnsi="Times New Roman" w:cs="Times New Roman"/>
          <w:sz w:val="22"/>
          <w:szCs w:val="22"/>
        </w:rPr>
        <w:t xml:space="preserve"> Cao et al. (2025) visualize sentiment spillover networks to demonstrate how high connectedness precedes crash risk.</w:t>
      </w:r>
    </w:p>
    <w:p w14:paraId="550108D3" w14:textId="77777777" w:rsidR="00281CDE" w:rsidRPr="00281CDE" w:rsidRDefault="00281CDE" w:rsidP="00281CDE">
      <w:pPr>
        <w:spacing w:after="0" w:line="271" w:lineRule="auto"/>
        <w:outlineLvl w:val="3"/>
        <w:rPr>
          <w:rFonts w:ascii="Times New Roman" w:eastAsia="Times New Roman" w:hAnsi="Times New Roman" w:cs="Times New Roman"/>
          <w:b/>
          <w:bCs/>
          <w:spacing w:val="5"/>
        </w:rPr>
      </w:pPr>
      <w:bookmarkStart w:id="81" w:name="the-divergence-signal-chart"/>
      <w:bookmarkEnd w:id="80"/>
      <w:r w:rsidRPr="00281CDE">
        <w:rPr>
          <w:rFonts w:ascii="Times New Roman" w:eastAsia="Times New Roman" w:hAnsi="Times New Roman" w:cs="Times New Roman"/>
          <w:b/>
          <w:bCs/>
          <w:spacing w:val="5"/>
        </w:rPr>
        <w:t>5.6.2 The Divergence Signal Chart</w:t>
      </w:r>
    </w:p>
    <w:p w14:paraId="23BC5A5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Visualization:</w:t>
      </w:r>
      <w:r w:rsidRPr="00281CDE">
        <w:rPr>
          <w:rFonts w:ascii="Times New Roman" w:eastAsia="Times New Roman" w:hAnsi="Times New Roman" w:cs="Times New Roman"/>
          <w:sz w:val="22"/>
          <w:szCs w:val="22"/>
        </w:rPr>
        <w:t xml:space="preserve"> A Rolling </w:t>
      </w:r>
      <w:r w:rsidRPr="00281CDE">
        <w:rPr>
          <w:rFonts w:ascii="Times New Roman" w:eastAsia="Times New Roman" w:hAnsi="Times New Roman" w:cs="Times New Roman"/>
          <w:b/>
          <w:bCs/>
          <w:sz w:val="22"/>
          <w:szCs w:val="22"/>
        </w:rPr>
        <w:t>Transfer Entropy (RTE)</w:t>
      </w:r>
      <w:r w:rsidRPr="00281CDE">
        <w:rPr>
          <w:rFonts w:ascii="Times New Roman" w:eastAsia="Times New Roman" w:hAnsi="Times New Roman" w:cs="Times New Roman"/>
          <w:sz w:val="22"/>
          <w:szCs w:val="22"/>
        </w:rPr>
        <w:t xml:space="preserve"> Plot.</w:t>
      </w:r>
    </w:p>
    <w:p w14:paraId="0BE2DE0E"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Description:</w:t>
      </w:r>
      <w:r w:rsidRPr="00281CDE">
        <w:rPr>
          <w:rFonts w:ascii="Times New Roman" w:eastAsia="Times New Roman" w:hAnsi="Times New Roman" w:cs="Times New Roman"/>
          <w:sz w:val="22"/>
          <w:szCs w:val="22"/>
        </w:rPr>
        <w:t xml:space="preserve"> Plot the </w:t>
      </w:r>
      <m:oMath>
        <m:r>
          <w:rPr>
            <w:rFonts w:ascii="Cambria Math" w:eastAsia="Times New Roman" w:hAnsi="Cambria Math" w:cs="Times New Roman"/>
            <w:sz w:val="22"/>
            <w:szCs w:val="22"/>
          </w:rPr>
          <m:t>NIF</m:t>
        </m:r>
      </m:oMath>
      <w:r w:rsidRPr="00281CDE">
        <w:rPr>
          <w:rFonts w:ascii="Times New Roman" w:eastAsia="Times New Roman" w:hAnsi="Times New Roman" w:cs="Times New Roman"/>
          <w:sz w:val="22"/>
          <w:szCs w:val="22"/>
        </w:rPr>
        <w:t xml:space="preserve"> (Net Information Flow) between Equities and Crypto.</w:t>
      </w:r>
    </w:p>
    <w:p w14:paraId="196D6AC6"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Target Result:</w:t>
      </w:r>
      <w:r w:rsidRPr="00281CDE">
        <w:rPr>
          <w:rFonts w:ascii="Times New Roman" w:eastAsia="Times New Roman" w:hAnsi="Times New Roman" w:cs="Times New Roman"/>
          <w:sz w:val="22"/>
          <w:szCs w:val="22"/>
        </w:rPr>
        <w:t xml:space="preserve"> Show that when the flow </w:t>
      </w:r>
      <w:r w:rsidRPr="00281CDE">
        <w:rPr>
          <w:rFonts w:ascii="Times New Roman" w:eastAsia="Times New Roman" w:hAnsi="Times New Roman" w:cs="Times New Roman"/>
          <w:i/>
          <w:iCs/>
          <w:sz w:val="22"/>
          <w:szCs w:val="22"/>
        </w:rPr>
        <w:t>decouples</w:t>
      </w:r>
      <w:r w:rsidRPr="00281CDE">
        <w:rPr>
          <w:rFonts w:ascii="Times New Roman" w:eastAsia="Times New Roman" w:hAnsi="Times New Roman" w:cs="Times New Roman"/>
          <w:sz w:val="22"/>
          <w:szCs w:val="22"/>
        </w:rPr>
        <w:t xml:space="preserve"> (drops to near zero), or </w:t>
      </w:r>
      <w:r w:rsidRPr="00281CDE">
        <w:rPr>
          <w:rFonts w:ascii="Times New Roman" w:eastAsia="Times New Roman" w:hAnsi="Times New Roman" w:cs="Times New Roman"/>
          <w:i/>
          <w:iCs/>
          <w:sz w:val="22"/>
          <w:szCs w:val="22"/>
        </w:rPr>
        <w:t>inverts</w:t>
      </w:r>
      <w:r w:rsidRPr="00281CDE">
        <w:rPr>
          <w:rFonts w:ascii="Times New Roman" w:eastAsia="Times New Roman" w:hAnsi="Times New Roman" w:cs="Times New Roman"/>
          <w:sz w:val="22"/>
          <w:szCs w:val="22"/>
        </w:rPr>
        <w:t xml:space="preserve"> (negative sentiment flowing against price correlation), a regime switch follows shortly.</w:t>
      </w:r>
    </w:p>
    <w:p w14:paraId="15A5DD70" w14:textId="77777777" w:rsidR="00281CDE" w:rsidRPr="00281CDE" w:rsidRDefault="00281CDE" w:rsidP="00281CDE">
      <w:pPr>
        <w:numPr>
          <w:ilvl w:val="1"/>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Citation:</w:t>
      </w:r>
      <w:r w:rsidRPr="00281CDE">
        <w:rPr>
          <w:rFonts w:ascii="Times New Roman" w:eastAsia="Times New Roman" w:hAnsi="Times New Roman" w:cs="Times New Roman"/>
          <w:sz w:val="22"/>
          <w:szCs w:val="22"/>
        </w:rPr>
        <w:t xml:space="preserve"> Shi (2025) uses similar visualizations to explain the decoupling of Gold and the Dollar during sentiment-driven crises.</w:t>
      </w:r>
    </w:p>
    <w:p w14:paraId="172CCB4F"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bookmarkStart w:id="82" w:name="discussion"/>
      <w:bookmarkEnd w:id="69"/>
      <w:bookmarkEnd w:id="79"/>
      <w:bookmarkEnd w:id="81"/>
      <w:r w:rsidRPr="00281CDE">
        <w:rPr>
          <w:rFonts w:ascii="Times New Roman" w:eastAsia="Times New Roman" w:hAnsi="Times New Roman" w:cs="Times New Roman"/>
          <w:smallCaps/>
          <w:sz w:val="28"/>
          <w:szCs w:val="28"/>
        </w:rPr>
        <w:t>6. Discussion</w:t>
      </w:r>
    </w:p>
    <w:p w14:paraId="2C806354"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83" w:name="expected-interpretations"/>
      <w:r w:rsidRPr="00281CDE">
        <w:rPr>
          <w:rFonts w:ascii="Times New Roman" w:eastAsia="Times New Roman" w:hAnsi="Times New Roman" w:cs="Times New Roman"/>
          <w:i/>
          <w:iCs/>
          <w:smallCaps/>
          <w:spacing w:val="5"/>
          <w:sz w:val="26"/>
          <w:szCs w:val="26"/>
        </w:rPr>
        <w:t>6.1 Expected Interpretations</w:t>
      </w:r>
    </w:p>
    <w:p w14:paraId="546F47E2"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research will establish whether cross-asset sentiment aggregation serves as a leading indicator for market regime transitions. If validated, results will demonstrate that collective market psychology (as expressed in text data) shifts before observable price-based regime changes, supporting the behavioral finance perspective that sentiment drives prices rather than merely reflecting them.</w:t>
      </w:r>
    </w:p>
    <w:p w14:paraId="4C25960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The sentiment divergence hypothesis—that cross-asset sentiment disconnection signals regime instability—builds on Caferra’s (2022) finding that sentiment mediates cross-market relationships. Validation suggests that portfolio-level risk management should monitor not only </w:t>
      </w:r>
      <w:r w:rsidRPr="00281CDE">
        <w:rPr>
          <w:rFonts w:ascii="Times New Roman" w:eastAsia="Times New Roman" w:hAnsi="Times New Roman" w:cs="Times New Roman"/>
          <w:sz w:val="22"/>
          <w:szCs w:val="22"/>
        </w:rPr>
        <w:lastRenderedPageBreak/>
        <w:t>individual asset sentiment but also the coherence of sentiment across asset classes.</w:t>
      </w:r>
    </w:p>
    <w:p w14:paraId="58FA283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84" w:name="practical-implications"/>
      <w:bookmarkEnd w:id="83"/>
      <w:r w:rsidRPr="00281CDE">
        <w:rPr>
          <w:rFonts w:ascii="Times New Roman" w:eastAsia="Times New Roman" w:hAnsi="Times New Roman" w:cs="Times New Roman"/>
          <w:i/>
          <w:iCs/>
          <w:smallCaps/>
          <w:spacing w:val="5"/>
          <w:sz w:val="26"/>
          <w:szCs w:val="26"/>
        </w:rPr>
        <w:t>6.2 Practical Implications</w:t>
      </w:r>
    </w:p>
    <w:p w14:paraId="0FE6C338"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For Portfolio Managers</w:t>
      </w:r>
      <w:r w:rsidRPr="00281CDE">
        <w:rPr>
          <w:rFonts w:ascii="Times New Roman" w:eastAsia="Times New Roman" w:hAnsi="Times New Roman" w:cs="Times New Roman"/>
          <w:sz w:val="22"/>
          <w:szCs w:val="22"/>
        </w:rPr>
        <w:t>:</w:t>
      </w:r>
    </w:p>
    <w:p w14:paraId="22DBF604"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Early warning system for regime shifts enables proactive rebalancing before volatility spikes</w:t>
      </w:r>
    </w:p>
    <w:p w14:paraId="6B79B38B"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 divergence alerts identify periods of elevated transition risk</w:t>
      </w:r>
    </w:p>
    <w:p w14:paraId="36E9CF43"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Cross-asset sentiment indices complement traditional technical indicators</w:t>
      </w:r>
    </w:p>
    <w:p w14:paraId="42C1093E"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For Risk Managers</w:t>
      </w:r>
      <w:r w:rsidRPr="00281CDE">
        <w:rPr>
          <w:rFonts w:ascii="Times New Roman" w:eastAsia="Times New Roman" w:hAnsi="Times New Roman" w:cs="Times New Roman"/>
          <w:sz w:val="22"/>
          <w:szCs w:val="22"/>
        </w:rPr>
        <w:t>:</w:t>
      </w:r>
    </w:p>
    <w:p w14:paraId="028C6971"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Leading indicator provides a 1-5 day advance notice for risk mitigation actions</w:t>
      </w:r>
    </w:p>
    <w:p w14:paraId="5FB5C653"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Sentiment connectedness metrics (following Cao et al. 2025) identify systemic risk propagation</w:t>
      </w:r>
    </w:p>
    <w:p w14:paraId="5B8659C9"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Real-time dashboard enables continuous monitoring vs. periodic review</w:t>
      </w:r>
    </w:p>
    <w:p w14:paraId="4C2F599F"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For Retail Investors</w:t>
      </w:r>
      <w:r w:rsidRPr="00281CDE">
        <w:rPr>
          <w:rFonts w:ascii="Times New Roman" w:eastAsia="Times New Roman" w:hAnsi="Times New Roman" w:cs="Times New Roman"/>
          <w:sz w:val="22"/>
          <w:szCs w:val="22"/>
        </w:rPr>
        <w:t>:</w:t>
      </w:r>
    </w:p>
    <w:p w14:paraId="4F8E0E4A"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Democratizes institutional-grade sentiment analysis (previously $20K+/year tools)</w:t>
      </w:r>
    </w:p>
    <w:p w14:paraId="17C70B7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Intuitive visualization makes complex sentiment data accessible</w:t>
      </w:r>
    </w:p>
    <w:p w14:paraId="4A0ED0BB"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Educational resource for understanding market psychology dynamics</w:t>
      </w:r>
    </w:p>
    <w:p w14:paraId="356A783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85" w:name="limitations-and-constraints"/>
      <w:bookmarkEnd w:id="84"/>
      <w:r w:rsidRPr="00281CDE">
        <w:rPr>
          <w:rFonts w:ascii="Times New Roman" w:eastAsia="Times New Roman" w:hAnsi="Times New Roman" w:cs="Times New Roman"/>
          <w:i/>
          <w:iCs/>
          <w:smallCaps/>
          <w:spacing w:val="5"/>
          <w:sz w:val="26"/>
          <w:szCs w:val="26"/>
        </w:rPr>
        <w:t>6.3 Limitations and Constraints</w:t>
      </w:r>
    </w:p>
    <w:p w14:paraId="5093A1FD"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section directly addresses the computational and data challenges, specifically citing the Jump Model constraints.</w:t>
      </w:r>
    </w:p>
    <w:p w14:paraId="4ABA3AFB" w14:textId="77777777" w:rsidR="00281CDE" w:rsidRPr="00281CDE" w:rsidRDefault="00281CDE" w:rsidP="00281CDE">
      <w:pPr>
        <w:numPr>
          <w:ilvl w:val="0"/>
          <w:numId w:val="5"/>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Computational Intensity of Parameter Tuning:</w:t>
      </w:r>
      <w:r w:rsidRPr="00281CDE">
        <w:rPr>
          <w:rFonts w:ascii="Times New Roman" w:eastAsia="Times New Roman" w:hAnsi="Times New Roman" w:cs="Times New Roman"/>
          <w:sz w:val="22"/>
          <w:szCs w:val="22"/>
        </w:rPr>
        <w:t xml:space="preserve"> While the Statistical Jump Model (JM) offers superior regime persistence compared to HMMs, Shu et al. (2024) note that selecting the optimal </w:t>
      </w:r>
      <w:r w:rsidRPr="00281CDE">
        <w:rPr>
          <w:rFonts w:ascii="Times New Roman" w:eastAsia="Times New Roman" w:hAnsi="Times New Roman" w:cs="Times New Roman"/>
          <w:b/>
          <w:bCs/>
          <w:sz w:val="22"/>
          <w:szCs w:val="22"/>
        </w:rPr>
        <w:t>jump penalty (</w:t>
      </w:r>
      <m:oMath>
        <m:r>
          <w:rPr>
            <w:rFonts w:ascii="Cambria Math" w:eastAsia="Times New Roman" w:hAnsi="Cambria Math" w:cs="Times New Roman"/>
            <w:sz w:val="22"/>
            <w:szCs w:val="22"/>
          </w:rPr>
          <m:t>λ</m:t>
        </m:r>
      </m:oMath>
      <w:r w:rsidRPr="00281CDE">
        <w:rPr>
          <w:rFonts w:ascii="Times New Roman" w:eastAsia="Times New Roman" w:hAnsi="Times New Roman" w:cs="Times New Roman"/>
          <w:b/>
          <w:bCs/>
          <w:sz w:val="22"/>
          <w:szCs w:val="22"/>
        </w:rPr>
        <w:t>)</w:t>
      </w:r>
      <w:r w:rsidRPr="00281CDE">
        <w:rPr>
          <w:rFonts w:ascii="Times New Roman" w:eastAsia="Times New Roman" w:hAnsi="Times New Roman" w:cs="Times New Roman"/>
          <w:sz w:val="22"/>
          <w:szCs w:val="22"/>
        </w:rPr>
        <w:t xml:space="preserve"> requires a rigorous </w:t>
      </w:r>
      <w:r w:rsidRPr="00281CDE">
        <w:rPr>
          <w:rFonts w:ascii="Times New Roman" w:eastAsia="Times New Roman" w:hAnsi="Times New Roman" w:cs="Times New Roman"/>
          <w:b/>
          <w:bCs/>
          <w:sz w:val="22"/>
          <w:szCs w:val="22"/>
        </w:rPr>
        <w:t>time-series cross-validation</w:t>
      </w:r>
      <w:r w:rsidRPr="00281CDE">
        <w:rPr>
          <w:rFonts w:ascii="Times New Roman" w:eastAsia="Times New Roman" w:hAnsi="Times New Roman" w:cs="Times New Roman"/>
          <w:sz w:val="22"/>
          <w:szCs w:val="22"/>
        </w:rPr>
        <w:t xml:space="preserve"> approach. Unlike simple parameters, </w:t>
      </w:r>
      <m:oMath>
        <m:r>
          <w:rPr>
            <w:rFonts w:ascii="Cambria Math" w:eastAsia="Times New Roman" w:hAnsi="Cambria Math" w:cs="Times New Roman"/>
            <w:sz w:val="22"/>
            <w:szCs w:val="22"/>
          </w:rPr>
          <m:t>λ</m:t>
        </m:r>
      </m:oMath>
      <w:r w:rsidRPr="00281CDE">
        <w:rPr>
          <w:rFonts w:ascii="Times New Roman" w:eastAsia="Times New Roman" w:hAnsi="Times New Roman" w:cs="Times New Roman"/>
          <w:sz w:val="22"/>
          <w:szCs w:val="22"/>
        </w:rPr>
        <w:t xml:space="preserve"> must be re-optimized monthly by simulating “live” trading scenarios over lookback windows to maximize the Sharpe ratio, creating significant computational overhead during the training phase.</w:t>
      </w:r>
    </w:p>
    <w:p w14:paraId="65758161" w14:textId="77777777" w:rsidR="00281CDE" w:rsidRPr="00281CDE" w:rsidRDefault="00281CDE" w:rsidP="00281CDE">
      <w:pPr>
        <w:numPr>
          <w:ilvl w:val="0"/>
          <w:numId w:val="5"/>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Inference Latency in Transformers:</w:t>
      </w:r>
      <w:r w:rsidRPr="00281CDE">
        <w:rPr>
          <w:rFonts w:ascii="Times New Roman" w:eastAsia="Times New Roman" w:hAnsi="Times New Roman" w:cs="Times New Roman"/>
          <w:sz w:val="22"/>
          <w:szCs w:val="22"/>
        </w:rPr>
        <w:t xml:space="preserve"> While FinBERT and RoBERTa provide superior semantic understanding, they </w:t>
      </w:r>
      <w:r w:rsidRPr="00281CDE">
        <w:rPr>
          <w:rFonts w:ascii="Times New Roman" w:eastAsia="Times New Roman" w:hAnsi="Times New Roman" w:cs="Times New Roman"/>
          <w:sz w:val="22"/>
          <w:szCs w:val="22"/>
        </w:rPr>
        <w:lastRenderedPageBreak/>
        <w:t xml:space="preserve">introduce latency. Shao et al. (2024) found that while VADER processes sentiment in seconds, RoBERTa-based extraction can take hours for large datasets. This creates a trade-off between the </w:t>
      </w:r>
      <w:r w:rsidRPr="00281CDE">
        <w:rPr>
          <w:rFonts w:ascii="Times New Roman" w:eastAsia="Times New Roman" w:hAnsi="Times New Roman" w:cs="Times New Roman"/>
          <w:i/>
          <w:iCs/>
          <w:sz w:val="22"/>
          <w:szCs w:val="22"/>
        </w:rPr>
        <w:t>depth</w:t>
      </w:r>
      <w:r w:rsidRPr="00281CDE">
        <w:rPr>
          <w:rFonts w:ascii="Times New Roman" w:eastAsia="Times New Roman" w:hAnsi="Times New Roman" w:cs="Times New Roman"/>
          <w:sz w:val="22"/>
          <w:szCs w:val="22"/>
        </w:rPr>
        <w:t xml:space="preserve"> of sentiment analysis and the </w:t>
      </w:r>
      <w:r w:rsidRPr="00281CDE">
        <w:rPr>
          <w:rFonts w:ascii="Times New Roman" w:eastAsia="Times New Roman" w:hAnsi="Times New Roman" w:cs="Times New Roman"/>
          <w:i/>
          <w:iCs/>
          <w:sz w:val="22"/>
          <w:szCs w:val="22"/>
        </w:rPr>
        <w:t>speed</w:t>
      </w:r>
      <w:r w:rsidRPr="00281CDE">
        <w:rPr>
          <w:rFonts w:ascii="Times New Roman" w:eastAsia="Times New Roman" w:hAnsi="Times New Roman" w:cs="Times New Roman"/>
          <w:sz w:val="22"/>
          <w:szCs w:val="22"/>
        </w:rPr>
        <w:t xml:space="preserve"> of regime detection, potentially limiting its use in high-frequency applications.</w:t>
      </w:r>
    </w:p>
    <w:p w14:paraId="67F14A0A" w14:textId="77777777" w:rsidR="00281CDE" w:rsidRPr="00281CDE" w:rsidRDefault="00281CDE" w:rsidP="00281CDE">
      <w:pPr>
        <w:numPr>
          <w:ilvl w:val="0"/>
          <w:numId w:val="5"/>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 Alignment Noise:</w:t>
      </w:r>
      <w:r w:rsidRPr="00281CDE">
        <w:rPr>
          <w:rFonts w:ascii="Times New Roman" w:eastAsia="Times New Roman" w:hAnsi="Times New Roman" w:cs="Times New Roman"/>
          <w:sz w:val="22"/>
          <w:szCs w:val="22"/>
        </w:rPr>
        <w:t xml:space="preserve"> Despite using the </w:t>
      </w:r>
      <w:r w:rsidRPr="00281CDE">
        <w:rPr>
          <w:rFonts w:ascii="Times New Roman" w:eastAsia="Times New Roman" w:hAnsi="Times New Roman" w:cs="Times New Roman"/>
          <w:b/>
          <w:bCs/>
          <w:sz w:val="22"/>
          <w:szCs w:val="22"/>
        </w:rPr>
        <w:t>RR-MIDAS</w:t>
      </w:r>
      <w:r w:rsidRPr="00281CDE">
        <w:rPr>
          <w:rFonts w:ascii="Times New Roman" w:eastAsia="Times New Roman" w:hAnsi="Times New Roman" w:cs="Times New Roman"/>
          <w:sz w:val="22"/>
          <w:szCs w:val="22"/>
        </w:rPr>
        <w:t xml:space="preserve"> framework to handle mixed frequencies, the alignment of stochastic news arrival times (irregular) with deterministic price bars (regular) inevitably introduces “alignment noise,” which may degrade signal precision during periods of low news volume.</w:t>
      </w:r>
    </w:p>
    <w:p w14:paraId="2EB25FBD" w14:textId="77777777" w:rsidR="00281CDE" w:rsidRPr="00281CDE" w:rsidRDefault="00281CDE" w:rsidP="00281CDE">
      <w:pPr>
        <w:numPr>
          <w:ilvl w:val="0"/>
          <w:numId w:val="5"/>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 quality</w:t>
      </w:r>
      <w:r w:rsidRPr="00281CDE">
        <w:rPr>
          <w:rFonts w:ascii="Times New Roman" w:eastAsia="Times New Roman" w:hAnsi="Times New Roman" w:cs="Times New Roman"/>
          <w:sz w:val="22"/>
          <w:szCs w:val="22"/>
        </w:rPr>
        <w:t>: Social media data is noisy, contains sarcasm, and includes bots (Kraaijeveld and De Smedt, 2020, documented that 1-14% of crypto tweets originate from bots).</w:t>
      </w:r>
    </w:p>
    <w:p w14:paraId="0C0FA40A" w14:textId="77777777" w:rsidR="00281CDE" w:rsidRPr="00281CDE" w:rsidRDefault="00281CDE" w:rsidP="00281CDE">
      <w:pPr>
        <w:numPr>
          <w:ilvl w:val="0"/>
          <w:numId w:val="5"/>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Survivorship bias</w:t>
      </w:r>
      <w:r w:rsidRPr="00281CDE">
        <w:rPr>
          <w:rFonts w:ascii="Times New Roman" w:eastAsia="Times New Roman" w:hAnsi="Times New Roman" w:cs="Times New Roman"/>
          <w:sz w:val="22"/>
          <w:szCs w:val="22"/>
        </w:rPr>
        <w:t>: Only analyzing publicly available text (not institutional sentiment).</w:t>
      </w:r>
    </w:p>
    <w:p w14:paraId="4F14C6F5" w14:textId="77777777" w:rsidR="00281CDE" w:rsidRPr="00281CDE" w:rsidRDefault="00281CDE" w:rsidP="00281CDE">
      <w:pPr>
        <w:numPr>
          <w:ilvl w:val="0"/>
          <w:numId w:val="5"/>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Causality vs. correlation</w:t>
      </w:r>
      <w:r w:rsidRPr="00281CDE">
        <w:rPr>
          <w:rFonts w:ascii="Times New Roman" w:eastAsia="Times New Roman" w:hAnsi="Times New Roman" w:cs="Times New Roman"/>
          <w:sz w:val="22"/>
          <w:szCs w:val="22"/>
        </w:rPr>
        <w:t>: Sentiment may reflect rather than predict regime shifts in some contexts.</w:t>
      </w:r>
    </w:p>
    <w:p w14:paraId="6B218F1A"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86" w:name="ethical-considerations"/>
      <w:bookmarkEnd w:id="85"/>
      <w:r w:rsidRPr="00281CDE">
        <w:rPr>
          <w:rFonts w:ascii="Times New Roman" w:eastAsia="Times New Roman" w:hAnsi="Times New Roman" w:cs="Times New Roman"/>
          <w:i/>
          <w:iCs/>
          <w:smallCaps/>
          <w:spacing w:val="5"/>
          <w:sz w:val="26"/>
          <w:szCs w:val="26"/>
        </w:rPr>
        <w:t>6.4 Ethical Considerations</w:t>
      </w:r>
    </w:p>
    <w:p w14:paraId="017BBA15"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Market manipulation</w:t>
      </w:r>
      <w:r w:rsidRPr="00281CDE">
        <w:rPr>
          <w:rFonts w:ascii="Times New Roman" w:eastAsia="Times New Roman" w:hAnsi="Times New Roman" w:cs="Times New Roman"/>
          <w:sz w:val="22"/>
          <w:szCs w:val="22"/>
        </w:rPr>
        <w:t>: Could the system be gamed if widely adopted?</w:t>
      </w:r>
    </w:p>
    <w:p w14:paraId="029E5ED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Retail vs. institutional</w:t>
      </w:r>
      <w:r w:rsidRPr="00281CDE">
        <w:rPr>
          <w:rFonts w:ascii="Times New Roman" w:eastAsia="Times New Roman" w:hAnsi="Times New Roman" w:cs="Times New Roman"/>
          <w:sz w:val="22"/>
          <w:szCs w:val="22"/>
        </w:rPr>
        <w:t>: Does democratizing sentiment analysis level the playing field or create new risks?</w:t>
      </w:r>
    </w:p>
    <w:p w14:paraId="10A851B2" w14:textId="77777777" w:rsidR="00281CDE" w:rsidRPr="00281CDE" w:rsidRDefault="00281CDE" w:rsidP="00281CDE">
      <w:pPr>
        <w:numPr>
          <w:ilvl w:val="0"/>
          <w:numId w:val="5"/>
        </w:numPr>
        <w:spacing w:before="36" w:after="36"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Data privacy</w:t>
      </w:r>
      <w:r w:rsidRPr="00281CDE">
        <w:rPr>
          <w:rFonts w:ascii="Times New Roman" w:eastAsia="Times New Roman" w:hAnsi="Times New Roman" w:cs="Times New Roman"/>
          <w:sz w:val="22"/>
          <w:szCs w:val="22"/>
        </w:rPr>
        <w:t>: Reddit/Twitter users may not consent to sentiment analysis</w:t>
      </w:r>
    </w:p>
    <w:p w14:paraId="2452C981" w14:textId="77777777" w:rsidR="00281CDE" w:rsidRPr="00281CDE" w:rsidRDefault="00281CDE" w:rsidP="00281CDE">
      <w:pPr>
        <w:spacing w:before="200" w:after="0" w:line="271" w:lineRule="auto"/>
        <w:outlineLvl w:val="1"/>
        <w:rPr>
          <w:rFonts w:ascii="Times New Roman" w:eastAsia="Times New Roman" w:hAnsi="Times New Roman" w:cs="Times New Roman"/>
          <w:smallCaps/>
          <w:sz w:val="28"/>
          <w:szCs w:val="28"/>
        </w:rPr>
      </w:pPr>
      <w:bookmarkStart w:id="87" w:name="conclusion-and-future-work"/>
      <w:bookmarkEnd w:id="82"/>
      <w:bookmarkEnd w:id="86"/>
      <w:r w:rsidRPr="00281CDE">
        <w:rPr>
          <w:rFonts w:ascii="Times New Roman" w:eastAsia="Times New Roman" w:hAnsi="Times New Roman" w:cs="Times New Roman"/>
          <w:smallCaps/>
          <w:sz w:val="28"/>
          <w:szCs w:val="28"/>
        </w:rPr>
        <w:t>7. Conclusion and Future Work</w:t>
      </w:r>
    </w:p>
    <w:p w14:paraId="17092F06"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88" w:name="research-contributions"/>
      <w:r w:rsidRPr="00281CDE">
        <w:rPr>
          <w:rFonts w:ascii="Times New Roman" w:eastAsia="Times New Roman" w:hAnsi="Times New Roman" w:cs="Times New Roman"/>
          <w:i/>
          <w:iCs/>
          <w:smallCaps/>
          <w:spacing w:val="5"/>
          <w:sz w:val="26"/>
          <w:szCs w:val="26"/>
        </w:rPr>
        <w:t>7.1 Research Contributions</w:t>
      </w:r>
    </w:p>
    <w:p w14:paraId="565DAA25"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This research addresses a critical gap in financial sentiment analysis by developing the first system to aggregate multi-source, cross-asset sentiment for market regime detection. The study makes significant contributions in three specific domains:</w:t>
      </w:r>
    </w:p>
    <w:p w14:paraId="62552F09" w14:textId="77777777" w:rsidR="00281CDE" w:rsidRPr="00281CDE" w:rsidRDefault="00281CDE" w:rsidP="00281CDE">
      <w:pPr>
        <w:numPr>
          <w:ilvl w:val="0"/>
          <w:numId w:val="40"/>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Methodological Innovation:</w:t>
      </w:r>
      <w:r w:rsidRPr="00281CDE">
        <w:rPr>
          <w:rFonts w:ascii="Times New Roman" w:eastAsia="Times New Roman" w:hAnsi="Times New Roman" w:cs="Times New Roman"/>
          <w:sz w:val="22"/>
          <w:szCs w:val="22"/>
        </w:rPr>
        <w:t xml:space="preserve"> The development of the </w:t>
      </w:r>
      <w:r w:rsidRPr="00281CDE">
        <w:rPr>
          <w:rFonts w:ascii="Times New Roman" w:eastAsia="Times New Roman" w:hAnsi="Times New Roman" w:cs="Times New Roman"/>
          <w:b/>
          <w:bCs/>
          <w:sz w:val="22"/>
          <w:szCs w:val="22"/>
        </w:rPr>
        <w:t>Two-Layer Regime Detector</w:t>
      </w:r>
      <w:r w:rsidRPr="00281CDE">
        <w:rPr>
          <w:rFonts w:ascii="Times New Roman" w:eastAsia="Times New Roman" w:hAnsi="Times New Roman" w:cs="Times New Roman"/>
          <w:sz w:val="22"/>
          <w:szCs w:val="22"/>
        </w:rPr>
        <w:t xml:space="preserve">, which integrates </w:t>
      </w:r>
      <w:r w:rsidRPr="00281CDE">
        <w:rPr>
          <w:rFonts w:ascii="Times New Roman" w:eastAsia="Times New Roman" w:hAnsi="Times New Roman" w:cs="Times New Roman"/>
          <w:b/>
          <w:bCs/>
          <w:sz w:val="22"/>
          <w:szCs w:val="22"/>
        </w:rPr>
        <w:t>GARCH-MIDAS</w:t>
      </w:r>
      <w:r w:rsidRPr="00281CDE">
        <w:rPr>
          <w:rFonts w:ascii="Times New Roman" w:eastAsia="Times New Roman" w:hAnsi="Times New Roman" w:cs="Times New Roman"/>
          <w:sz w:val="22"/>
          <w:szCs w:val="22"/>
        </w:rPr>
        <w:t xml:space="preserve"> for volatility state estimation with </w:t>
      </w:r>
      <w:r w:rsidRPr="00281CDE">
        <w:rPr>
          <w:rFonts w:ascii="Times New Roman" w:eastAsia="Times New Roman" w:hAnsi="Times New Roman" w:cs="Times New Roman"/>
          <w:b/>
          <w:bCs/>
          <w:sz w:val="22"/>
          <w:szCs w:val="22"/>
        </w:rPr>
        <w:t>Statistical Jump Models (JMs)</w:t>
      </w:r>
      <w:r w:rsidRPr="00281CDE">
        <w:rPr>
          <w:rFonts w:ascii="Times New Roman" w:eastAsia="Times New Roman" w:hAnsi="Times New Roman" w:cs="Times New Roman"/>
          <w:sz w:val="22"/>
          <w:szCs w:val="22"/>
        </w:rPr>
        <w:t xml:space="preserve"> for discrete classification. This successfully bridges the gap between continuous volatility modeling and discrete risk-management decisions.</w:t>
      </w:r>
    </w:p>
    <w:p w14:paraId="78FA497A" w14:textId="77777777" w:rsidR="00281CDE" w:rsidRPr="00281CDE" w:rsidRDefault="00281CDE" w:rsidP="00281CDE">
      <w:pPr>
        <w:numPr>
          <w:ilvl w:val="0"/>
          <w:numId w:val="40"/>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Cross-Asset Validation:</w:t>
      </w:r>
      <w:r w:rsidRPr="00281CDE">
        <w:rPr>
          <w:rFonts w:ascii="Times New Roman" w:eastAsia="Times New Roman" w:hAnsi="Times New Roman" w:cs="Times New Roman"/>
          <w:sz w:val="22"/>
          <w:szCs w:val="22"/>
        </w:rPr>
        <w:t xml:space="preserve"> Providing empirical evidence for the </w:t>
      </w:r>
      <w:r w:rsidRPr="00281CDE">
        <w:rPr>
          <w:rFonts w:ascii="Times New Roman" w:eastAsia="Times New Roman" w:hAnsi="Times New Roman" w:cs="Times New Roman"/>
          <w:b/>
          <w:bCs/>
          <w:sz w:val="22"/>
          <w:szCs w:val="22"/>
        </w:rPr>
        <w:t>Network Effect Hypothesis (H3)</w:t>
      </w:r>
      <w:r w:rsidRPr="00281CDE">
        <w:rPr>
          <w:rFonts w:ascii="Times New Roman" w:eastAsia="Times New Roman" w:hAnsi="Times New Roman" w:cs="Times New Roman"/>
          <w:sz w:val="22"/>
          <w:szCs w:val="22"/>
        </w:rPr>
        <w:t xml:space="preserve"> by quantifying how sentiment connectedness (Entropy-based) across Crypto, Equities, and Forex precedes systemic crashes, validating findings by Cao et al. (2025).</w:t>
      </w:r>
    </w:p>
    <w:p w14:paraId="34E1CC06" w14:textId="77777777" w:rsidR="00281CDE" w:rsidRPr="00281CDE" w:rsidRDefault="00281CDE" w:rsidP="00281CDE">
      <w:pPr>
        <w:numPr>
          <w:ilvl w:val="0"/>
          <w:numId w:val="40"/>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The “Lead-Time” Metric:</w:t>
      </w:r>
      <w:r w:rsidRPr="00281CDE">
        <w:rPr>
          <w:rFonts w:ascii="Times New Roman" w:eastAsia="Times New Roman" w:hAnsi="Times New Roman" w:cs="Times New Roman"/>
          <w:sz w:val="22"/>
          <w:szCs w:val="22"/>
        </w:rPr>
        <w:t xml:space="preserve"> Establishing a quantifiable early-warning window (1–5 days) where sentiment divergence acts as a precursor to VIX spikes, offering a practical edge over lagging indicators like moving averages.</w:t>
      </w:r>
    </w:p>
    <w:p w14:paraId="555CE203" w14:textId="59E8C8FA"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By applying ensemble transformer models to heterogeneous data sources (social media, news, forums) across four major asset classes, we construct sentiment indices that capture collective market psychology. </w:t>
      </w:r>
      <w:r w:rsidR="00893643">
        <w:rPr>
          <w:rFonts w:ascii="Times New Roman" w:eastAsia="Times New Roman" w:hAnsi="Times New Roman" w:cs="Times New Roman"/>
          <w:sz w:val="22"/>
          <w:szCs w:val="22"/>
        </w:rPr>
        <w:t>Integrating</w:t>
      </w:r>
      <w:r w:rsidRPr="00281CDE">
        <w:rPr>
          <w:rFonts w:ascii="Times New Roman" w:eastAsia="Times New Roman" w:hAnsi="Times New Roman" w:cs="Times New Roman"/>
          <w:sz w:val="22"/>
          <w:szCs w:val="22"/>
        </w:rPr>
        <w:t xml:space="preserve"> these indices with the Two-Layer regime classification creates a leading-indicator system that identifies Risk-On, Risk-Off, and Transition states earlier than traditional volatility-based methods.</w:t>
      </w:r>
    </w:p>
    <w:p w14:paraId="67577324"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The real-time dashboard deployment ensures accessibility for retail investors, traders, and risk managers, potentially leveling the information asymmetry that currently favors institutional players with expensive sentiment analysis tools.</w:t>
      </w:r>
    </w:p>
    <w:p w14:paraId="20E9150E" w14:textId="77777777" w:rsidR="00281CDE" w:rsidRPr="00281CDE" w:rsidRDefault="00281CDE" w:rsidP="00281CDE">
      <w:pPr>
        <w:spacing w:before="200" w:after="0" w:line="271" w:lineRule="auto"/>
        <w:outlineLvl w:val="2"/>
        <w:rPr>
          <w:rFonts w:ascii="Times New Roman" w:eastAsia="Times New Roman" w:hAnsi="Times New Roman" w:cs="Times New Roman"/>
          <w:i/>
          <w:iCs/>
          <w:smallCaps/>
          <w:spacing w:val="5"/>
          <w:sz w:val="26"/>
          <w:szCs w:val="26"/>
        </w:rPr>
      </w:pPr>
      <w:bookmarkStart w:id="89" w:name="future-work"/>
      <w:bookmarkEnd w:id="88"/>
      <w:r w:rsidRPr="00281CDE">
        <w:rPr>
          <w:rFonts w:ascii="Times New Roman" w:eastAsia="Times New Roman" w:hAnsi="Times New Roman" w:cs="Times New Roman"/>
          <w:i/>
          <w:iCs/>
          <w:smallCaps/>
          <w:spacing w:val="5"/>
          <w:sz w:val="26"/>
          <w:szCs w:val="26"/>
        </w:rPr>
        <w:t>7.2 Future Work</w:t>
      </w:r>
    </w:p>
    <w:p w14:paraId="28D97FEC" w14:textId="77777777" w:rsidR="00281CDE" w:rsidRPr="00281CDE" w:rsidRDefault="00281CDE" w:rsidP="00281CDE">
      <w:pPr>
        <w:numPr>
          <w:ilvl w:val="0"/>
          <w:numId w:val="41"/>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Adaptive Reinforcement Learning:</w:t>
      </w:r>
      <w:r w:rsidRPr="00281CDE">
        <w:rPr>
          <w:rFonts w:ascii="Times New Roman" w:eastAsia="Times New Roman" w:hAnsi="Times New Roman" w:cs="Times New Roman"/>
          <w:sz w:val="22"/>
          <w:szCs w:val="22"/>
        </w:rPr>
        <w:t xml:space="preserve"> Moving from static ensemble weights to dynamic recalibration using the </w:t>
      </w:r>
      <w:r w:rsidRPr="00281CDE">
        <w:rPr>
          <w:rFonts w:ascii="Times New Roman" w:eastAsia="Times New Roman" w:hAnsi="Times New Roman" w:cs="Times New Roman"/>
          <w:b/>
          <w:bCs/>
          <w:sz w:val="22"/>
          <w:szCs w:val="22"/>
        </w:rPr>
        <w:t>Iterative Model Combining Algorithm (IMCA)</w:t>
      </w:r>
      <w:r w:rsidRPr="00281CDE">
        <w:rPr>
          <w:rFonts w:ascii="Times New Roman" w:eastAsia="Times New Roman" w:hAnsi="Times New Roman" w:cs="Times New Roman"/>
          <w:sz w:val="22"/>
          <w:szCs w:val="22"/>
        </w:rPr>
        <w:t>. As proposed by Pankwaen et al. (2025), this would allow the model to autonomously shift weight between “Sentiment” and “Price” features depending on the current volatility regime.</w:t>
      </w:r>
    </w:p>
    <w:p w14:paraId="3B0D3F4D" w14:textId="77777777" w:rsidR="00281CDE" w:rsidRPr="00281CDE" w:rsidRDefault="00281CDE" w:rsidP="00281CDE">
      <w:pPr>
        <w:numPr>
          <w:ilvl w:val="0"/>
          <w:numId w:val="41"/>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Multimodal Integration:</w:t>
      </w:r>
      <w:r w:rsidRPr="00281CDE">
        <w:rPr>
          <w:rFonts w:ascii="Times New Roman" w:eastAsia="Times New Roman" w:hAnsi="Times New Roman" w:cs="Times New Roman"/>
          <w:sz w:val="22"/>
          <w:szCs w:val="22"/>
        </w:rPr>
        <w:t xml:space="preserve"> Extending the input features beyond text to include audio data from earnings calls, which may contain non-verbal sentiment cues that text models miss.</w:t>
      </w:r>
    </w:p>
    <w:p w14:paraId="06423A27" w14:textId="77777777" w:rsidR="00281CDE" w:rsidRPr="00281CDE" w:rsidRDefault="00281CDE" w:rsidP="00281CDE">
      <w:pPr>
        <w:numPr>
          <w:ilvl w:val="0"/>
          <w:numId w:val="41"/>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High-Frequency Decomposition:</w:t>
      </w:r>
      <w:r w:rsidRPr="00281CDE">
        <w:rPr>
          <w:rFonts w:ascii="Times New Roman" w:eastAsia="Times New Roman" w:hAnsi="Times New Roman" w:cs="Times New Roman"/>
          <w:sz w:val="22"/>
          <w:szCs w:val="22"/>
        </w:rPr>
        <w:t xml:space="preserve"> Applying </w:t>
      </w:r>
      <w:r w:rsidRPr="00281CDE">
        <w:rPr>
          <w:rFonts w:ascii="Times New Roman" w:eastAsia="Times New Roman" w:hAnsi="Times New Roman" w:cs="Times New Roman"/>
          <w:b/>
          <w:bCs/>
          <w:sz w:val="22"/>
          <w:szCs w:val="22"/>
        </w:rPr>
        <w:t>Empirical Mode Decomposition (EEMD)</w:t>
      </w:r>
      <w:r w:rsidRPr="00281CDE">
        <w:rPr>
          <w:rFonts w:ascii="Times New Roman" w:eastAsia="Times New Roman" w:hAnsi="Times New Roman" w:cs="Times New Roman"/>
          <w:sz w:val="22"/>
          <w:szCs w:val="22"/>
        </w:rPr>
        <w:t xml:space="preserve"> to analyze intraday sentiment impacts (minutes vs. hours), as suggested by Cai et al. (2024), to test if the “Lead-Time” exists at the microstructure level.</w:t>
      </w:r>
    </w:p>
    <w:p w14:paraId="35BDA117" w14:textId="77777777" w:rsidR="00281CDE" w:rsidRPr="00281CDE" w:rsidRDefault="00281CDE" w:rsidP="00281CDE">
      <w:pPr>
        <w:numPr>
          <w:ilvl w:val="0"/>
          <w:numId w:val="41"/>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Expand Asset Coverage:</w:t>
      </w:r>
      <w:r w:rsidRPr="00281CDE">
        <w:rPr>
          <w:rFonts w:ascii="Times New Roman" w:eastAsia="Times New Roman" w:hAnsi="Times New Roman" w:cs="Times New Roman"/>
          <w:sz w:val="22"/>
          <w:szCs w:val="22"/>
        </w:rPr>
        <w:t xml:space="preserve"> Extend to more asset classes (bonds, real estate REITs).</w:t>
      </w:r>
    </w:p>
    <w:p w14:paraId="46D9CEAA" w14:textId="77777777" w:rsidR="00281CDE" w:rsidRPr="00281CDE" w:rsidRDefault="00281CDE" w:rsidP="00281CDE">
      <w:pPr>
        <w:numPr>
          <w:ilvl w:val="0"/>
          <w:numId w:val="41"/>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Multi-language Sentiment Analysis:</w:t>
      </w:r>
      <w:r w:rsidRPr="00281CDE">
        <w:rPr>
          <w:rFonts w:ascii="Times New Roman" w:eastAsia="Times New Roman" w:hAnsi="Times New Roman" w:cs="Times New Roman"/>
          <w:sz w:val="22"/>
          <w:szCs w:val="22"/>
        </w:rPr>
        <w:t xml:space="preserve"> Incorporate non-English financial discourse to capture global market psychology.</w:t>
      </w:r>
    </w:p>
    <w:p w14:paraId="2CDA2B66" w14:textId="77777777" w:rsidR="00281CDE" w:rsidRPr="00281CDE" w:rsidRDefault="00281CDE" w:rsidP="00281CDE">
      <w:pPr>
        <w:numPr>
          <w:ilvl w:val="0"/>
          <w:numId w:val="41"/>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lastRenderedPageBreak/>
        <w:t>Causal Analysis:</w:t>
      </w:r>
      <w:r w:rsidRPr="00281CDE">
        <w:rPr>
          <w:rFonts w:ascii="Times New Roman" w:eastAsia="Times New Roman" w:hAnsi="Times New Roman" w:cs="Times New Roman"/>
          <w:sz w:val="22"/>
          <w:szCs w:val="22"/>
        </w:rPr>
        <w:t xml:space="preserve"> Rigorous causal inference to determine whether sentiment drives prices or vice versa.</w:t>
      </w:r>
    </w:p>
    <w:p w14:paraId="48BFA12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Acknowledgments</w:t>
      </w:r>
    </w:p>
    <w:p w14:paraId="639947DD" w14:textId="77777777" w:rsidR="007B7621" w:rsidRDefault="007B7621" w:rsidP="00281CDE">
      <w:pPr>
        <w:spacing w:before="180" w:after="180" w:line="276" w:lineRule="auto"/>
        <w:rPr>
          <w:rFonts w:ascii="Times New Roman" w:eastAsia="Times New Roman" w:hAnsi="Times New Roman" w:cs="Times New Roman"/>
          <w:sz w:val="22"/>
          <w:szCs w:val="22"/>
        </w:rPr>
      </w:pPr>
      <w:r w:rsidRPr="007B7621">
        <w:rPr>
          <w:rFonts w:ascii="Times New Roman" w:eastAsia="Times New Roman" w:hAnsi="Times New Roman" w:cs="Times New Roman"/>
          <w:sz w:val="22"/>
          <w:szCs w:val="22"/>
        </w:rPr>
        <w:t>David (King Ip) Lin, Ph.D.</w:t>
      </w:r>
    </w:p>
    <w:p w14:paraId="6B321874" w14:textId="3C354B5F"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Capstone Advisor Jacquelyn Cheun, PhD. – Capstone Professor </w:t>
      </w:r>
    </w:p>
    <w:p w14:paraId="7BE10476"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SMU MANEFRAME team - HPC support</w:t>
      </w:r>
    </w:p>
    <w:p w14:paraId="0275197C" w14:textId="77777777" w:rsidR="00281CDE" w:rsidRPr="00281CDE" w:rsidRDefault="00281CDE" w:rsidP="00281CDE">
      <w:pPr>
        <w:spacing w:before="180" w:after="180"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b/>
          <w:bCs/>
          <w:sz w:val="22"/>
          <w:szCs w:val="22"/>
        </w:rPr>
        <w:t>References</w:t>
      </w:r>
      <w:r w:rsidRPr="00281CDE">
        <w:rPr>
          <w:rFonts w:ascii="Times New Roman" w:eastAsia="Times New Roman" w:hAnsi="Times New Roman" w:cs="Times New Roman"/>
          <w:sz w:val="22"/>
          <w:szCs w:val="22"/>
        </w:rPr>
        <w:t>:</w:t>
      </w:r>
    </w:p>
    <w:p w14:paraId="615F4BD6"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Araci, D. (2019). FinBERT: Financial Sentiment Analysis with Pre-trained Language Models. </w:t>
      </w:r>
      <w:hyperlink r:id="rId9">
        <w:r w:rsidRPr="00281CDE">
          <w:rPr>
            <w:rFonts w:ascii="Times New Roman" w:eastAsia="Times New Roman" w:hAnsi="Times New Roman" w:cs="Times New Roman"/>
            <w:i/>
            <w:sz w:val="22"/>
            <w:szCs w:val="22"/>
          </w:rPr>
          <w:t>https://doi.org/10.48550/arxiv.1908.10063</w:t>
        </w:r>
      </w:hyperlink>
    </w:p>
    <w:p w14:paraId="1FED4DE1"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Baker, M., &amp; Wurgler, J. (2007). Investor Sentiment in the Stock Market. The Journal of Economic Perspectives, 21(2), 129–151. </w:t>
      </w:r>
      <w:hyperlink r:id="rId10">
        <w:r w:rsidRPr="00281CDE">
          <w:rPr>
            <w:rFonts w:ascii="Times New Roman" w:eastAsia="Times New Roman" w:hAnsi="Times New Roman" w:cs="Times New Roman"/>
            <w:i/>
            <w:sz w:val="22"/>
            <w:szCs w:val="22"/>
          </w:rPr>
          <w:t>https://doi.org/10.1257/jep.21.2.129</w:t>
        </w:r>
      </w:hyperlink>
    </w:p>
    <w:p w14:paraId="6DD161E4"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Bollen, J., Mao, H., &amp; Zeng, X. (2011). Twitter mood predicts the stock market. Journal of Computational Science, 2(1), 1–8. </w:t>
      </w:r>
      <w:hyperlink r:id="rId11">
        <w:r w:rsidRPr="00281CDE">
          <w:rPr>
            <w:rFonts w:ascii="Times New Roman" w:eastAsia="Times New Roman" w:hAnsi="Times New Roman" w:cs="Times New Roman"/>
            <w:i/>
            <w:sz w:val="22"/>
            <w:szCs w:val="22"/>
          </w:rPr>
          <w:t>https://doi.org/10.1016/j.jocs.2010.12.007</w:t>
        </w:r>
      </w:hyperlink>
    </w:p>
    <w:p w14:paraId="14A547AA"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Caferra, R. (2022). Sentiment spillover and price dynamics: Information flow in the cryptocurrency and stock market. Physica A: Statistical Mechanics and its Applications, 593, 126983. </w:t>
      </w:r>
      <w:hyperlink r:id="rId12">
        <w:r w:rsidRPr="00281CDE">
          <w:rPr>
            <w:rFonts w:ascii="Times New Roman" w:eastAsia="Times New Roman" w:hAnsi="Times New Roman" w:cs="Times New Roman"/>
            <w:i/>
            <w:sz w:val="22"/>
            <w:szCs w:val="22"/>
          </w:rPr>
          <w:t>https://doi.org/10.1016/j.physa.2022.126983</w:t>
        </w:r>
      </w:hyperlink>
    </w:p>
    <w:p w14:paraId="23BB0486"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Cai, Y., Tang, Z., &amp; Chen, Y. (2024). Can real-time investor sentiment help predict the high-frequency stock returns? Evidence from a mixed-frequency-rolling decomposition forecasting method. North American Journal of Economics and Finance, 70, 102147. </w:t>
      </w:r>
      <w:hyperlink r:id="rId13">
        <w:r w:rsidRPr="00281CDE">
          <w:rPr>
            <w:rFonts w:ascii="Times New Roman" w:eastAsia="Times New Roman" w:hAnsi="Times New Roman" w:cs="Times New Roman"/>
            <w:i/>
            <w:sz w:val="22"/>
            <w:szCs w:val="22"/>
          </w:rPr>
          <w:t>https://doi.org/10.1016/j.najef.2024.102147</w:t>
        </w:r>
      </w:hyperlink>
    </w:p>
    <w:p w14:paraId="58A95242"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Cao, J., He, G., &amp; Jiao, Y. (2025). Too Sensitive to Fail: The Impact of Sentiment Connectedness on Stock Price Crash Risk. Entropy, 27(4), 345. </w:t>
      </w:r>
      <w:hyperlink r:id="rId14">
        <w:r w:rsidRPr="00281CDE">
          <w:rPr>
            <w:rFonts w:ascii="Times New Roman" w:eastAsia="Times New Roman" w:hAnsi="Times New Roman" w:cs="Times New Roman"/>
            <w:i/>
            <w:sz w:val="22"/>
            <w:szCs w:val="22"/>
          </w:rPr>
          <w:t>https://doi.org/10.3390/e27040345</w:t>
        </w:r>
      </w:hyperlink>
    </w:p>
    <w:p w14:paraId="72C5960D"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Dakalbab, F., Kumar, A., Abu Talib, M., et al. (2025). Advancing Forex prediction through multimodal text-driven model and attention mechanisms. Intelligent Systems with Applications, 25, 200518. </w:t>
      </w:r>
      <w:hyperlink r:id="rId15">
        <w:r w:rsidRPr="00281CDE">
          <w:rPr>
            <w:rFonts w:ascii="Times New Roman" w:eastAsia="Times New Roman" w:hAnsi="Times New Roman" w:cs="Times New Roman"/>
            <w:i/>
            <w:sz w:val="22"/>
            <w:szCs w:val="22"/>
          </w:rPr>
          <w:t>https://doi.org/10.1016/j.iswa.2025.200518</w:t>
        </w:r>
      </w:hyperlink>
    </w:p>
    <w:p w14:paraId="211A5607"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Delgadillo, J., Kinyua, J., &amp; Mutigwe, C. (2024). FinSoSent: Advancing Financial Market Sentiment Analysis through </w:t>
      </w:r>
      <w:r w:rsidRPr="00281CDE">
        <w:rPr>
          <w:rFonts w:ascii="Times New Roman" w:eastAsia="Times New Roman" w:hAnsi="Times New Roman" w:cs="Times New Roman"/>
          <w:sz w:val="22"/>
          <w:szCs w:val="22"/>
        </w:rPr>
        <w:lastRenderedPageBreak/>
        <w:t xml:space="preserve">Pretrained Large Language Models. Big Data and Cognitive Computing, 8(8), 87. </w:t>
      </w:r>
      <w:hyperlink r:id="rId16">
        <w:r w:rsidRPr="00281CDE">
          <w:rPr>
            <w:rFonts w:ascii="Times New Roman" w:eastAsia="Times New Roman" w:hAnsi="Times New Roman" w:cs="Times New Roman"/>
            <w:i/>
            <w:sz w:val="22"/>
            <w:szCs w:val="22"/>
          </w:rPr>
          <w:t>https://doi.org/10.3390/bdcc8080087</w:t>
        </w:r>
      </w:hyperlink>
    </w:p>
    <w:p w14:paraId="0A631433"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Ergun, Z. E., &amp; Sefer, E. (2025). FinSentiment: Predicting Financial Sentiment Through Transfer Learning. Intelligent Systems in Accounting, Finance and Management, 32(1), e70015. </w:t>
      </w:r>
      <w:hyperlink r:id="rId17">
        <w:r w:rsidRPr="00281CDE">
          <w:rPr>
            <w:rFonts w:ascii="Times New Roman" w:eastAsia="Times New Roman" w:hAnsi="Times New Roman" w:cs="Times New Roman"/>
            <w:i/>
            <w:sz w:val="22"/>
            <w:szCs w:val="22"/>
          </w:rPr>
          <w:t>https://doi.org/10.1002/isaf.70015</w:t>
        </w:r>
      </w:hyperlink>
    </w:p>
    <w:p w14:paraId="160AB136"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Fatouros, G., Soldatos, J., Kouroumali, K., Makridis, G., &amp; Kyriazis, D. (2023). Transforming sentiment analysis in the financial domain with ChatGPT. Machine Learning with Applications, 14, 100508. </w:t>
      </w:r>
      <w:hyperlink r:id="rId18">
        <w:r w:rsidRPr="00281CDE">
          <w:rPr>
            <w:rFonts w:ascii="Times New Roman" w:eastAsia="Times New Roman" w:hAnsi="Times New Roman" w:cs="Times New Roman"/>
            <w:i/>
            <w:sz w:val="22"/>
            <w:szCs w:val="22"/>
          </w:rPr>
          <w:t>https://doi.org/10.1016/j.mlwa.2023.100508</w:t>
        </w:r>
      </w:hyperlink>
    </w:p>
    <w:p w14:paraId="333D1F70"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Kengmegni, D. L. (2024). Limitations of News Sentiment Analysis for Next-Day Stock Prediction. arXiv preprint arXiv:2411.05791. </w:t>
      </w:r>
      <w:hyperlink r:id="rId19">
        <w:r w:rsidRPr="00281CDE">
          <w:rPr>
            <w:rFonts w:ascii="Times New Roman" w:eastAsia="Times New Roman" w:hAnsi="Times New Roman" w:cs="Times New Roman"/>
            <w:i/>
            <w:sz w:val="22"/>
            <w:szCs w:val="22"/>
          </w:rPr>
          <w:t>https://arxiv.org/abs/2411.05791</w:t>
        </w:r>
      </w:hyperlink>
    </w:p>
    <w:p w14:paraId="4AEBD5B7"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Keynes, J. M., &amp; Royal Economic Society (Great Britain). (1973). The general theory of employment, interest, and money. Cambridge University Press for the Royal Economic Society.</w:t>
      </w:r>
    </w:p>
    <w:p w14:paraId="5472B900"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Konstantinidis, T., Iacovides, G., Xu, M., Constantinides, T. G., &amp; Mandic, D. (2024). FinLlama: Financial Sentiment Classification for Algorithmic Trading Applications. arXiv preprint arXiv:2403.12285. </w:t>
      </w:r>
      <w:hyperlink r:id="rId20">
        <w:r w:rsidRPr="00281CDE">
          <w:rPr>
            <w:rFonts w:ascii="Times New Roman" w:eastAsia="Times New Roman" w:hAnsi="Times New Roman" w:cs="Times New Roman"/>
            <w:i/>
            <w:sz w:val="22"/>
            <w:szCs w:val="22"/>
          </w:rPr>
          <w:t>https://arxiv.org/abs/2403.12285</w:t>
        </w:r>
      </w:hyperlink>
    </w:p>
    <w:p w14:paraId="503027F0"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Kraaijeveld, O., &amp; De Smedt, J. (2020). The predictive power of public Twitter sentiment for forecasting cryptocurrency prices. Journal of International Financial Markets, Institutions &amp; Money, 65, Article 101188. </w:t>
      </w:r>
      <w:hyperlink r:id="rId21">
        <w:r w:rsidRPr="00281CDE">
          <w:rPr>
            <w:rFonts w:ascii="Times New Roman" w:eastAsia="Times New Roman" w:hAnsi="Times New Roman" w:cs="Times New Roman"/>
            <w:i/>
            <w:sz w:val="22"/>
            <w:szCs w:val="22"/>
          </w:rPr>
          <w:t>https://doi.org/10.1016/j.intfin.2020.101188</w:t>
        </w:r>
      </w:hyperlink>
    </w:p>
    <w:p w14:paraId="62791474"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Liu, C., Arulappan, A., Naha, R., Mahanti, A., Kamruzzaman, J., &amp; Ra, I.-H. (2024). Large Language Models and Sentiment Analysis in Financial Markets: A Review, Datasets, and Case Study. IEEE Access, 12, 134041-134061. </w:t>
      </w:r>
      <w:hyperlink r:id="rId22">
        <w:r w:rsidRPr="00281CDE">
          <w:rPr>
            <w:rFonts w:ascii="Times New Roman" w:eastAsia="Times New Roman" w:hAnsi="Times New Roman" w:cs="Times New Roman"/>
            <w:i/>
            <w:sz w:val="22"/>
            <w:szCs w:val="22"/>
          </w:rPr>
          <w:t>https://doi.org/10.1109/ACCESS.2024.3445413</w:t>
        </w:r>
      </w:hyperlink>
    </w:p>
    <w:p w14:paraId="5A12800E"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LOUGHRAN, T., &amp; MCDONALD, B. (2011). When Is a Liability Not a Liability? Textual Analysis, Dictionaries, and 10-Ks. The Journal of Finance (New York), 66(1), 35–65. </w:t>
      </w:r>
      <w:hyperlink r:id="rId23">
        <w:r w:rsidRPr="00281CDE">
          <w:rPr>
            <w:rFonts w:ascii="Times New Roman" w:eastAsia="Times New Roman" w:hAnsi="Times New Roman" w:cs="Times New Roman"/>
            <w:i/>
            <w:sz w:val="22"/>
            <w:szCs w:val="22"/>
          </w:rPr>
          <w:t>https://doi.org/10.1111/j.1540-6261.2010.01625.x</w:t>
        </w:r>
      </w:hyperlink>
    </w:p>
    <w:p w14:paraId="12C771BB"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Luo, W., &amp; Gong, D. (2024). Pre-trained Large Language Models for Financial Sentiment Analysis. arXiv preprint arXiv:2401.05215. </w:t>
      </w:r>
      <w:hyperlink r:id="rId24">
        <w:r w:rsidRPr="00281CDE">
          <w:rPr>
            <w:rFonts w:ascii="Times New Roman" w:eastAsia="Times New Roman" w:hAnsi="Times New Roman" w:cs="Times New Roman"/>
            <w:i/>
            <w:sz w:val="22"/>
            <w:szCs w:val="22"/>
          </w:rPr>
          <w:t>https://arxiv.org/abs/2401.05215</w:t>
        </w:r>
      </w:hyperlink>
    </w:p>
    <w:p w14:paraId="0862C1D8"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 xml:space="preserve">Mahendran, M., Gokul, A., Lakshmi, P. S., &amp; Preethi, S. (2025). Comparative Advances in Financial Sentiment Analysis: A Review of BERT, FinBert, and Large Language Models. 2025 International Conference on Devices, Circuits and IoT (IDCIoT), 1-6. </w:t>
      </w:r>
      <w:hyperlink r:id="rId25">
        <w:r w:rsidRPr="00281CDE">
          <w:rPr>
            <w:rFonts w:ascii="Times New Roman" w:eastAsia="Times New Roman" w:hAnsi="Times New Roman" w:cs="Times New Roman"/>
            <w:i/>
            <w:sz w:val="22"/>
            <w:szCs w:val="22"/>
          </w:rPr>
          <w:t>https://doi.org/10.1109/idciot64235.2025.10914764</w:t>
        </w:r>
      </w:hyperlink>
    </w:p>
    <w:p w14:paraId="4FB323B4"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Micaletti, R. C. (2022). Relative Sentiment and Machine Learning for Tactical Asset Allocation. SSRN Electronic Journal. </w:t>
      </w:r>
      <w:hyperlink r:id="rId26">
        <w:r w:rsidRPr="00281CDE">
          <w:rPr>
            <w:rFonts w:ascii="Times New Roman" w:eastAsia="Times New Roman" w:hAnsi="Times New Roman" w:cs="Times New Roman"/>
            <w:i/>
            <w:sz w:val="22"/>
            <w:szCs w:val="22"/>
          </w:rPr>
          <w:t>https://doi.org/10.2139/ssrn.3475258</w:t>
        </w:r>
      </w:hyperlink>
    </w:p>
    <w:p w14:paraId="266D9EFD"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Cicekyurt, E., &amp; Bakal, G. (2025). Enhancing Sentiment Analysis in Stock Market Tweets Through BERT-Based Knowledge Transfer. Computational Economics. </w:t>
      </w:r>
      <w:hyperlink r:id="rId27">
        <w:r w:rsidRPr="00281CDE">
          <w:rPr>
            <w:rFonts w:ascii="Times New Roman" w:eastAsia="Times New Roman" w:hAnsi="Times New Roman" w:cs="Times New Roman"/>
            <w:i/>
            <w:sz w:val="22"/>
            <w:szCs w:val="22"/>
          </w:rPr>
          <w:t>https://doi.org/10.1007/s10614-025-10901-8</w:t>
        </w:r>
      </w:hyperlink>
    </w:p>
    <w:p w14:paraId="56790748"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Mishev, K., Gjorgjevikj, A., Vodenska, I., Chitkushev, L. T., &amp; Trajanov, D. (2020). Evaluation of Sentiment Analysis in Finance: From Lexicons to Transformers. IEEE Access, 8, 131662-131682. </w:t>
      </w:r>
      <w:hyperlink r:id="rId28">
        <w:r w:rsidRPr="00281CDE">
          <w:rPr>
            <w:rFonts w:ascii="Times New Roman" w:eastAsia="Times New Roman" w:hAnsi="Times New Roman" w:cs="Times New Roman"/>
            <w:i/>
            <w:sz w:val="22"/>
            <w:szCs w:val="22"/>
          </w:rPr>
          <w:t>https://doi.org/10.1109/ACCESS.2020.3009626</w:t>
        </w:r>
      </w:hyperlink>
    </w:p>
    <w:p w14:paraId="7C1937E9"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Nasiopoulos, D. K., Roumeliotis, K. I., Sakas, D. P., &amp; Athanasopoulou, N. I. (2025). Financial Sentiment Analysis and Classification: A Comparative Study of Fine-Tuned Deep Learning Models. International Journal of Financial Studies, 13(2), 75. </w:t>
      </w:r>
      <w:hyperlink r:id="rId29">
        <w:r w:rsidRPr="00281CDE">
          <w:rPr>
            <w:rFonts w:ascii="Times New Roman" w:eastAsia="Times New Roman" w:hAnsi="Times New Roman" w:cs="Times New Roman"/>
            <w:i/>
            <w:sz w:val="22"/>
            <w:szCs w:val="22"/>
          </w:rPr>
          <w:t>https://doi.org/10.3390/ijfs13020075</w:t>
        </w:r>
      </w:hyperlink>
    </w:p>
    <w:p w14:paraId="6E82CEEB"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Nyakurukwa, K., &amp; Seetharam, Y. (2025). Investor sentiment networks: mapping connectedness in DJIA stocks. Financial Innovation, 11(1), 4. </w:t>
      </w:r>
      <w:hyperlink r:id="rId30">
        <w:r w:rsidRPr="00281CDE">
          <w:rPr>
            <w:rFonts w:ascii="Times New Roman" w:eastAsia="Times New Roman" w:hAnsi="Times New Roman" w:cs="Times New Roman"/>
            <w:i/>
            <w:sz w:val="22"/>
            <w:szCs w:val="22"/>
          </w:rPr>
          <w:t>https://doi.org/10.1186/s40854-024-00675-7</w:t>
        </w:r>
      </w:hyperlink>
    </w:p>
    <w:p w14:paraId="2B48EF27"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Olaiyapo, O. E. (2024). Applying news and media sentiment analysis for generating forex trading signals. Review of Business and Economics Studies, 11(4), 84-94. </w:t>
      </w:r>
      <w:hyperlink r:id="rId31">
        <w:r w:rsidRPr="00281CDE">
          <w:rPr>
            <w:rFonts w:ascii="Times New Roman" w:eastAsia="Times New Roman" w:hAnsi="Times New Roman" w:cs="Times New Roman"/>
            <w:i/>
            <w:sz w:val="22"/>
            <w:szCs w:val="22"/>
          </w:rPr>
          <w:t>https://doi.org/10.26794/2308-944X-2023-11-4-84-94</w:t>
        </w:r>
      </w:hyperlink>
    </w:p>
    <w:p w14:paraId="280B86A8"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Pankwaen, K., Thongkairat, S., &amp; Saijai, W. (2025). Global Cross-Market Trading Optimization Using Iterative Combined Algorithm: A Multi-Asset Approach with Stocks and Cryptocurrencies. Mathematics, 13(8), 1317. </w:t>
      </w:r>
      <w:hyperlink r:id="rId32">
        <w:r w:rsidRPr="00281CDE">
          <w:rPr>
            <w:rFonts w:ascii="Times New Roman" w:eastAsia="Times New Roman" w:hAnsi="Times New Roman" w:cs="Times New Roman"/>
            <w:i/>
            <w:sz w:val="22"/>
            <w:szCs w:val="22"/>
          </w:rPr>
          <w:t>https://doi.org/10.3390/math13081317</w:t>
        </w:r>
      </w:hyperlink>
    </w:p>
    <w:p w14:paraId="5D39AC8D"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Raheman, A., Kolonin, A., Fridkin, I., Ansari, W., Vishwas, M., Tulabandhula, T., &amp; Bahrami, S. (2022). Social media sentiment analysis for cryptocurrency market prediction. arXiv preprint arXiv:2204.10185. </w:t>
      </w:r>
      <w:hyperlink r:id="rId33">
        <w:r w:rsidRPr="00281CDE">
          <w:rPr>
            <w:rFonts w:ascii="Times New Roman" w:eastAsia="Times New Roman" w:hAnsi="Times New Roman" w:cs="Times New Roman"/>
            <w:i/>
            <w:sz w:val="22"/>
            <w:szCs w:val="22"/>
          </w:rPr>
          <w:t>https://arxiv.org/abs/2204.10185</w:t>
        </w:r>
      </w:hyperlink>
    </w:p>
    <w:p w14:paraId="089D8F0B"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lastRenderedPageBreak/>
        <w:t xml:space="preserve">Renault, T. (2017). Intraday online investor sentiment and return patterns in the U.S. stock market. Journal of Banking &amp; Finance, 84, 25–40. </w:t>
      </w:r>
      <w:hyperlink r:id="rId34">
        <w:r w:rsidRPr="00281CDE">
          <w:rPr>
            <w:rFonts w:ascii="Times New Roman" w:eastAsia="Times New Roman" w:hAnsi="Times New Roman" w:cs="Times New Roman"/>
            <w:i/>
            <w:sz w:val="22"/>
            <w:szCs w:val="22"/>
          </w:rPr>
          <w:t>https://doi.org/10.1016/j.jbankfin.2017.07.002</w:t>
        </w:r>
      </w:hyperlink>
    </w:p>
    <w:p w14:paraId="1F85491A"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Roumeliotis, K. I., Nasiopoulos, D. K., &amp; Tselikas, N. D. (2024). LLMs and NLP Models in Cryptocurrency Sentiment Analysis: A Comparative Classification Study. Big Data and Cognitive Computing, 8(6), 63. </w:t>
      </w:r>
      <w:hyperlink r:id="rId35">
        <w:r w:rsidRPr="00281CDE">
          <w:rPr>
            <w:rFonts w:ascii="Times New Roman" w:eastAsia="Times New Roman" w:hAnsi="Times New Roman" w:cs="Times New Roman"/>
            <w:i/>
            <w:sz w:val="22"/>
            <w:szCs w:val="22"/>
          </w:rPr>
          <w:t>https://doi.org/10.3390/bdcc8060063</w:t>
        </w:r>
      </w:hyperlink>
    </w:p>
    <w:p w14:paraId="57523573"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Sarfarazurrehman, S., Mane, V., &amp; Doshi, A. (2025). AI and Machine Learning Models in Cross-Asset Class Investment Risk Analysis: A Case Study of Real Estate and Equities Markets. 2025 IEEE International Conference on Smart Systems and Applications (ICSSAS), 1-6. </w:t>
      </w:r>
      <w:hyperlink r:id="rId36">
        <w:r w:rsidRPr="00281CDE">
          <w:rPr>
            <w:rFonts w:ascii="Times New Roman" w:eastAsia="Times New Roman" w:hAnsi="Times New Roman" w:cs="Times New Roman"/>
            <w:i/>
            <w:sz w:val="22"/>
            <w:szCs w:val="22"/>
          </w:rPr>
          <w:t>https://doi.org/10.1109/icssas66150.2025.11081061</w:t>
        </w:r>
      </w:hyperlink>
    </w:p>
    <w:p w14:paraId="07D94FCD"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Shao, Z., Yao, X., Chen, F., et al. (2024). Revisiting time-varying dynamics in stock market forecasting: A multi-source sentiment analysis approach with large language model. Decision Support Systems, 187, 114362. </w:t>
      </w:r>
      <w:hyperlink r:id="rId37">
        <w:r w:rsidRPr="00281CDE">
          <w:rPr>
            <w:rFonts w:ascii="Times New Roman" w:eastAsia="Times New Roman" w:hAnsi="Times New Roman" w:cs="Times New Roman"/>
            <w:i/>
            <w:sz w:val="22"/>
            <w:szCs w:val="22"/>
          </w:rPr>
          <w:t>https://doi.org/10.1016/j.dss.2024.114362</w:t>
        </w:r>
      </w:hyperlink>
    </w:p>
    <w:p w14:paraId="36D728D7"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Shen, Y., &amp; Zhang, P. K. (2024). Financial Sentiment Analysis on News and Reports Using Large Language Models and FinBERT. IEEE International Conference on Power, Intelligent Computing and Systems (Online), 717–721. </w:t>
      </w:r>
      <w:hyperlink r:id="rId38">
        <w:r w:rsidRPr="00281CDE">
          <w:rPr>
            <w:rFonts w:ascii="Times New Roman" w:eastAsia="Times New Roman" w:hAnsi="Times New Roman" w:cs="Times New Roman"/>
            <w:i/>
            <w:sz w:val="22"/>
            <w:szCs w:val="22"/>
          </w:rPr>
          <w:t>https://doi.org/10.1109/ICPICS62053.2024.10796670</w:t>
        </w:r>
      </w:hyperlink>
    </w:p>
    <w:p w14:paraId="774690E0"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Shi, C. (2025). Understanding Gold and Dollar Price Movements: A Sentiment-Based GARCH-MIDAS Approach. Proceedings of the 2025 International Conference on Economics and Business Management, 47. </w:t>
      </w:r>
      <w:hyperlink r:id="rId39">
        <w:r w:rsidRPr="00281CDE">
          <w:rPr>
            <w:rFonts w:ascii="Times New Roman" w:eastAsia="Times New Roman" w:hAnsi="Times New Roman" w:cs="Times New Roman"/>
            <w:i/>
            <w:sz w:val="22"/>
            <w:szCs w:val="22"/>
          </w:rPr>
          <w:t>https://doi.org/10.2991/978-94-6463-835-6_47</w:t>
        </w:r>
      </w:hyperlink>
    </w:p>
    <w:p w14:paraId="6930DA3B"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Shu, Y., Yu, C., &amp; Mulvey, J. M. (2024). Downside risk reduction using regime-switching signals: a statistical jump model approach. Journal of Asset Management, 25(5), 493-507. </w:t>
      </w:r>
      <w:hyperlink r:id="rId40">
        <w:r w:rsidRPr="00281CDE">
          <w:rPr>
            <w:rFonts w:ascii="Times New Roman" w:eastAsia="Times New Roman" w:hAnsi="Times New Roman" w:cs="Times New Roman"/>
            <w:i/>
            <w:sz w:val="22"/>
            <w:szCs w:val="22"/>
          </w:rPr>
          <w:t>https://doi.org/10.1057/s41260-024-00376-x</w:t>
        </w:r>
      </w:hyperlink>
    </w:p>
    <w:p w14:paraId="12310930"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Sibande, X., Gupta, R., Demirer, R., &amp; Bouri, E. (2021). Investor Sentiment and (Anti) Herding in the Currency Market: Evidence from Twitter Feed Data. Journal of Behavioral Finance, 24(1), 56-72. </w:t>
      </w:r>
      <w:hyperlink r:id="rId41">
        <w:r w:rsidRPr="00281CDE">
          <w:rPr>
            <w:rFonts w:ascii="Times New Roman" w:eastAsia="Times New Roman" w:hAnsi="Times New Roman" w:cs="Times New Roman"/>
            <w:i/>
            <w:sz w:val="22"/>
            <w:szCs w:val="22"/>
          </w:rPr>
          <w:t>https://doi.org/10.1080/15427560.2021.1917579</w:t>
        </w:r>
      </w:hyperlink>
    </w:p>
    <w:p w14:paraId="7E3A44A9"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Suárez-Cetrulo, A. L., Quintana, D., &amp; Cervantes, A. (2023). Machine Learning for Financial Prediction Under Regime Change Using Technical Analysis: A Systematic Review. </w:t>
      </w:r>
      <w:r w:rsidRPr="00281CDE">
        <w:rPr>
          <w:rFonts w:ascii="Times New Roman" w:eastAsia="Times New Roman" w:hAnsi="Times New Roman" w:cs="Times New Roman"/>
          <w:sz w:val="22"/>
          <w:szCs w:val="22"/>
        </w:rPr>
        <w:lastRenderedPageBreak/>
        <w:t xml:space="preserve">International Journal of Interactive Multimedia and Artificial Intelligence, 8(2), 117-138. </w:t>
      </w:r>
      <w:hyperlink r:id="rId42">
        <w:r w:rsidRPr="00281CDE">
          <w:rPr>
            <w:rFonts w:ascii="Times New Roman" w:eastAsia="Times New Roman" w:hAnsi="Times New Roman" w:cs="Times New Roman"/>
            <w:i/>
            <w:sz w:val="22"/>
            <w:szCs w:val="22"/>
          </w:rPr>
          <w:t>https://doi.org/10.9781/ijimai.2023.06.003</w:t>
        </w:r>
      </w:hyperlink>
    </w:p>
    <w:p w14:paraId="1C68F983"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Sun, Y., Yuan, H., &amp; Xu, F. (2025). Financial sentiment analysis for pre-trained language models incorporating dictionary knowledge and neutral features. Natural Language Processing Journal, 10, 100148. </w:t>
      </w:r>
      <w:hyperlink r:id="rId43">
        <w:r w:rsidRPr="00281CDE">
          <w:rPr>
            <w:rFonts w:ascii="Times New Roman" w:eastAsia="Times New Roman" w:hAnsi="Times New Roman" w:cs="Times New Roman"/>
            <w:i/>
            <w:sz w:val="22"/>
            <w:szCs w:val="22"/>
          </w:rPr>
          <w:t>https://doi.org/10.1016/j.nlp.2025.100148</w:t>
        </w:r>
      </w:hyperlink>
    </w:p>
    <w:p w14:paraId="0238E2A5"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Trushkovskyi, V. (2025). Application of Social Media Sentiment Analysis for Stock Price Prediction. Available at SSRN. </w:t>
      </w:r>
      <w:hyperlink r:id="rId44">
        <w:r w:rsidRPr="00281CDE">
          <w:rPr>
            <w:rFonts w:ascii="Times New Roman" w:eastAsia="Times New Roman" w:hAnsi="Times New Roman" w:cs="Times New Roman"/>
            <w:i/>
            <w:sz w:val="22"/>
            <w:szCs w:val="22"/>
          </w:rPr>
          <w:t>https://doi.org/10.57017/jaes.v20.3(89).11</w:t>
        </w:r>
      </w:hyperlink>
    </w:p>
    <w:p w14:paraId="5B5B956D"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Wang, X., Wang, R., &amp; Zhang, Y. (2024). Cross-asset momentum and the hybrid fund transmission mechanism in China’s stock and bond markets. PLOS ONE, 19(3), e0300781. </w:t>
      </w:r>
      <w:hyperlink r:id="rId45">
        <w:r w:rsidRPr="00281CDE">
          <w:rPr>
            <w:rFonts w:ascii="Times New Roman" w:eastAsia="Times New Roman" w:hAnsi="Times New Roman" w:cs="Times New Roman"/>
            <w:i/>
            <w:sz w:val="22"/>
            <w:szCs w:val="22"/>
          </w:rPr>
          <w:t>https://doi.org/10.1371/journal.pone.0300781</w:t>
        </w:r>
      </w:hyperlink>
    </w:p>
    <w:p w14:paraId="63806D5C" w14:textId="77777777" w:rsidR="00281CDE" w:rsidRPr="00281CDE" w:rsidRDefault="00281CDE" w:rsidP="00281CDE">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Yang, J., Tang, Y., Li, Y., et al. (2025). Cross-Asset Risk Management: Integrating LLMs for Real-Time Monitoring of Equity, Fixed Income, and Currency Markets. arXiv preprint arXiv:2504.04292. </w:t>
      </w:r>
      <w:hyperlink r:id="rId46">
        <w:r w:rsidRPr="00281CDE">
          <w:rPr>
            <w:rFonts w:ascii="Times New Roman" w:eastAsia="Times New Roman" w:hAnsi="Times New Roman" w:cs="Times New Roman"/>
            <w:i/>
            <w:sz w:val="22"/>
            <w:szCs w:val="22"/>
          </w:rPr>
          <w:t>https://arxiv.org/abs/2504.04292</w:t>
        </w:r>
      </w:hyperlink>
    </w:p>
    <w:p w14:paraId="460AF428" w14:textId="594373BA" w:rsidR="0066533F" w:rsidRPr="00F47C02" w:rsidRDefault="00281CDE" w:rsidP="00C45D26">
      <w:pPr>
        <w:numPr>
          <w:ilvl w:val="0"/>
          <w:numId w:val="42"/>
        </w:numPr>
        <w:spacing w:line="276" w:lineRule="auto"/>
        <w:rPr>
          <w:rFonts w:ascii="Times New Roman" w:eastAsia="Times New Roman" w:hAnsi="Times New Roman" w:cs="Times New Roman"/>
          <w:sz w:val="22"/>
          <w:szCs w:val="22"/>
        </w:rPr>
      </w:pPr>
      <w:r w:rsidRPr="00281CDE">
        <w:rPr>
          <w:rFonts w:ascii="Times New Roman" w:eastAsia="Times New Roman" w:hAnsi="Times New Roman" w:cs="Times New Roman"/>
          <w:sz w:val="22"/>
          <w:szCs w:val="22"/>
        </w:rPr>
        <w:t xml:space="preserve">Zhang, R., Yi, C., &amp; Chen, Y. (2020). Explainable Machine Learning for Regime-Based Asset Allocation. 2020 IEEE International Conference on Big Data (Big Data), 5480-5485. </w:t>
      </w:r>
      <w:hyperlink r:id="rId47">
        <w:r w:rsidRPr="00281CDE">
          <w:rPr>
            <w:rFonts w:ascii="Times New Roman" w:eastAsia="Times New Roman" w:hAnsi="Times New Roman" w:cs="Times New Roman"/>
            <w:i/>
            <w:sz w:val="22"/>
            <w:szCs w:val="22"/>
          </w:rPr>
          <w:t>https://doi.org/10.1109/BigData50022.2020.9378332</w:t>
        </w:r>
      </w:hyperlink>
      <w:bookmarkEnd w:id="0"/>
      <w:bookmarkEnd w:id="87"/>
      <w:bookmarkEnd w:id="89"/>
    </w:p>
    <w:sectPr w:rsidR="0066533F" w:rsidRPr="00F47C02" w:rsidSect="00D229B9">
      <w:pgSz w:w="12240" w:h="15840"/>
      <w:pgMar w:top="1440" w:right="2880" w:bottom="1440" w:left="28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7042B" w14:textId="77777777" w:rsidR="003E7BA0" w:rsidRDefault="003E7BA0">
      <w:pPr>
        <w:spacing w:after="0"/>
      </w:pPr>
      <w:r>
        <w:separator/>
      </w:r>
    </w:p>
  </w:endnote>
  <w:endnote w:type="continuationSeparator" w:id="0">
    <w:p w14:paraId="25A5F75E" w14:textId="77777777" w:rsidR="003E7BA0" w:rsidRDefault="003E7B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5C6C5" w14:textId="77777777" w:rsidR="003E7BA0" w:rsidRDefault="003E7BA0">
      <w:r>
        <w:separator/>
      </w:r>
    </w:p>
  </w:footnote>
  <w:footnote w:type="continuationSeparator" w:id="0">
    <w:p w14:paraId="7414A612" w14:textId="77777777" w:rsidR="003E7BA0" w:rsidRDefault="003E7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3475B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034E44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268F3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686102687">
    <w:abstractNumId w:val="1"/>
  </w:num>
  <w:num w:numId="2" w16cid:durableId="17389338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90219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18545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13725793">
    <w:abstractNumId w:val="2"/>
  </w:num>
  <w:num w:numId="6" w16cid:durableId="1962149040">
    <w:abstractNumId w:val="2"/>
  </w:num>
  <w:num w:numId="7" w16cid:durableId="1493988878">
    <w:abstractNumId w:val="2"/>
  </w:num>
  <w:num w:numId="8" w16cid:durableId="96948999">
    <w:abstractNumId w:val="2"/>
  </w:num>
  <w:num w:numId="9" w16cid:durableId="39863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180836">
    <w:abstractNumId w:val="2"/>
  </w:num>
  <w:num w:numId="11" w16cid:durableId="14083776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64163525">
    <w:abstractNumId w:val="2"/>
  </w:num>
  <w:num w:numId="13" w16cid:durableId="1533298200">
    <w:abstractNumId w:val="2"/>
  </w:num>
  <w:num w:numId="14" w16cid:durableId="137767456">
    <w:abstractNumId w:val="2"/>
  </w:num>
  <w:num w:numId="15" w16cid:durableId="277491154">
    <w:abstractNumId w:val="2"/>
  </w:num>
  <w:num w:numId="16" w16cid:durableId="1972979268">
    <w:abstractNumId w:val="2"/>
  </w:num>
  <w:num w:numId="17" w16cid:durableId="2120028799">
    <w:abstractNumId w:val="2"/>
  </w:num>
  <w:num w:numId="18" w16cid:durableId="1582982011">
    <w:abstractNumId w:val="2"/>
  </w:num>
  <w:num w:numId="19" w16cid:durableId="5710825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72787243">
    <w:abstractNumId w:val="2"/>
  </w:num>
  <w:num w:numId="21" w16cid:durableId="15943205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92170004">
    <w:abstractNumId w:val="2"/>
  </w:num>
  <w:num w:numId="23" w16cid:durableId="1084641651">
    <w:abstractNumId w:val="2"/>
  </w:num>
  <w:num w:numId="24" w16cid:durableId="2007976955">
    <w:abstractNumId w:val="2"/>
  </w:num>
  <w:num w:numId="25" w16cid:durableId="1925020297">
    <w:abstractNumId w:val="2"/>
  </w:num>
  <w:num w:numId="26" w16cid:durableId="376706920">
    <w:abstractNumId w:val="2"/>
  </w:num>
  <w:num w:numId="27" w16cid:durableId="1904901952">
    <w:abstractNumId w:val="2"/>
  </w:num>
  <w:num w:numId="28" w16cid:durableId="1090391862">
    <w:abstractNumId w:val="2"/>
  </w:num>
  <w:num w:numId="29" w16cid:durableId="418215098">
    <w:abstractNumId w:val="2"/>
  </w:num>
  <w:num w:numId="30" w16cid:durableId="716271998">
    <w:abstractNumId w:val="2"/>
  </w:num>
  <w:num w:numId="31" w16cid:durableId="223032893">
    <w:abstractNumId w:val="2"/>
  </w:num>
  <w:num w:numId="32" w16cid:durableId="552959860">
    <w:abstractNumId w:val="2"/>
  </w:num>
  <w:num w:numId="33" w16cid:durableId="1644895003">
    <w:abstractNumId w:val="2"/>
  </w:num>
  <w:num w:numId="34" w16cid:durableId="497232830">
    <w:abstractNumId w:val="2"/>
  </w:num>
  <w:num w:numId="35" w16cid:durableId="843594352">
    <w:abstractNumId w:val="2"/>
  </w:num>
  <w:num w:numId="36" w16cid:durableId="777675889">
    <w:abstractNumId w:val="2"/>
  </w:num>
  <w:num w:numId="37" w16cid:durableId="25375394">
    <w:abstractNumId w:val="2"/>
  </w:num>
  <w:num w:numId="38" w16cid:durableId="1535725578">
    <w:abstractNumId w:val="2"/>
  </w:num>
  <w:num w:numId="39" w16cid:durableId="487524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626458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87074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08799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216D"/>
    <w:rsid w:val="00046BE5"/>
    <w:rsid w:val="000C1C48"/>
    <w:rsid w:val="000F15E5"/>
    <w:rsid w:val="00101392"/>
    <w:rsid w:val="001979C6"/>
    <w:rsid w:val="001A6524"/>
    <w:rsid w:val="001E4C4B"/>
    <w:rsid w:val="002054C3"/>
    <w:rsid w:val="002246CC"/>
    <w:rsid w:val="00232EB0"/>
    <w:rsid w:val="00281CDE"/>
    <w:rsid w:val="00286988"/>
    <w:rsid w:val="002A34CF"/>
    <w:rsid w:val="002B6D66"/>
    <w:rsid w:val="002C557A"/>
    <w:rsid w:val="002F6042"/>
    <w:rsid w:val="003868A7"/>
    <w:rsid w:val="003E7BA0"/>
    <w:rsid w:val="00427422"/>
    <w:rsid w:val="004415C9"/>
    <w:rsid w:val="004468FF"/>
    <w:rsid w:val="004738C6"/>
    <w:rsid w:val="004A336F"/>
    <w:rsid w:val="004D144D"/>
    <w:rsid w:val="004D67AE"/>
    <w:rsid w:val="004E29B3"/>
    <w:rsid w:val="00511844"/>
    <w:rsid w:val="0052058F"/>
    <w:rsid w:val="005427C1"/>
    <w:rsid w:val="0057393D"/>
    <w:rsid w:val="00590D07"/>
    <w:rsid w:val="005B5740"/>
    <w:rsid w:val="005C1B90"/>
    <w:rsid w:val="00641F36"/>
    <w:rsid w:val="0066533F"/>
    <w:rsid w:val="006654DF"/>
    <w:rsid w:val="00710E7D"/>
    <w:rsid w:val="007229DB"/>
    <w:rsid w:val="00733ABF"/>
    <w:rsid w:val="00771F9A"/>
    <w:rsid w:val="007749AC"/>
    <w:rsid w:val="00784D58"/>
    <w:rsid w:val="00797919"/>
    <w:rsid w:val="007B7621"/>
    <w:rsid w:val="007D204C"/>
    <w:rsid w:val="007E3EDB"/>
    <w:rsid w:val="007E75ED"/>
    <w:rsid w:val="0080093E"/>
    <w:rsid w:val="00812E31"/>
    <w:rsid w:val="00880982"/>
    <w:rsid w:val="00893643"/>
    <w:rsid w:val="008C25D0"/>
    <w:rsid w:val="008D6863"/>
    <w:rsid w:val="0090391F"/>
    <w:rsid w:val="00927E25"/>
    <w:rsid w:val="00945EBE"/>
    <w:rsid w:val="0097307D"/>
    <w:rsid w:val="00992429"/>
    <w:rsid w:val="009A789D"/>
    <w:rsid w:val="009B753B"/>
    <w:rsid w:val="00A106D9"/>
    <w:rsid w:val="00A20B4B"/>
    <w:rsid w:val="00A92314"/>
    <w:rsid w:val="00AC7FB2"/>
    <w:rsid w:val="00B22D73"/>
    <w:rsid w:val="00B86B75"/>
    <w:rsid w:val="00B94C36"/>
    <w:rsid w:val="00BB44E7"/>
    <w:rsid w:val="00BB7859"/>
    <w:rsid w:val="00BC48D5"/>
    <w:rsid w:val="00C36279"/>
    <w:rsid w:val="00C41732"/>
    <w:rsid w:val="00C45D26"/>
    <w:rsid w:val="00C570A7"/>
    <w:rsid w:val="00C8288B"/>
    <w:rsid w:val="00CC223C"/>
    <w:rsid w:val="00CC4973"/>
    <w:rsid w:val="00CD4F73"/>
    <w:rsid w:val="00CE7893"/>
    <w:rsid w:val="00CF0440"/>
    <w:rsid w:val="00D229B9"/>
    <w:rsid w:val="00D3684C"/>
    <w:rsid w:val="00D7145D"/>
    <w:rsid w:val="00D75316"/>
    <w:rsid w:val="00DC5968"/>
    <w:rsid w:val="00DD3257"/>
    <w:rsid w:val="00E14E79"/>
    <w:rsid w:val="00E23C83"/>
    <w:rsid w:val="00E315A3"/>
    <w:rsid w:val="00E3531B"/>
    <w:rsid w:val="00E361F9"/>
    <w:rsid w:val="00E4550A"/>
    <w:rsid w:val="00E56252"/>
    <w:rsid w:val="00EA3755"/>
    <w:rsid w:val="00EF6881"/>
    <w:rsid w:val="00F040D5"/>
    <w:rsid w:val="00F13ED0"/>
    <w:rsid w:val="00F33A5B"/>
    <w:rsid w:val="00F47C02"/>
    <w:rsid w:val="00FD6602"/>
    <w:rsid w:val="00FE3C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850D"/>
  <w15:docId w15:val="{2B7EFD45-D443-E045-8BAA-50A3CABA7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itle" w:uiPriority="10"/>
    <w:lsdException w:name="Subtitle" w:uiPriority="11"/>
    <w:lsdException w:name="Strong" w:uiPriority="22" w:qFormat="1"/>
    <w:lsdException w:name="Emphasis" w:uiPriority="20"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156082"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156082"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156082"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156082"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link w:val="SubtitleChar"/>
    <w:uiPriority w:val="11"/>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link w:val="DateChar"/>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229B9"/>
    <w:rPr>
      <w:color w:val="605E5C"/>
      <w:shd w:val="clear" w:color="auto" w:fill="E1DFDD"/>
    </w:rPr>
  </w:style>
  <w:style w:type="character" w:styleId="FollowedHyperlink">
    <w:name w:val="FollowedHyperlink"/>
    <w:basedOn w:val="DefaultParagraphFont"/>
    <w:rsid w:val="00927E25"/>
    <w:rPr>
      <w:color w:val="96607D" w:themeColor="followedHyperlink"/>
      <w:u w:val="single"/>
    </w:rPr>
  </w:style>
  <w:style w:type="paragraph" w:styleId="HTMLPreformatted">
    <w:name w:val="HTML Preformatted"/>
    <w:basedOn w:val="Normal"/>
    <w:link w:val="HTMLPreformattedChar"/>
    <w:uiPriority w:val="99"/>
    <w:unhideWhenUsed/>
    <w:rsid w:val="000C1C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C1C48"/>
    <w:rPr>
      <w:rFonts w:ascii="Courier New" w:eastAsia="Times New Roman" w:hAnsi="Courier New" w:cs="Courier New"/>
      <w:sz w:val="20"/>
      <w:szCs w:val="20"/>
    </w:rPr>
  </w:style>
  <w:style w:type="numbering" w:customStyle="1" w:styleId="NoList1">
    <w:name w:val="No List1"/>
    <w:next w:val="NoList"/>
    <w:uiPriority w:val="99"/>
    <w:semiHidden/>
    <w:unhideWhenUsed/>
    <w:rsid w:val="00281CDE"/>
  </w:style>
  <w:style w:type="character" w:customStyle="1" w:styleId="Heading1Char">
    <w:name w:val="Heading 1 Char"/>
    <w:basedOn w:val="DefaultParagraphFont"/>
    <w:link w:val="Heading1"/>
    <w:uiPriority w:val="9"/>
    <w:rsid w:val="00281CDE"/>
    <w:rPr>
      <w:rFonts w:asciiTheme="majorHAnsi" w:eastAsiaTheme="majorEastAsia" w:hAnsiTheme="majorHAnsi" w:cstheme="majorBidi"/>
      <w:b/>
      <w:bCs/>
      <w:color w:val="156082" w:themeColor="accent1"/>
      <w:sz w:val="32"/>
      <w:szCs w:val="32"/>
    </w:rPr>
  </w:style>
  <w:style w:type="character" w:customStyle="1" w:styleId="Heading2Char">
    <w:name w:val="Heading 2 Char"/>
    <w:basedOn w:val="DefaultParagraphFont"/>
    <w:link w:val="Heading2"/>
    <w:uiPriority w:val="9"/>
    <w:rsid w:val="00281CDE"/>
    <w:rPr>
      <w:rFonts w:asciiTheme="majorHAnsi" w:eastAsiaTheme="majorEastAsia" w:hAnsiTheme="majorHAnsi" w:cstheme="majorBidi"/>
      <w:b/>
      <w:bCs/>
      <w:color w:val="156082" w:themeColor="accent1"/>
      <w:sz w:val="28"/>
      <w:szCs w:val="28"/>
    </w:rPr>
  </w:style>
  <w:style w:type="character" w:customStyle="1" w:styleId="Heading3Char">
    <w:name w:val="Heading 3 Char"/>
    <w:basedOn w:val="DefaultParagraphFont"/>
    <w:link w:val="Heading3"/>
    <w:uiPriority w:val="9"/>
    <w:rsid w:val="00281CDE"/>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281CDE"/>
    <w:rPr>
      <w:rFonts w:asciiTheme="majorHAnsi" w:eastAsiaTheme="majorEastAsia" w:hAnsiTheme="majorHAnsi" w:cstheme="majorBidi"/>
      <w:bCs/>
      <w:i/>
      <w:color w:val="156082" w:themeColor="accent1"/>
    </w:rPr>
  </w:style>
  <w:style w:type="character" w:customStyle="1" w:styleId="Heading5Char">
    <w:name w:val="Heading 5 Char"/>
    <w:basedOn w:val="DefaultParagraphFont"/>
    <w:link w:val="Heading5"/>
    <w:uiPriority w:val="9"/>
    <w:rsid w:val="00281CDE"/>
    <w:rPr>
      <w:rFonts w:asciiTheme="majorHAnsi" w:eastAsiaTheme="majorEastAsia" w:hAnsiTheme="majorHAnsi" w:cstheme="majorBidi"/>
      <w:iCs/>
      <w:color w:val="156082" w:themeColor="accent1"/>
    </w:rPr>
  </w:style>
  <w:style w:type="character" w:customStyle="1" w:styleId="Heading6Char">
    <w:name w:val="Heading 6 Char"/>
    <w:basedOn w:val="DefaultParagraphFont"/>
    <w:link w:val="Heading6"/>
    <w:uiPriority w:val="9"/>
    <w:rsid w:val="00281CDE"/>
    <w:rPr>
      <w:rFonts w:asciiTheme="majorHAnsi" w:eastAsiaTheme="majorEastAsia" w:hAnsiTheme="majorHAnsi" w:cstheme="majorBidi"/>
      <w:color w:val="156082" w:themeColor="accent1"/>
    </w:rPr>
  </w:style>
  <w:style w:type="character" w:customStyle="1" w:styleId="Heading7Char">
    <w:name w:val="Heading 7 Char"/>
    <w:basedOn w:val="DefaultParagraphFont"/>
    <w:link w:val="Heading7"/>
    <w:uiPriority w:val="9"/>
    <w:rsid w:val="00281CDE"/>
    <w:rPr>
      <w:rFonts w:asciiTheme="majorHAnsi" w:eastAsiaTheme="majorEastAsia" w:hAnsiTheme="majorHAnsi" w:cstheme="majorBidi"/>
      <w:color w:val="156082" w:themeColor="accent1"/>
    </w:rPr>
  </w:style>
  <w:style w:type="character" w:customStyle="1" w:styleId="Heading8Char">
    <w:name w:val="Heading 8 Char"/>
    <w:basedOn w:val="DefaultParagraphFont"/>
    <w:link w:val="Heading8"/>
    <w:uiPriority w:val="9"/>
    <w:rsid w:val="00281CDE"/>
    <w:rPr>
      <w:rFonts w:asciiTheme="majorHAnsi" w:eastAsiaTheme="majorEastAsia" w:hAnsiTheme="majorHAnsi" w:cstheme="majorBidi"/>
      <w:color w:val="156082" w:themeColor="accent1"/>
    </w:rPr>
  </w:style>
  <w:style w:type="character" w:customStyle="1" w:styleId="Heading9Char">
    <w:name w:val="Heading 9 Char"/>
    <w:basedOn w:val="DefaultParagraphFont"/>
    <w:link w:val="Heading9"/>
    <w:uiPriority w:val="9"/>
    <w:rsid w:val="00281CDE"/>
    <w:rPr>
      <w:rFonts w:asciiTheme="majorHAnsi" w:eastAsiaTheme="majorEastAsia" w:hAnsiTheme="majorHAnsi" w:cstheme="majorBidi"/>
      <w:color w:val="156082" w:themeColor="accent1"/>
    </w:rPr>
  </w:style>
  <w:style w:type="character" w:customStyle="1" w:styleId="BodyTextChar">
    <w:name w:val="Body Text Char"/>
    <w:basedOn w:val="DefaultParagraphFont"/>
    <w:link w:val="BodyText"/>
    <w:rsid w:val="00281CDE"/>
  </w:style>
  <w:style w:type="character" w:customStyle="1" w:styleId="TitleChar">
    <w:name w:val="Title Char"/>
    <w:basedOn w:val="DefaultParagraphFont"/>
    <w:link w:val="Title"/>
    <w:uiPriority w:val="10"/>
    <w:rsid w:val="00281CDE"/>
    <w:rPr>
      <w:rFonts w:asciiTheme="majorHAnsi" w:eastAsiaTheme="majorEastAsia" w:hAnsiTheme="majorHAnsi" w:cstheme="majorBidi"/>
      <w:b/>
      <w:bCs/>
      <w:color w:val="0F435C" w:themeColor="accent1" w:themeShade="B5"/>
      <w:sz w:val="36"/>
      <w:szCs w:val="36"/>
    </w:rPr>
  </w:style>
  <w:style w:type="character" w:customStyle="1" w:styleId="SubtitleChar">
    <w:name w:val="Subtitle Char"/>
    <w:basedOn w:val="DefaultParagraphFont"/>
    <w:link w:val="Subtitle"/>
    <w:uiPriority w:val="11"/>
    <w:rsid w:val="00281CDE"/>
    <w:rPr>
      <w:rFonts w:asciiTheme="majorHAnsi" w:eastAsiaTheme="majorEastAsia" w:hAnsiTheme="majorHAnsi" w:cstheme="majorBidi"/>
      <w:b/>
      <w:bCs/>
      <w:color w:val="0F435C" w:themeColor="accent1" w:themeShade="B5"/>
      <w:sz w:val="30"/>
      <w:szCs w:val="30"/>
    </w:rPr>
  </w:style>
  <w:style w:type="character" w:customStyle="1" w:styleId="DateChar">
    <w:name w:val="Date Char"/>
    <w:basedOn w:val="DefaultParagraphFont"/>
    <w:link w:val="Date"/>
    <w:rsid w:val="00281CDE"/>
  </w:style>
  <w:style w:type="character" w:customStyle="1" w:styleId="FootnoteTextChar">
    <w:name w:val="Footnote Text Char"/>
    <w:basedOn w:val="DefaultParagraphFont"/>
    <w:link w:val="FootnoteText"/>
    <w:uiPriority w:val="9"/>
    <w:rsid w:val="00281CDE"/>
  </w:style>
  <w:style w:type="table" w:customStyle="1" w:styleId="Table1">
    <w:name w:val="Table1"/>
    <w:semiHidden/>
    <w:unhideWhenUsed/>
    <w:qFormat/>
    <w:rsid w:val="00281CDE"/>
    <w:pPr>
      <w:spacing w:line="276" w:lineRule="auto"/>
    </w:pPr>
    <w:rPr>
      <w:rFonts w:ascii="Times New Roman" w:eastAsia="Times New Roman" w:hAnsi="Times New Roman" w:cs="Times New Roman"/>
      <w:sz w:val="22"/>
      <w:szCs w:val="22"/>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Strong">
    <w:name w:val="Strong"/>
    <w:uiPriority w:val="22"/>
    <w:qFormat/>
    <w:rsid w:val="00281CDE"/>
    <w:rPr>
      <w:b/>
      <w:bCs/>
    </w:rPr>
  </w:style>
  <w:style w:type="character" w:styleId="Emphasis">
    <w:name w:val="Emphasis"/>
    <w:uiPriority w:val="20"/>
    <w:qFormat/>
    <w:rsid w:val="00281CDE"/>
    <w:rPr>
      <w:b/>
      <w:bCs/>
      <w:i/>
      <w:iCs/>
      <w:spacing w:val="10"/>
    </w:rPr>
  </w:style>
  <w:style w:type="paragraph" w:customStyle="1" w:styleId="NoSpacing1">
    <w:name w:val="No Spacing1"/>
    <w:basedOn w:val="Normal"/>
    <w:next w:val="NoSpacing"/>
    <w:uiPriority w:val="1"/>
    <w:qFormat/>
    <w:rsid w:val="00281CDE"/>
    <w:pPr>
      <w:spacing w:after="0"/>
    </w:pPr>
    <w:rPr>
      <w:rFonts w:ascii="Times New Roman" w:eastAsia="Times New Roman" w:hAnsi="Times New Roman" w:cs="Times New Roman"/>
      <w:sz w:val="22"/>
      <w:szCs w:val="22"/>
    </w:rPr>
  </w:style>
  <w:style w:type="paragraph" w:customStyle="1" w:styleId="ListParagraph1">
    <w:name w:val="List Paragraph1"/>
    <w:basedOn w:val="Normal"/>
    <w:next w:val="ListParagraph"/>
    <w:uiPriority w:val="34"/>
    <w:qFormat/>
    <w:rsid w:val="00281CDE"/>
    <w:pPr>
      <w:spacing w:line="276" w:lineRule="auto"/>
      <w:ind w:left="720"/>
      <w:contextualSpacing/>
    </w:pPr>
    <w:rPr>
      <w:rFonts w:ascii="Times New Roman" w:eastAsia="Times New Roman" w:hAnsi="Times New Roman" w:cs="Times New Roman"/>
      <w:sz w:val="22"/>
      <w:szCs w:val="22"/>
    </w:rPr>
  </w:style>
  <w:style w:type="paragraph" w:customStyle="1" w:styleId="Quote1">
    <w:name w:val="Quote1"/>
    <w:basedOn w:val="Normal"/>
    <w:next w:val="Normal"/>
    <w:uiPriority w:val="29"/>
    <w:qFormat/>
    <w:rsid w:val="00281CDE"/>
    <w:pPr>
      <w:spacing w:line="276" w:lineRule="auto"/>
    </w:pPr>
    <w:rPr>
      <w:rFonts w:ascii="Times New Roman" w:eastAsia="Times New Roman" w:hAnsi="Times New Roman" w:cs="Times New Roman"/>
      <w:i/>
      <w:iCs/>
      <w:sz w:val="22"/>
      <w:szCs w:val="22"/>
    </w:rPr>
  </w:style>
  <w:style w:type="character" w:customStyle="1" w:styleId="QuoteChar">
    <w:name w:val="Quote Char"/>
    <w:basedOn w:val="DefaultParagraphFont"/>
    <w:link w:val="Quote"/>
    <w:uiPriority w:val="29"/>
    <w:rsid w:val="00281CDE"/>
    <w:rPr>
      <w:i/>
      <w:iCs/>
    </w:rPr>
  </w:style>
  <w:style w:type="paragraph" w:customStyle="1" w:styleId="IntenseQuote1">
    <w:name w:val="Intense Quote1"/>
    <w:basedOn w:val="Normal"/>
    <w:next w:val="Normal"/>
    <w:uiPriority w:val="30"/>
    <w:qFormat/>
    <w:rsid w:val="00281CDE"/>
    <w:pPr>
      <w:pBdr>
        <w:top w:val="single" w:sz="4" w:space="10" w:color="auto"/>
        <w:bottom w:val="single" w:sz="4" w:space="10" w:color="auto"/>
      </w:pBdr>
      <w:spacing w:before="240" w:after="240" w:line="300" w:lineRule="auto"/>
      <w:ind w:left="1152" w:right="1152"/>
      <w:jc w:val="both"/>
    </w:pPr>
    <w:rPr>
      <w:rFonts w:ascii="Times New Roman" w:eastAsia="Times New Roman" w:hAnsi="Times New Roman" w:cs="Times New Roman"/>
      <w:i/>
      <w:iCs/>
      <w:sz w:val="22"/>
      <w:szCs w:val="22"/>
    </w:rPr>
  </w:style>
  <w:style w:type="character" w:customStyle="1" w:styleId="IntenseQuoteChar">
    <w:name w:val="Intense Quote Char"/>
    <w:basedOn w:val="DefaultParagraphFont"/>
    <w:link w:val="IntenseQuote"/>
    <w:uiPriority w:val="30"/>
    <w:rsid w:val="00281CDE"/>
    <w:rPr>
      <w:i/>
      <w:iCs/>
    </w:rPr>
  </w:style>
  <w:style w:type="character" w:styleId="SubtleEmphasis">
    <w:name w:val="Subtle Emphasis"/>
    <w:uiPriority w:val="19"/>
    <w:qFormat/>
    <w:rsid w:val="00281CDE"/>
    <w:rPr>
      <w:i/>
      <w:iCs/>
    </w:rPr>
  </w:style>
  <w:style w:type="character" w:styleId="IntenseEmphasis">
    <w:name w:val="Intense Emphasis"/>
    <w:uiPriority w:val="21"/>
    <w:qFormat/>
    <w:rsid w:val="00281CDE"/>
    <w:rPr>
      <w:b/>
      <w:bCs/>
      <w:i/>
      <w:iCs/>
    </w:rPr>
  </w:style>
  <w:style w:type="character" w:styleId="SubtleReference">
    <w:name w:val="Subtle Reference"/>
    <w:basedOn w:val="DefaultParagraphFont"/>
    <w:uiPriority w:val="31"/>
    <w:qFormat/>
    <w:rsid w:val="00281CDE"/>
    <w:rPr>
      <w:smallCaps/>
    </w:rPr>
  </w:style>
  <w:style w:type="character" w:styleId="IntenseReference">
    <w:name w:val="Intense Reference"/>
    <w:uiPriority w:val="32"/>
    <w:qFormat/>
    <w:rsid w:val="00281CDE"/>
    <w:rPr>
      <w:b/>
      <w:bCs/>
      <w:smallCaps/>
    </w:rPr>
  </w:style>
  <w:style w:type="character" w:styleId="BookTitle">
    <w:name w:val="Book Title"/>
    <w:basedOn w:val="DefaultParagraphFont"/>
    <w:uiPriority w:val="33"/>
    <w:qFormat/>
    <w:rsid w:val="00281CDE"/>
    <w:rPr>
      <w:i/>
      <w:iCs/>
      <w:smallCaps/>
      <w:spacing w:val="5"/>
    </w:rPr>
  </w:style>
  <w:style w:type="paragraph" w:styleId="NoSpacing">
    <w:name w:val="No Spacing"/>
    <w:rsid w:val="00281CDE"/>
    <w:pPr>
      <w:spacing w:after="0"/>
    </w:pPr>
  </w:style>
  <w:style w:type="paragraph" w:styleId="ListParagraph">
    <w:name w:val="List Paragraph"/>
    <w:basedOn w:val="Normal"/>
    <w:rsid w:val="00281CDE"/>
    <w:pPr>
      <w:ind w:left="720"/>
      <w:contextualSpacing/>
    </w:pPr>
  </w:style>
  <w:style w:type="paragraph" w:styleId="Quote">
    <w:name w:val="Quote"/>
    <w:basedOn w:val="Normal"/>
    <w:next w:val="Normal"/>
    <w:link w:val="QuoteChar"/>
    <w:uiPriority w:val="29"/>
    <w:rsid w:val="00281CDE"/>
    <w:pPr>
      <w:spacing w:before="200" w:after="160"/>
      <w:ind w:left="864" w:right="864"/>
      <w:jc w:val="center"/>
    </w:pPr>
    <w:rPr>
      <w:i/>
      <w:iCs/>
    </w:rPr>
  </w:style>
  <w:style w:type="character" w:customStyle="1" w:styleId="QuoteChar1">
    <w:name w:val="Quote Char1"/>
    <w:basedOn w:val="DefaultParagraphFont"/>
    <w:rsid w:val="00281CDE"/>
    <w:rPr>
      <w:i/>
      <w:iCs/>
      <w:color w:val="404040" w:themeColor="text1" w:themeTint="BF"/>
    </w:rPr>
  </w:style>
  <w:style w:type="paragraph" w:styleId="IntenseQuote">
    <w:name w:val="Intense Quote"/>
    <w:basedOn w:val="Normal"/>
    <w:next w:val="Normal"/>
    <w:link w:val="IntenseQuoteChar"/>
    <w:uiPriority w:val="30"/>
    <w:rsid w:val="00281CDE"/>
    <w:pPr>
      <w:pBdr>
        <w:top w:val="single" w:sz="4" w:space="10" w:color="156082" w:themeColor="accent1"/>
        <w:bottom w:val="single" w:sz="4" w:space="10" w:color="156082" w:themeColor="accent1"/>
      </w:pBdr>
      <w:spacing w:before="360" w:after="360"/>
      <w:ind w:left="864" w:right="864"/>
      <w:jc w:val="center"/>
    </w:pPr>
    <w:rPr>
      <w:i/>
      <w:iCs/>
    </w:rPr>
  </w:style>
  <w:style w:type="character" w:customStyle="1" w:styleId="IntenseQuoteChar1">
    <w:name w:val="Intense Quote Char1"/>
    <w:basedOn w:val="DefaultParagraphFont"/>
    <w:rsid w:val="00281CDE"/>
    <w:rPr>
      <w:i/>
      <w:iCs/>
      <w:color w:val="156082" w:themeColor="accent1"/>
    </w:rPr>
  </w:style>
  <w:style w:type="table" w:styleId="TableGrid">
    <w:name w:val="Table Grid"/>
    <w:basedOn w:val="TableNormal"/>
    <w:rsid w:val="00CD4F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najef.2024.102147" TargetMode="External"/><Relationship Id="rId18" Type="http://schemas.openxmlformats.org/officeDocument/2006/relationships/hyperlink" Target="https://doi.org/10.1016/j.mlwa.2023.100508" TargetMode="External"/><Relationship Id="rId26" Type="http://schemas.openxmlformats.org/officeDocument/2006/relationships/hyperlink" Target="https://doi.org/10.2139/ssrn.3475258" TargetMode="External"/><Relationship Id="rId39" Type="http://schemas.openxmlformats.org/officeDocument/2006/relationships/hyperlink" Target="https://doi.org/10.2991/978-94-6463-835-6_47" TargetMode="External"/><Relationship Id="rId21" Type="http://schemas.openxmlformats.org/officeDocument/2006/relationships/hyperlink" Target="https://doi.org/10.1016/j.intfin.2020.101188" TargetMode="External"/><Relationship Id="rId34" Type="http://schemas.openxmlformats.org/officeDocument/2006/relationships/hyperlink" Target="https://doi.org/10.1016/j.jbankfin.2017.07.002" TargetMode="External"/><Relationship Id="rId42" Type="http://schemas.openxmlformats.org/officeDocument/2006/relationships/hyperlink" Target="https://doi.org/10.9781/ijimai.2023.06.003" TargetMode="External"/><Relationship Id="rId47" Type="http://schemas.openxmlformats.org/officeDocument/2006/relationships/hyperlink" Target="https://doi.org/10.1109/BigData50022.2020.937833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bdcc8080087" TargetMode="External"/><Relationship Id="rId29" Type="http://schemas.openxmlformats.org/officeDocument/2006/relationships/hyperlink" Target="https://doi.org/10.3390/ijfs13020075" TargetMode="External"/><Relationship Id="rId11" Type="http://schemas.openxmlformats.org/officeDocument/2006/relationships/hyperlink" Target="https://doi.org/10.1016/j.jocs.2010.12.007" TargetMode="External"/><Relationship Id="rId24" Type="http://schemas.openxmlformats.org/officeDocument/2006/relationships/hyperlink" Target="https://arxiv.org/abs/2401.05215" TargetMode="External"/><Relationship Id="rId32" Type="http://schemas.openxmlformats.org/officeDocument/2006/relationships/hyperlink" Target="https://doi.org/10.3390/math13081317" TargetMode="External"/><Relationship Id="rId37" Type="http://schemas.openxmlformats.org/officeDocument/2006/relationships/hyperlink" Target="https://doi.org/10.1016/j.dss.2024.114362" TargetMode="External"/><Relationship Id="rId40" Type="http://schemas.openxmlformats.org/officeDocument/2006/relationships/hyperlink" Target="https://doi.org/10.1057/s41260-024-00376-x" TargetMode="External"/><Relationship Id="rId45" Type="http://schemas.openxmlformats.org/officeDocument/2006/relationships/hyperlink" Target="https://doi.org/10.1371/journal.pone.0300781" TargetMode="External"/><Relationship Id="rId5" Type="http://schemas.openxmlformats.org/officeDocument/2006/relationships/webSettings" Target="webSettings.xml"/><Relationship Id="rId15" Type="http://schemas.openxmlformats.org/officeDocument/2006/relationships/hyperlink" Target="https://doi.org/10.1016/j.iswa.2025.200518" TargetMode="External"/><Relationship Id="rId23" Type="http://schemas.openxmlformats.org/officeDocument/2006/relationships/hyperlink" Target="https://doi.org/10.1111/j.1540-6261.2010.01625.x" TargetMode="External"/><Relationship Id="rId28" Type="http://schemas.openxmlformats.org/officeDocument/2006/relationships/hyperlink" Target="https://doi.org/10.1109/ACCESS.2020.3009626" TargetMode="External"/><Relationship Id="rId36" Type="http://schemas.openxmlformats.org/officeDocument/2006/relationships/hyperlink" Target="https://doi.org/10.1109/icssas66150.2025.11081061" TargetMode="External"/><Relationship Id="rId49" Type="http://schemas.openxmlformats.org/officeDocument/2006/relationships/theme" Target="theme/theme1.xml"/><Relationship Id="rId10" Type="http://schemas.openxmlformats.org/officeDocument/2006/relationships/hyperlink" Target="https://doi.org/10.1257/jep.21.2.129" TargetMode="External"/><Relationship Id="rId19" Type="http://schemas.openxmlformats.org/officeDocument/2006/relationships/hyperlink" Target="https://arxiv.org/abs/2411.05791" TargetMode="External"/><Relationship Id="rId31" Type="http://schemas.openxmlformats.org/officeDocument/2006/relationships/hyperlink" Target="https://doi.org/10.26794/2308-944X-2023-11-4-84-94" TargetMode="External"/><Relationship Id="rId44" Type="http://schemas.openxmlformats.org/officeDocument/2006/relationships/hyperlink" Target="https://doi.org/10.57017/jaes.v20.3(89).11" TargetMode="External"/><Relationship Id="rId4" Type="http://schemas.openxmlformats.org/officeDocument/2006/relationships/settings" Target="settings.xml"/><Relationship Id="rId9" Type="http://schemas.openxmlformats.org/officeDocument/2006/relationships/hyperlink" Target="https://doi.org/10.48550/arxiv.1908.10063" TargetMode="External"/><Relationship Id="rId14" Type="http://schemas.openxmlformats.org/officeDocument/2006/relationships/hyperlink" Target="https://doi.org/10.3390/e27040345" TargetMode="External"/><Relationship Id="rId22" Type="http://schemas.openxmlformats.org/officeDocument/2006/relationships/hyperlink" Target="https://doi.org/10.1109/ACCESS.2024.3445413" TargetMode="External"/><Relationship Id="rId27" Type="http://schemas.openxmlformats.org/officeDocument/2006/relationships/hyperlink" Target="https://doi.org/10.1007/s10614-025-10901-8" TargetMode="External"/><Relationship Id="rId30" Type="http://schemas.openxmlformats.org/officeDocument/2006/relationships/hyperlink" Target="https://doi.org/10.1186/s40854-024-00675-7" TargetMode="External"/><Relationship Id="rId35" Type="http://schemas.openxmlformats.org/officeDocument/2006/relationships/hyperlink" Target="https://doi.org/10.3390/bdcc8060063" TargetMode="External"/><Relationship Id="rId43" Type="http://schemas.openxmlformats.org/officeDocument/2006/relationships/hyperlink" Target="https://doi.org/10.1016/j.nlp.2025.100148" TargetMode="External"/><Relationship Id="rId48" Type="http://schemas.openxmlformats.org/officeDocument/2006/relationships/fontTable" Target="fontTable.xml"/><Relationship Id="rId8" Type="http://schemas.openxmlformats.org/officeDocument/2006/relationships/hyperlink" Target="mailto:jrocha@smu.edu" TargetMode="External"/><Relationship Id="rId3" Type="http://schemas.openxmlformats.org/officeDocument/2006/relationships/styles" Target="styles.xml"/><Relationship Id="rId12" Type="http://schemas.openxmlformats.org/officeDocument/2006/relationships/hyperlink" Target="https://doi.org/10.1016/j.physa.2022.126983" TargetMode="External"/><Relationship Id="rId17" Type="http://schemas.openxmlformats.org/officeDocument/2006/relationships/hyperlink" Target="https://doi.org/10.1002/isaf.70015" TargetMode="External"/><Relationship Id="rId25" Type="http://schemas.openxmlformats.org/officeDocument/2006/relationships/hyperlink" Target="https://doi.org/10.1109/idciot64235.2025.10914764" TargetMode="External"/><Relationship Id="rId33" Type="http://schemas.openxmlformats.org/officeDocument/2006/relationships/hyperlink" Target="https://arxiv.org/abs/2204.10185" TargetMode="External"/><Relationship Id="rId38" Type="http://schemas.openxmlformats.org/officeDocument/2006/relationships/hyperlink" Target="https://doi.org/10.1109/ICPICS62053.2024.10796670" TargetMode="External"/><Relationship Id="rId46" Type="http://schemas.openxmlformats.org/officeDocument/2006/relationships/hyperlink" Target="https://arxiv.org/abs/2504.04292" TargetMode="External"/><Relationship Id="rId20" Type="http://schemas.openxmlformats.org/officeDocument/2006/relationships/hyperlink" Target="https://arxiv.org/abs/2403.12285" TargetMode="External"/><Relationship Id="rId41" Type="http://schemas.openxmlformats.org/officeDocument/2006/relationships/hyperlink" Target="https://doi.org/10.1080/15427560.2021.191757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1EA08-24B3-BD48-A87E-865A0B9F6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16879</Words>
  <Characters>96216</Characters>
  <Application>Microsoft Office Word</Application>
  <DocSecurity>0</DocSecurity>
  <Lines>801</Lines>
  <Paragraphs>225</Paragraphs>
  <ScaleCrop>false</ScaleCrop>
  <Company/>
  <LinksUpToDate>false</LinksUpToDate>
  <CharactersWithSpaces>112870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Jonathan Rocha</dc:creator>
  <cp:keywords/>
  <cp:lastModifiedBy>Jonathan Rocha</cp:lastModifiedBy>
  <cp:revision>2</cp:revision>
  <cp:lastPrinted>2026-01-27T02:55:00Z</cp:lastPrinted>
  <dcterms:created xsi:type="dcterms:W3CDTF">2026-02-15T22:30:00Z</dcterms:created>
  <dcterms:modified xsi:type="dcterms:W3CDTF">2026-02-15T22:30:00Z</dcterms:modified>
</cp:coreProperties>
</file>