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i/>
          <w:color w:val="55657A"/>
          <w:sz w:val="19"/>
        </w:rPr>
        <w:t>Bogota, 28 de mayo de 2026</w:t>
      </w:r>
    </w:p>
    <w:p/>
    <w:p>
      <w:pPr>
        <w:jc w:val="center"/>
      </w:pPr>
      <w:r>
        <w:rPr>
          <w:rFonts w:ascii="Calibri" w:hAnsi="Calibri"/>
          <w:b/>
          <w:color w:val="1A3A5C"/>
          <w:sz w:val="32"/>
        </w:rPr>
        <w:t>CARGA TRANSPORTADA</w:t>
      </w:r>
    </w:p>
    <w:p>
      <w:pPr>
        <w:jc w:val="center"/>
      </w:pPr>
      <w:r>
        <w:rPr>
          <w:rFonts w:ascii="Calibri" w:hAnsi="Calibri"/>
          <w:b/>
          <w:color w:val="1A3A5C"/>
          <w:sz w:val="26"/>
        </w:rPr>
        <w:t>Corredor Ferreo Cienaga - La Dorada</w:t>
      </w:r>
    </w:p>
    <w:p>
      <w:pPr>
        <w:jc w:val="center"/>
      </w:pPr>
      <w:r>
        <w:rPr>
          <w:rFonts w:ascii="Calibri" w:hAnsi="Calibri"/>
          <w:i/>
          <w:color w:val="55657A"/>
          <w:sz w:val="20"/>
        </w:rPr>
        <w:t>Periodo: Marzo - Mayo 2026  |  Unidad: Toneladas metricas (t)</w:t>
      </w:r>
    </w:p>
    <w:p>
      <w:pPr>
        <w:spacing w:before="80" w:after="200"/>
        <w:pBdr>
          <w:bottom w:val="single" w:sz="12" w:space="1" w:color="1A3A5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510"/>
        </w:trPr>
        <w:tc>
          <w:tcPr>
            <w:tcW w:type="dxa" w:w="2381"/>
            <w:shd w:val="clear" w:color="auto" w:fill="1A3A5C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Tipo de Carga</w:t>
            </w:r>
          </w:p>
        </w:tc>
        <w:tc>
          <w:tcPr>
            <w:tcW w:type="dxa" w:w="2041"/>
            <w:shd w:val="clear" w:color="auto" w:fill="1A3A5C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1587"/>
            <w:shd w:val="clear" w:color="auto" w:fill="1A3A5C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Marzo 2026</w:t>
            </w:r>
          </w:p>
        </w:tc>
        <w:tc>
          <w:tcPr>
            <w:tcW w:type="dxa" w:w="1587"/>
            <w:shd w:val="clear" w:color="auto" w:fill="1A3A5C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Abril 2026</w:t>
            </w:r>
          </w:p>
        </w:tc>
        <w:tc>
          <w:tcPr>
            <w:tcW w:type="dxa" w:w="1587"/>
            <w:shd w:val="clear" w:color="auto" w:fill="1A3A5C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Mayo 2026</w:t>
            </w:r>
          </w:p>
        </w:tc>
        <w:tc>
          <w:tcPr>
            <w:tcW w:type="dxa" w:w="1587"/>
            <w:shd w:val="clear" w:color="auto" w:fill="1A3A5C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Papel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GNL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1.732,7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135,1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644,8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2.512,6</w:t>
            </w:r>
          </w:p>
        </w:tc>
      </w:tr>
      <w:tr>
        <w:tc>
          <w:tcPr>
            <w:tcW w:type="dxa" w:w="2381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Acero - Varilla</w:t>
            </w:r>
          </w:p>
        </w:tc>
        <w:tc>
          <w:tcPr>
            <w:tcW w:type="dxa" w:w="2041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Ternium Steel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1.043,0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634,1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877,6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2.554,7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Acero - Palanquilla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Diaco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532,2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323,6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136,4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992,2</w:t>
            </w:r>
          </w:p>
        </w:tc>
      </w:tr>
      <w:tr>
        <w:tc>
          <w:tcPr>
            <w:tcW w:type="dxa" w:w="2381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Bebidas</w:t>
            </w:r>
          </w:p>
        </w:tc>
        <w:tc>
          <w:tcPr>
            <w:tcW w:type="dxa" w:w="2041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Postobon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1.183,7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1.026,1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1.179,0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3.388,8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Bebidas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Bavaria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468,0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270,7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374,3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1.113,0</w:t>
            </w:r>
          </w:p>
        </w:tc>
      </w:tr>
      <w:tr>
        <w:tc>
          <w:tcPr>
            <w:tcW w:type="dxa" w:w="2381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Estibas</w:t>
            </w:r>
          </w:p>
        </w:tc>
        <w:tc>
          <w:tcPr>
            <w:tcW w:type="dxa" w:w="2041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Transferport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8,0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--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--</w:t>
            </w:r>
          </w:p>
        </w:tc>
        <w:tc>
          <w:tcPr>
            <w:tcW w:type="dxa" w:w="1587"/>
            <w:shd w:val="clear" w:color="auto" w:fill="F5F7F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8,0</w:t>
            </w:r>
          </w:p>
        </w:tc>
      </w:tr>
      <w:tr>
        <w:trPr>
          <w:trHeight w:val="482"/>
        </w:trPr>
        <w:tc>
          <w:tcPr>
            <w:tcW w:type="dxa" w:w="2381"/>
            <w:shd w:val="clear" w:color="auto" w:fill="DDE8F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A3A5C"/>
                <w:sz w:val="21"/>
              </w:rPr>
              <w:t>TOTAL</w:t>
            </w:r>
          </w:p>
        </w:tc>
        <w:tc>
          <w:tcPr>
            <w:tcW w:type="dxa" w:w="2041"/>
            <w:shd w:val="clear" w:color="auto" w:fill="DDE8F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A3A5C"/>
                <w:sz w:val="21"/>
              </w:rPr>
            </w:r>
          </w:p>
        </w:tc>
        <w:tc>
          <w:tcPr>
            <w:tcW w:type="dxa" w:w="1587"/>
            <w:shd w:val="clear" w:color="auto" w:fill="DDE8F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A3A5C"/>
                <w:sz w:val="21"/>
              </w:rPr>
              <w:t>4.967,6</w:t>
            </w:r>
          </w:p>
        </w:tc>
        <w:tc>
          <w:tcPr>
            <w:tcW w:type="dxa" w:w="1587"/>
            <w:shd w:val="clear" w:color="auto" w:fill="DDE8F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A3A5C"/>
                <w:sz w:val="21"/>
              </w:rPr>
              <w:t>2.389,6</w:t>
            </w:r>
          </w:p>
        </w:tc>
        <w:tc>
          <w:tcPr>
            <w:tcW w:type="dxa" w:w="1587"/>
            <w:shd w:val="clear" w:color="auto" w:fill="DDE8F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A3A5C"/>
                <w:sz w:val="21"/>
              </w:rPr>
              <w:t>3.212,2</w:t>
            </w:r>
          </w:p>
        </w:tc>
        <w:tc>
          <w:tcPr>
            <w:tcW w:type="dxa" w:w="1587"/>
            <w:shd w:val="clear" w:color="auto" w:fill="DDE8F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A3A5C"/>
                <w:sz w:val="21"/>
              </w:rPr>
              <w:t>10.569,4</w:t>
            </w:r>
          </w:p>
        </w:tc>
      </w:tr>
    </w:tbl>
    <w:p/>
    <w:p>
      <w:pPr>
        <w:ind w:left="170"/>
      </w:pPr>
      <w:r>
        <w:rPr>
          <w:rFonts w:ascii="Calibri" w:hAnsi="Calibri"/>
          <w:i/>
          <w:color w:val="55657A"/>
          <w:sz w:val="18"/>
        </w:rPr>
        <w:t>Nota: Corresponde a 12 trenes intermodales operados en el periodo (6 en la direccion Cienaga -&gt; La Dorada y 6 en La Dorada -&gt; Cienaga). Las cifras incluyen toda la carga movilizada en ambos sentidos del corredor.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