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1EFD" w14:textId="77777777" w:rsidR="00D96F70" w:rsidRDefault="00000000">
      <w:pPr>
        <w:pStyle w:val="Heading1"/>
        <w:spacing w:after="200"/>
        <w:jc w:val="center"/>
      </w:pPr>
      <w:r>
        <w:t>AI Adoption &amp; Workforce Impact Analysis Report</w:t>
      </w:r>
    </w:p>
    <w:p w14:paraId="7FB6AF24" w14:textId="77777777" w:rsidR="00D96F70" w:rsidRDefault="00000000">
      <w:pPr>
        <w:spacing w:after="120"/>
      </w:pPr>
      <w:r>
        <w:rPr>
          <w:b/>
          <w:bCs/>
        </w:rPr>
        <w:t>Random Forest &amp; XGBoost Revenue Growth Prediction + Comprehensive EDA</w:t>
      </w:r>
      <w:r>
        <w:br/>
        <w:t xml:space="preserve">Prepared from </w:t>
      </w:r>
      <w:r>
        <w:rPr>
          <w:rFonts w:ascii="Courier New" w:eastAsia="Courier New" w:hAnsi="Courier New" w:cs="Courier New"/>
          <w:shd w:val="clear" w:color="auto" w:fill="F1F5F9"/>
        </w:rPr>
        <w:t>eda_analysis.ipynb</w:t>
      </w:r>
      <w:r>
        <w:t xml:space="preserve"> (BigQuery dataset </w:t>
      </w:r>
      <w:r>
        <w:rPr>
          <w:rFonts w:ascii="Courier New" w:eastAsia="Courier New" w:hAnsi="Courier New" w:cs="Courier New"/>
          <w:shd w:val="clear" w:color="auto" w:fill="F1F5F9"/>
        </w:rPr>
        <w:t>ai_adoption_dw.fact_ai_survey</w:t>
      </w:r>
      <w:r>
        <w:t>, 2023–2026)</w:t>
      </w:r>
    </w:p>
    <w:p w14:paraId="1E69F31D" w14:textId="77777777" w:rsidR="00D96F70" w:rsidRDefault="00000000">
      <w:pPr>
        <w:spacing w:after="200"/>
      </w:pPr>
      <w:r>
        <w:t xml:space="preserve"> </w:t>
      </w:r>
    </w:p>
    <w:p w14:paraId="61A05CE6" w14:textId="77777777" w:rsidR="00D96F70" w:rsidRDefault="00000000">
      <w:pPr>
        <w:pStyle w:val="Heading2"/>
        <w:spacing w:after="200"/>
      </w:pPr>
      <w:r>
        <w:t>Executive Summary</w:t>
      </w:r>
    </w:p>
    <w:p w14:paraId="6018DAB0" w14:textId="77777777" w:rsidR="00D96F70" w:rsidRDefault="00000000">
      <w:pPr>
        <w:spacing w:after="120"/>
      </w:pPr>
      <w:r>
        <w:t xml:space="preserve">Analysis of ~150,000 survey responses from 10,000 global companies shows clear monotonic benefits as firms advance from </w:t>
      </w:r>
      <w:r>
        <w:rPr>
          <w:b/>
          <w:bCs/>
        </w:rPr>
        <w:t>Exploring → Transforming</w:t>
      </w:r>
      <w:r>
        <w:t xml:space="preserve"> adoption stages:</w:t>
      </w:r>
    </w:p>
    <w:p w14:paraId="348A8ACC" w14:textId="77777777" w:rsidR="00D96F70" w:rsidRDefault="00000000">
      <w:pPr>
        <w:spacing w:after="200"/>
      </w:pPr>
      <w:r>
        <w:t xml:space="preserve"> </w:t>
      </w:r>
    </w:p>
    <w:p w14:paraId="41FB8D6D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Productivity gains scale ~6–8×  </w:t>
      </w:r>
    </w:p>
    <w:p w14:paraId="6A6D55DA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Revenue growth improves moderately but consistently  </w:t>
      </w:r>
    </w:p>
    <w:p w14:paraId="7F83826E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Net employment impact turns positive and stabilizes at scale</w:t>
      </w:r>
    </w:p>
    <w:p w14:paraId="732FA7ED" w14:textId="77777777" w:rsidR="00D96F70" w:rsidRDefault="00000000">
      <w:pPr>
        <w:spacing w:after="200"/>
      </w:pPr>
      <w:r>
        <w:t xml:space="preserve"> </w:t>
      </w:r>
    </w:p>
    <w:p w14:paraId="064A1395" w14:textId="77777777" w:rsidR="00D96F70" w:rsidRDefault="00000000">
      <w:pPr>
        <w:spacing w:after="120"/>
      </w:pPr>
      <w:r>
        <w:t>Descriptive EDA (stage-based trends, binned averages, scatter plots) provides the strongest, most interpretable evidence. Supervised ML models (Random Forest → XGBoost) explain only ~23% of quarterly revenue growth variance — confirming that this outcome is too noisy for reliable predictive modeling in observational survey data.</w:t>
      </w:r>
    </w:p>
    <w:p w14:paraId="62DDDE91" w14:textId="77777777" w:rsidR="00D96F70" w:rsidRDefault="00000000">
      <w:pPr>
        <w:spacing w:after="200"/>
      </w:pPr>
      <w:r>
        <w:t xml:space="preserve"> </w:t>
      </w:r>
    </w:p>
    <w:p w14:paraId="74B05DA7" w14:textId="77777777" w:rsidR="00D96F70" w:rsidRDefault="00000000">
      <w:pPr>
        <w:spacing w:after="120"/>
      </w:pPr>
      <w:r>
        <w:t>The most compelling story comes from simple, transparent comparisons across maturity stages, not black-box prediction.</w:t>
      </w:r>
    </w:p>
    <w:p w14:paraId="2D05CEF9" w14:textId="77777777" w:rsidR="00D96F70" w:rsidRDefault="00000000">
      <w:pPr>
        <w:spacing w:after="200"/>
      </w:pPr>
      <w:r>
        <w:t xml:space="preserve"> </w:t>
      </w:r>
    </w:p>
    <w:p w14:paraId="52E1F14F" w14:textId="77777777" w:rsidR="00D96F70" w:rsidRDefault="00000000">
      <w:pPr>
        <w:pStyle w:val="Heading2"/>
        <w:spacing w:after="200"/>
      </w:pPr>
      <w:r>
        <w:t>1. Technical Approach</w:t>
      </w:r>
    </w:p>
    <w:p w14:paraId="40F34F26" w14:textId="77777777" w:rsidR="00D96F70" w:rsidRDefault="00000000">
      <w:pPr>
        <w:pStyle w:val="Heading3"/>
        <w:spacing w:after="200"/>
      </w:pPr>
      <w:r>
        <w:t>1.1 Data Pipeline</w:t>
      </w:r>
    </w:p>
    <w:p w14:paraId="51302A6A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Source: BigQuery table </w:t>
      </w:r>
      <w:r>
        <w:rPr>
          <w:rFonts w:ascii="Courier New" w:eastAsia="Courier New" w:hAnsi="Courier New" w:cs="Courier New"/>
          <w:shd w:val="clear" w:color="auto" w:fill="F1F5F9"/>
        </w:rPr>
        <w:t>fact_ai_survey</w:t>
      </w:r>
      <w:r>
        <w:t xml:space="preserve"> (~150,000 rows, 43 columns)  </w:t>
      </w:r>
    </w:p>
    <w:p w14:paraId="3FD7F488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Connection: </w:t>
      </w:r>
      <w:r>
        <w:rPr>
          <w:rFonts w:ascii="Courier New" w:eastAsia="Courier New" w:hAnsi="Courier New" w:cs="Courier New"/>
          <w:shd w:val="clear" w:color="auto" w:fill="F1F5F9"/>
        </w:rPr>
        <w:t>google-cloud-bigquery</w:t>
      </w:r>
      <w:r>
        <w:t xml:space="preserve"> client (gcloud ADC authentication)  </w:t>
      </w:r>
    </w:p>
    <w:p w14:paraId="5ACCDEF2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Aggregations, joins, and window functions performed directly in SQL for efficiency</w:t>
      </w:r>
    </w:p>
    <w:p w14:paraId="0091C614" w14:textId="77777777" w:rsidR="00D96F70" w:rsidRDefault="00000000">
      <w:pPr>
        <w:spacing w:after="200"/>
      </w:pPr>
      <w:r>
        <w:t xml:space="preserve"> </w:t>
      </w:r>
    </w:p>
    <w:p w14:paraId="7368B0C6" w14:textId="77777777" w:rsidR="00D96F70" w:rsidRDefault="00000000">
      <w:pPr>
        <w:pStyle w:val="Heading3"/>
        <w:spacing w:after="200"/>
      </w:pPr>
      <w:r>
        <w:t>1.2 EDA Tools &amp; Workflow</w:t>
      </w:r>
    </w:p>
    <w:p w14:paraId="12528F06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Pandas + BigQuery SQL for summaries, quarterly roll-ups, and panel preparation  </w:t>
      </w:r>
    </w:p>
    <w:p w14:paraId="04459833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Seaborn + Matplotlib for static, publication-quality plots (PNG export via </w:t>
      </w:r>
      <w:r>
        <w:rPr>
          <w:rFonts w:ascii="Courier New" w:eastAsia="Courier New" w:hAnsi="Courier New" w:cs="Courier New"/>
          <w:shd w:val="clear" w:color="auto" w:fill="F1F5F9"/>
        </w:rPr>
        <w:t>plt.savefig</w:t>
      </w:r>
      <w:r>
        <w:t xml:space="preserve">)  </w:t>
      </w:r>
    </w:p>
    <w:p w14:paraId="7CEC86C9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Plotly used selectively for interactive exploration (not final deliverables)</w:t>
      </w:r>
    </w:p>
    <w:p w14:paraId="18FBB7F2" w14:textId="77777777" w:rsidR="00D96F70" w:rsidRDefault="00000000">
      <w:pPr>
        <w:spacing w:after="200"/>
      </w:pPr>
      <w:r>
        <w:t xml:space="preserve"> </w:t>
      </w:r>
    </w:p>
    <w:p w14:paraId="0BCC7A30" w14:textId="77777777" w:rsidR="00D96F70" w:rsidRDefault="00000000">
      <w:pPr>
        <w:spacing w:after="120"/>
      </w:pPr>
      <w:r>
        <w:rPr>
          <w:b/>
          <w:bCs/>
        </w:rPr>
        <w:lastRenderedPageBreak/>
        <w:t>Why these tools?</w:t>
      </w:r>
      <w:r>
        <w:br/>
        <w:t>BigQuery handles scale effortlessly; Seaborn delivers clean statistical visualizations with minimal code.</w:t>
      </w:r>
    </w:p>
    <w:p w14:paraId="3E782A8D" w14:textId="77777777" w:rsidR="00D96F70" w:rsidRDefault="00000000">
      <w:pPr>
        <w:spacing w:after="200"/>
      </w:pPr>
      <w:r>
        <w:t xml:space="preserve"> </w:t>
      </w:r>
    </w:p>
    <w:p w14:paraId="23053605" w14:textId="77777777" w:rsidR="00D96F70" w:rsidRDefault="00000000">
      <w:pPr>
        <w:pStyle w:val="Heading3"/>
        <w:spacing w:after="200"/>
      </w:pPr>
      <w:r>
        <w:t>1.3 Machine-Learning Pipeline</w:t>
      </w:r>
    </w:p>
    <w:p w14:paraId="19F62CA5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Target</w:t>
      </w:r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revenue_growth_percent</w:t>
      </w:r>
      <w:r>
        <w:t xml:space="preserve">  </w:t>
      </w:r>
    </w:p>
    <w:p w14:paraId="141B6CB8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Features</w:t>
      </w:r>
      <w:r>
        <w:t xml:space="preserve">: 37 (25 numeric + 12 categorical after dropping IDs/leakage)  </w:t>
      </w:r>
    </w:p>
    <w:p w14:paraId="7B2679D9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Preprocessing</w:t>
      </w:r>
      <w:r>
        <w:t xml:space="preserve">: </w:t>
      </w:r>
      <w:r>
        <w:rPr>
          <w:rFonts w:ascii="Courier New" w:eastAsia="Courier New" w:hAnsi="Courier New" w:cs="Courier New"/>
          <w:shd w:val="clear" w:color="auto" w:fill="F1F5F9"/>
        </w:rPr>
        <w:t>ColumnTransformer</w:t>
      </w:r>
      <w:r>
        <w:t xml:space="preserve"> + </w:t>
      </w:r>
      <w:r>
        <w:rPr>
          <w:rFonts w:ascii="Courier New" w:eastAsia="Courier New" w:hAnsi="Courier New" w:cs="Courier New"/>
          <w:shd w:val="clear" w:color="auto" w:fill="F1F5F9"/>
        </w:rPr>
        <w:t>OneHotEncoder(max_categories=50)</w:t>
      </w:r>
      <w:r>
        <w:t xml:space="preserve"> + passthrough numerics  </w:t>
      </w:r>
    </w:p>
    <w:p w14:paraId="0E1D8414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Models</w:t>
      </w:r>
      <w:r>
        <w:t>:</w:t>
      </w:r>
    </w:p>
    <w:p w14:paraId="1D60ABB0" w14:textId="77777777" w:rsidR="00D96F70" w:rsidRDefault="00000000">
      <w:pPr>
        <w:pStyle w:val="ListParagraph"/>
        <w:numPr>
          <w:ilvl w:val="1"/>
          <w:numId w:val="1"/>
        </w:numPr>
        <w:spacing w:after="100"/>
        <w:ind w:left="480"/>
      </w:pPr>
      <w:r>
        <w:t xml:space="preserve">RandomForestRegressor (n_estimators=200)  </w:t>
      </w:r>
    </w:p>
    <w:p w14:paraId="20A75029" w14:textId="77777777" w:rsidR="00D96F70" w:rsidRDefault="00000000">
      <w:pPr>
        <w:pStyle w:val="ListParagraph"/>
        <w:numPr>
          <w:ilvl w:val="1"/>
          <w:numId w:val="1"/>
        </w:numPr>
        <w:spacing w:after="100"/>
        <w:ind w:left="480"/>
      </w:pPr>
      <w:r>
        <w:t>XGBRegressor (n_estimators=400, lr=0.05, max_depth=6)</w:t>
      </w:r>
    </w:p>
    <w:p w14:paraId="4DBB0AD6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Evaluation</w:t>
      </w:r>
      <w:r>
        <w:t>: 80/20 train/test split, MAE / MSE / R²</w:t>
      </w:r>
    </w:p>
    <w:p w14:paraId="1B9B9AB2" w14:textId="77777777" w:rsidR="00D96F70" w:rsidRDefault="00000000">
      <w:pPr>
        <w:spacing w:after="200"/>
      </w:pPr>
      <w:r>
        <w:t xml:space="preserve"> </w:t>
      </w:r>
    </w:p>
    <w:p w14:paraId="3B8A682B" w14:textId="77777777" w:rsidR="00D96F70" w:rsidRDefault="00000000">
      <w:pPr>
        <w:spacing w:after="120"/>
      </w:pPr>
      <w:r>
        <w:rPr>
          <w:b/>
          <w:bCs/>
        </w:rPr>
        <w:t>Why RF first?</w:t>
      </w:r>
      <w:r>
        <w:t xml:space="preserve"> Robust baseline, handles mixed data, built-in importance.</w:t>
      </w:r>
      <w:r>
        <w:br/>
      </w:r>
      <w:r>
        <w:rPr>
          <w:b/>
          <w:bCs/>
        </w:rPr>
        <w:t>Why XGBoost next?</w:t>
      </w:r>
      <w:r>
        <w:t xml:space="preserve"> Better interaction capture and regularization on tabular data.</w:t>
      </w:r>
    </w:p>
    <w:p w14:paraId="47CB1ABA" w14:textId="77777777" w:rsidR="00D96F70" w:rsidRDefault="00000000">
      <w:pPr>
        <w:spacing w:after="200"/>
      </w:pPr>
      <w:r>
        <w:t xml:space="preserve"> </w:t>
      </w:r>
    </w:p>
    <w:p w14:paraId="55CD3AFE" w14:textId="77777777" w:rsidR="00D96F70" w:rsidRDefault="00000000">
      <w:pPr>
        <w:pStyle w:val="Heading2"/>
        <w:spacing w:after="200"/>
      </w:pPr>
      <w:r>
        <w:t>2. Dataset Overview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5302"/>
        <w:gridCol w:w="3714"/>
      </w:tblGrid>
      <w:tr w:rsidR="00D96F70" w14:paraId="2EA546D4" w14:textId="77777777">
        <w:trPr>
          <w:tblHeader/>
        </w:trPr>
        <w:tc>
          <w:tcPr>
            <w:tcW w:w="5506" w:type="dxa"/>
          </w:tcPr>
          <w:p w14:paraId="3D5D11EB" w14:textId="77777777" w:rsidR="00D96F70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854" w:type="dxa"/>
          </w:tcPr>
          <w:p w14:paraId="36853093" w14:textId="77777777" w:rsidR="00D96F70" w:rsidRDefault="00000000">
            <w:r>
              <w:rPr>
                <w:b/>
                <w:bCs/>
              </w:rPr>
              <w:t>Value</w:t>
            </w:r>
          </w:p>
        </w:tc>
      </w:tr>
      <w:tr w:rsidR="00D96F70" w14:paraId="7A8AB5A0" w14:textId="77777777">
        <w:tc>
          <w:tcPr>
            <w:tcW w:w="5506" w:type="dxa"/>
          </w:tcPr>
          <w:p w14:paraId="159AFB2D" w14:textId="77777777" w:rsidR="00D96F70" w:rsidRDefault="00000000">
            <w:r>
              <w:t>Total records</w:t>
            </w:r>
          </w:p>
        </w:tc>
        <w:tc>
          <w:tcPr>
            <w:tcW w:w="3854" w:type="dxa"/>
          </w:tcPr>
          <w:p w14:paraId="75A29DC0" w14:textId="77777777" w:rsidR="00D96F70" w:rsidRDefault="00000000">
            <w:r>
              <w:t>150,000</w:t>
            </w:r>
          </w:p>
        </w:tc>
      </w:tr>
      <w:tr w:rsidR="00D96F70" w14:paraId="43354B98" w14:textId="77777777">
        <w:tc>
          <w:tcPr>
            <w:tcW w:w="5506" w:type="dxa"/>
          </w:tcPr>
          <w:p w14:paraId="3666A41A" w14:textId="77777777" w:rsidR="00D96F70" w:rsidRDefault="00000000">
            <w:r>
              <w:t>Unique companies</w:t>
            </w:r>
          </w:p>
        </w:tc>
        <w:tc>
          <w:tcPr>
            <w:tcW w:w="3854" w:type="dxa"/>
          </w:tcPr>
          <w:p w14:paraId="1AB23F5B" w14:textId="77777777" w:rsidR="00D96F70" w:rsidRDefault="00000000">
            <w:r>
              <w:t>10,000</w:t>
            </w:r>
          </w:p>
        </w:tc>
      </w:tr>
      <w:tr w:rsidR="00D96F70" w14:paraId="2DECE44B" w14:textId="77777777">
        <w:tc>
          <w:tcPr>
            <w:tcW w:w="5506" w:type="dxa"/>
          </w:tcPr>
          <w:p w14:paraId="6EA1CF45" w14:textId="77777777" w:rsidR="00D96F70" w:rsidRDefault="00000000">
            <w:r>
              <w:t>Unique time periods</w:t>
            </w:r>
          </w:p>
        </w:tc>
        <w:tc>
          <w:tcPr>
            <w:tcW w:w="3854" w:type="dxa"/>
          </w:tcPr>
          <w:p w14:paraId="50998E17" w14:textId="77777777" w:rsidR="00D96F70" w:rsidRDefault="00000000">
            <w:r>
              <w:t>16 quarters</w:t>
            </w:r>
          </w:p>
        </w:tc>
      </w:tr>
      <w:tr w:rsidR="00D96F70" w14:paraId="70137C54" w14:textId="77777777">
        <w:tc>
          <w:tcPr>
            <w:tcW w:w="5506" w:type="dxa"/>
          </w:tcPr>
          <w:p w14:paraId="73FEE636" w14:textId="77777777" w:rsidR="00D96F70" w:rsidRDefault="00000000">
            <w:r>
              <w:t>Avg productivity change</w:t>
            </w:r>
          </w:p>
        </w:tc>
        <w:tc>
          <w:tcPr>
            <w:tcW w:w="3854" w:type="dxa"/>
          </w:tcPr>
          <w:p w14:paraId="14D2A513" w14:textId="77777777" w:rsidR="00D96F70" w:rsidRDefault="00000000">
            <w:r>
              <w:t>9.27%</w:t>
            </w:r>
          </w:p>
        </w:tc>
      </w:tr>
      <w:tr w:rsidR="00D96F70" w14:paraId="754913A7" w14:textId="77777777">
        <w:tc>
          <w:tcPr>
            <w:tcW w:w="5506" w:type="dxa"/>
          </w:tcPr>
          <w:p w14:paraId="369585B9" w14:textId="77777777" w:rsidR="00D96F70" w:rsidRDefault="00000000">
            <w:r>
              <w:t>Avg revenue growth</w:t>
            </w:r>
          </w:p>
        </w:tc>
        <w:tc>
          <w:tcPr>
            <w:tcW w:w="3854" w:type="dxa"/>
          </w:tcPr>
          <w:p w14:paraId="2137D091" w14:textId="77777777" w:rsidR="00D96F70" w:rsidRDefault="00000000">
            <w:r>
              <w:t>4.61%</w:t>
            </w:r>
          </w:p>
        </w:tc>
      </w:tr>
      <w:tr w:rsidR="00D96F70" w14:paraId="27DE746E" w14:textId="77777777">
        <w:tc>
          <w:tcPr>
            <w:tcW w:w="5506" w:type="dxa"/>
          </w:tcPr>
          <w:p w14:paraId="0F83EABA" w14:textId="77777777" w:rsidR="00D96F70" w:rsidRDefault="00000000">
            <w:r>
              <w:t>Avg AI maturity score</w:t>
            </w:r>
          </w:p>
        </w:tc>
        <w:tc>
          <w:tcPr>
            <w:tcW w:w="3854" w:type="dxa"/>
          </w:tcPr>
          <w:p w14:paraId="52D09B30" w14:textId="77777777" w:rsidR="00D96F70" w:rsidRDefault="00000000">
            <w:r>
              <w:t>0.32</w:t>
            </w:r>
          </w:p>
        </w:tc>
      </w:tr>
      <w:tr w:rsidR="00D96F70" w14:paraId="0F9ACDC1" w14:textId="77777777">
        <w:tc>
          <w:tcPr>
            <w:tcW w:w="5506" w:type="dxa"/>
          </w:tcPr>
          <w:p w14:paraId="1C255A55" w14:textId="77777777" w:rsidR="00D96F70" w:rsidRDefault="00000000">
            <w:r>
              <w:t>Total jobs displaced</w:t>
            </w:r>
          </w:p>
        </w:tc>
        <w:tc>
          <w:tcPr>
            <w:tcW w:w="3854" w:type="dxa"/>
          </w:tcPr>
          <w:p w14:paraId="60073576" w14:textId="77777777" w:rsidR="00D96F70" w:rsidRDefault="00000000">
            <w:r>
              <w:t>16.7 million</w:t>
            </w:r>
          </w:p>
        </w:tc>
      </w:tr>
      <w:tr w:rsidR="00D96F70" w14:paraId="00107F17" w14:textId="77777777">
        <w:tc>
          <w:tcPr>
            <w:tcW w:w="5506" w:type="dxa"/>
          </w:tcPr>
          <w:p w14:paraId="40D42F71" w14:textId="77777777" w:rsidR="00D96F70" w:rsidRDefault="00000000">
            <w:r>
              <w:t>Total jobs created</w:t>
            </w:r>
          </w:p>
        </w:tc>
        <w:tc>
          <w:tcPr>
            <w:tcW w:w="3854" w:type="dxa"/>
          </w:tcPr>
          <w:p w14:paraId="272CE316" w14:textId="77777777" w:rsidR="00D96F70" w:rsidRDefault="00000000">
            <w:r>
              <w:t>17.7 million</w:t>
            </w:r>
          </w:p>
        </w:tc>
      </w:tr>
      <w:tr w:rsidR="00D96F70" w14:paraId="733D60EA" w14:textId="77777777">
        <w:tc>
          <w:tcPr>
            <w:tcW w:w="5506" w:type="dxa"/>
          </w:tcPr>
          <w:p w14:paraId="13E83C65" w14:textId="77777777" w:rsidR="00D96F70" w:rsidRDefault="00000000">
            <w:r>
              <w:t>Total net jobs change</w:t>
            </w:r>
          </w:p>
        </w:tc>
        <w:tc>
          <w:tcPr>
            <w:tcW w:w="3854" w:type="dxa"/>
          </w:tcPr>
          <w:p w14:paraId="4F61BA85" w14:textId="77777777" w:rsidR="00D96F70" w:rsidRDefault="00000000">
            <w:r>
              <w:t>+976,900</w:t>
            </w:r>
          </w:p>
        </w:tc>
      </w:tr>
    </w:tbl>
    <w:p w14:paraId="14BBEE84" w14:textId="77777777" w:rsidR="00D96F70" w:rsidRDefault="00000000">
      <w:pPr>
        <w:pStyle w:val="Heading2"/>
        <w:spacing w:after="200"/>
      </w:pPr>
      <w:r>
        <w:t>3. Key Visualizations &amp; Insights from EDA</w:t>
      </w:r>
    </w:p>
    <w:p w14:paraId="08B9FB06" w14:textId="77777777" w:rsidR="00D96F70" w:rsidRDefault="00000000">
      <w:pPr>
        <w:pStyle w:val="Heading3"/>
        <w:spacing w:after="200"/>
      </w:pPr>
      <w:r>
        <w:t>3.1 Quarterly Trends by Adoption Stage (2023–2026)</w:t>
      </w:r>
    </w:p>
    <w:p w14:paraId="61DFCA14" w14:textId="77777777" w:rsidR="00D96F70" w:rsidRDefault="00000000">
      <w:pPr>
        <w:spacing w:after="120"/>
      </w:pPr>
      <w:r>
        <w:t>Three synchronized line plots (</w:t>
      </w:r>
      <w:r>
        <w:rPr>
          <w:rFonts w:ascii="Courier New" w:eastAsia="Courier New" w:hAnsi="Courier New" w:cs="Courier New"/>
          <w:shd w:val="clear" w:color="auto" w:fill="F1F5F9"/>
        </w:rPr>
        <w:t>quarterly_trends_by_stage.png</w:t>
      </w:r>
      <w:r>
        <w:t>):</w:t>
      </w:r>
    </w:p>
    <w:p w14:paraId="6158443F" w14:textId="77777777" w:rsidR="00D96F70" w:rsidRDefault="00000000">
      <w:pPr>
        <w:spacing w:after="200"/>
      </w:pPr>
      <w:r>
        <w:t xml:space="preserve"> </w:t>
      </w:r>
    </w:p>
    <w:p w14:paraId="123EFCB5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lastRenderedPageBreak/>
        <w:t>Avg Productivity Gain by Stage</w:t>
      </w:r>
      <w:r>
        <w:br/>
        <w:t>Transforming: ~19–20.5% (highest &amp; most stable)</w:t>
      </w:r>
      <w:r>
        <w:br/>
        <w:t>Scaling: 11–12.5%</w:t>
      </w:r>
      <w:r>
        <w:br/>
        <w:t>Piloting: 6–7%</w:t>
      </w:r>
      <w:r>
        <w:br/>
        <w:t>Exploring: 2–3% (stagnant)</w:t>
      </w:r>
      <w:r>
        <w:br/>
        <w:t xml:space="preserve">→ Productivity lift scales </w:t>
      </w:r>
      <w:r>
        <w:rPr>
          <w:b/>
          <w:bCs/>
        </w:rPr>
        <w:t>6–8×</w:t>
      </w:r>
      <w:r>
        <w:t xml:space="preserve"> from early to late stages.</w:t>
      </w:r>
    </w:p>
    <w:p w14:paraId="15715ABD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Avg AI Maturity Score by Stage</w:t>
      </w:r>
      <w:r>
        <w:br/>
        <w:t>Transforming/Scaling: stable 0.4–0.6 range</w:t>
      </w:r>
      <w:r>
        <w:br/>
        <w:t>Exploring: lowest + volatile</w:t>
      </w:r>
      <w:r>
        <w:br/>
        <w:t>→ Higher maturity dramatically reduces downside risk.</w:t>
      </w:r>
    </w:p>
    <w:p w14:paraId="38B2B3DE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Avg Net Jobs Change by Stage</w:t>
      </w:r>
      <w:r>
        <w:br/>
        <w:t>Transforming: +30 to +80 jobs/quarter</w:t>
      </w:r>
      <w:r>
        <w:br/>
        <w:t>Scaling: +10–15</w:t>
      </w:r>
      <w:r>
        <w:br/>
        <w:t>Piloting/Exploring: near-zero or negative</w:t>
      </w:r>
      <w:r>
        <w:br/>
        <w:t>→ Net employment impact flips positive only at scale.</w:t>
      </w:r>
    </w:p>
    <w:p w14:paraId="3AAB0FC2" w14:textId="77777777" w:rsidR="00D96F70" w:rsidRDefault="00000000">
      <w:pPr>
        <w:spacing w:after="200"/>
      </w:pPr>
      <w:r>
        <w:t xml:space="preserve"> </w:t>
      </w:r>
    </w:p>
    <w:p w14:paraId="4F886396" w14:textId="77777777" w:rsidR="00D96F70" w:rsidRDefault="00000000">
      <w:pPr>
        <w:pStyle w:val="Heading3"/>
        <w:spacing w:after="200"/>
      </w:pPr>
      <w:r>
        <w:t>3.2 Company-Level Scatter Plots (latest maturity score version)</w:t>
      </w:r>
    </w:p>
    <w:p w14:paraId="3E6150BA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AI Maturity Score vs Revenue Growth (%)</w:t>
      </w:r>
      <w:r>
        <w:t xml:space="preserve">: Pearson r = </w:t>
      </w:r>
      <w:r>
        <w:rPr>
          <w:b/>
          <w:bCs/>
        </w:rPr>
        <w:t>+0.41</w:t>
      </w:r>
      <w:r>
        <w:t xml:space="preserve"> (moderate positive)</w:t>
      </w:r>
      <w:r>
        <w:br/>
        <w:t>Clear upward trend; higher maturity → higher average growth.</w:t>
      </w:r>
    </w:p>
    <w:p w14:paraId="3662C43D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AI Maturity Score vs Productivity Change (%)</w:t>
      </w:r>
      <w:r>
        <w:t xml:space="preserve">: Pearson r = </w:t>
      </w:r>
      <w:r>
        <w:rPr>
          <w:b/>
          <w:bCs/>
        </w:rPr>
        <w:t>+0.73</w:t>
      </w:r>
      <w:r>
        <w:t xml:space="preserve"> (strong)</w:t>
      </w:r>
      <w:r>
        <w:br/>
        <w:t>Steep positive slope; productivity gains rise sharply with maturity.</w:t>
      </w:r>
    </w:p>
    <w:p w14:paraId="060F3BBE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rPr>
          <w:b/>
          <w:bCs/>
        </w:rPr>
        <w:t>AI Maturity Score vs Net Jobs Change</w:t>
      </w:r>
      <w:r>
        <w:t xml:space="preserve">: Pearson r = </w:t>
      </w:r>
      <w:r>
        <w:rPr>
          <w:b/>
          <w:bCs/>
        </w:rPr>
        <w:t>+0.11</w:t>
      </w:r>
      <w:r>
        <w:t xml:space="preserve"> (weak)</w:t>
      </w:r>
      <w:r>
        <w:br/>
        <w:t>Near-zero slope overall; volatility decreases at higher maturity.</w:t>
      </w:r>
    </w:p>
    <w:p w14:paraId="1173AADD" w14:textId="77777777" w:rsidR="00D96F70" w:rsidRDefault="00000000">
      <w:pPr>
        <w:spacing w:after="200"/>
      </w:pPr>
      <w:r>
        <w:t xml:space="preserve"> </w:t>
      </w:r>
    </w:p>
    <w:p w14:paraId="1D6E94AA" w14:textId="77777777" w:rsidR="00D96F70" w:rsidRDefault="00000000">
      <w:pPr>
        <w:pStyle w:val="Heading3"/>
        <w:spacing w:after="200"/>
      </w:pPr>
      <w:r>
        <w:t>3.3 Additional Observations</w:t>
      </w:r>
    </w:p>
    <w:p w14:paraId="3649EFF6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Highest productivity gains in Oceania, North America, Europe  </w:t>
      </w:r>
    </w:p>
    <w:p w14:paraId="4D877EAB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Strongest maturity benefits in Logistics, Manufacturing, Retail  </w:t>
      </w:r>
    </w:p>
    <w:p w14:paraId="621338D7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Moderate positive correlations: productivity ↔ revenue growth ↔ maturity score</w:t>
      </w:r>
    </w:p>
    <w:p w14:paraId="16787E54" w14:textId="77777777" w:rsidR="00D96F70" w:rsidRDefault="00000000">
      <w:pPr>
        <w:spacing w:after="200"/>
      </w:pPr>
      <w:r>
        <w:t xml:space="preserve"> </w:t>
      </w:r>
    </w:p>
    <w:p w14:paraId="27931769" w14:textId="77777777" w:rsidR="00D96F70" w:rsidRDefault="00000000">
      <w:pPr>
        <w:pStyle w:val="Heading2"/>
        <w:spacing w:after="200"/>
      </w:pPr>
      <w:r>
        <w:t>4. Machine-Learning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36"/>
        <w:gridCol w:w="1962"/>
        <w:gridCol w:w="2156"/>
        <w:gridCol w:w="1962"/>
      </w:tblGrid>
      <w:tr w:rsidR="00D96F70" w14:paraId="5C702AE4" w14:textId="77777777" w:rsidTr="00603A38">
        <w:trPr>
          <w:tblHeader/>
        </w:trPr>
        <w:tc>
          <w:tcPr>
            <w:tcW w:w="2936" w:type="dxa"/>
          </w:tcPr>
          <w:p w14:paraId="50F5E824" w14:textId="77777777" w:rsidR="00D96F70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1962" w:type="dxa"/>
          </w:tcPr>
          <w:p w14:paraId="04D7947C" w14:textId="77777777" w:rsidR="00D96F70" w:rsidRDefault="00000000">
            <w:r>
              <w:rPr>
                <w:b/>
                <w:bCs/>
              </w:rPr>
              <w:t>MAE</w:t>
            </w:r>
          </w:p>
        </w:tc>
        <w:tc>
          <w:tcPr>
            <w:tcW w:w="2156" w:type="dxa"/>
          </w:tcPr>
          <w:p w14:paraId="5D67FFA2" w14:textId="77777777" w:rsidR="00D96F70" w:rsidRDefault="00000000">
            <w:r>
              <w:rPr>
                <w:b/>
                <w:bCs/>
              </w:rPr>
              <w:t>MSE</w:t>
            </w:r>
          </w:p>
        </w:tc>
        <w:tc>
          <w:tcPr>
            <w:tcW w:w="1962" w:type="dxa"/>
          </w:tcPr>
          <w:p w14:paraId="79C6D898" w14:textId="77777777" w:rsidR="00D96F70" w:rsidRDefault="00000000">
            <w:r>
              <w:rPr>
                <w:b/>
                <w:bCs/>
              </w:rPr>
              <w:t>R²</w:t>
            </w:r>
          </w:p>
        </w:tc>
      </w:tr>
      <w:tr w:rsidR="00D96F70" w14:paraId="706F36FE" w14:textId="77777777" w:rsidTr="00603A38">
        <w:tc>
          <w:tcPr>
            <w:tcW w:w="2936" w:type="dxa"/>
          </w:tcPr>
          <w:p w14:paraId="562A476A" w14:textId="77777777" w:rsidR="00D96F70" w:rsidRDefault="00000000">
            <w:r>
              <w:t>Random Forest</w:t>
            </w:r>
          </w:p>
        </w:tc>
        <w:tc>
          <w:tcPr>
            <w:tcW w:w="1962" w:type="dxa"/>
          </w:tcPr>
          <w:p w14:paraId="2F029E80" w14:textId="77777777" w:rsidR="00D96F70" w:rsidRDefault="00000000">
            <w:r>
              <w:t>3.8162</w:t>
            </w:r>
          </w:p>
        </w:tc>
        <w:tc>
          <w:tcPr>
            <w:tcW w:w="2156" w:type="dxa"/>
          </w:tcPr>
          <w:p w14:paraId="12876B0C" w14:textId="77777777" w:rsidR="00D96F70" w:rsidRDefault="00000000">
            <w:r>
              <w:t>22.2498</w:t>
            </w:r>
          </w:p>
        </w:tc>
        <w:tc>
          <w:tcPr>
            <w:tcW w:w="1962" w:type="dxa"/>
          </w:tcPr>
          <w:p w14:paraId="702256F7" w14:textId="77777777" w:rsidR="00D96F70" w:rsidRDefault="00000000">
            <w:r>
              <w:t>0.2289</w:t>
            </w:r>
          </w:p>
        </w:tc>
      </w:tr>
    </w:tbl>
    <w:p w14:paraId="61EB7C96" w14:textId="16A03BDD" w:rsidR="00D96F70" w:rsidRDefault="00000000">
      <w:pPr>
        <w:spacing w:after="120"/>
      </w:pPr>
      <w:r>
        <w:t>Only ~2</w:t>
      </w:r>
      <w:r w:rsidR="00603A38">
        <w:t>2.5</w:t>
      </w:r>
      <w:r>
        <w:t>% variance explained</w:t>
      </w:r>
      <w:r w:rsidR="00603A38">
        <w:t>.</w:t>
      </w:r>
    </w:p>
    <w:p w14:paraId="2217728A" w14:textId="77777777" w:rsidR="00D96F70" w:rsidRDefault="00000000">
      <w:pPr>
        <w:spacing w:after="200"/>
      </w:pPr>
      <w:r>
        <w:t xml:space="preserve"> </w:t>
      </w:r>
    </w:p>
    <w:p w14:paraId="7891EF1F" w14:textId="77777777" w:rsidR="00D96F70" w:rsidRDefault="00000000">
      <w:pPr>
        <w:pStyle w:val="Heading2"/>
        <w:spacing w:after="200"/>
      </w:pPr>
      <w:r>
        <w:t>5. Why ML Underperformed (and Why EDA Was More Insightful)</w:t>
      </w:r>
    </w:p>
    <w:p w14:paraId="118F740C" w14:textId="77777777" w:rsidR="00D96F70" w:rsidRDefault="00000000">
      <w:pPr>
        <w:spacing w:after="120"/>
      </w:pPr>
      <w:r>
        <w:t>Revenue growth % is extremely noisy in survey data:</w:t>
      </w:r>
    </w:p>
    <w:p w14:paraId="4763A688" w14:textId="77777777" w:rsidR="00D96F70" w:rsidRDefault="00000000">
      <w:pPr>
        <w:spacing w:after="200"/>
      </w:pPr>
      <w:r>
        <w:lastRenderedPageBreak/>
        <w:t xml:space="preserve"> </w:t>
      </w:r>
    </w:p>
    <w:p w14:paraId="54F895C2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Macro shocks, one-off events, accounting differences, response bias  </w:t>
      </w:r>
    </w:p>
    <w:p w14:paraId="5F9611F6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Short panel + self-reported metrics → high measurement error  </w:t>
      </w:r>
    </w:p>
    <w:p w14:paraId="1B3BE615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Heterogeneous effects by size/industry → single global model struggles</w:t>
      </w:r>
    </w:p>
    <w:p w14:paraId="63F673B1" w14:textId="77777777" w:rsidR="00D96F70" w:rsidRDefault="00000000">
      <w:pPr>
        <w:spacing w:after="200"/>
      </w:pPr>
      <w:r>
        <w:t xml:space="preserve"> </w:t>
      </w:r>
    </w:p>
    <w:p w14:paraId="00C132C2" w14:textId="77777777" w:rsidR="00D96F70" w:rsidRDefault="00000000">
      <w:pPr>
        <w:spacing w:after="120"/>
      </w:pPr>
      <w:r>
        <w:t xml:space="preserve">Random Forest &amp; XGBoost were appropriate baselines for tabular data — but the fundamental constraint is </w:t>
      </w:r>
      <w:r>
        <w:rPr>
          <w:b/>
          <w:bCs/>
        </w:rPr>
        <w:t>data quality and observational design</w:t>
      </w:r>
      <w:r>
        <w:t>, not algorithm choice.</w:t>
      </w:r>
    </w:p>
    <w:p w14:paraId="0EC4EDB5" w14:textId="77777777" w:rsidR="00D96F70" w:rsidRDefault="00000000">
      <w:pPr>
        <w:spacing w:after="200"/>
      </w:pPr>
      <w:r>
        <w:t xml:space="preserve"> </w:t>
      </w:r>
    </w:p>
    <w:p w14:paraId="33DFF932" w14:textId="77777777" w:rsidR="00D96F70" w:rsidRDefault="00000000">
      <w:pPr>
        <w:spacing w:after="120"/>
      </w:pPr>
      <w:r>
        <w:t>Descriptive stage comparisons, binned averages, and simple scatter plots deliver far clearer, more actionable signals.</w:t>
      </w:r>
    </w:p>
    <w:p w14:paraId="3267BA3C" w14:textId="77777777" w:rsidR="00D96F70" w:rsidRDefault="00000000">
      <w:pPr>
        <w:spacing w:after="200"/>
      </w:pPr>
      <w:r>
        <w:t xml:space="preserve"> </w:t>
      </w:r>
    </w:p>
    <w:p w14:paraId="5060616E" w14:textId="77777777" w:rsidR="00D96F70" w:rsidRDefault="00000000">
      <w:pPr>
        <w:pStyle w:val="Heading2"/>
        <w:spacing w:after="200"/>
      </w:pPr>
      <w:r>
        <w:t>6. Strategic &amp; Business Recommendations</w:t>
      </w:r>
    </w:p>
    <w:p w14:paraId="1C86A20D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 xml:space="preserve">Accelerate progression to </w:t>
      </w:r>
      <w:r>
        <w:rPr>
          <w:b/>
          <w:bCs/>
        </w:rPr>
        <w:t>Transforming</w:t>
      </w:r>
      <w:r>
        <w:t xml:space="preserve"> stage — outsized productivity, revenue, and net job creation benefits emerge here.</w:t>
      </w:r>
    </w:p>
    <w:p w14:paraId="740389DC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Focus early-stage efforts on implementation quality to minimize volatility and displacement risk.</w:t>
      </w:r>
    </w:p>
    <w:p w14:paraId="46CCC584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Prioritize high-return sectors: Logistics, Manufacturing, Retail.</w:t>
      </w:r>
    </w:p>
    <w:p w14:paraId="38C237E3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Leverage regional strengths: North America, Europe, Oceania.</w:t>
      </w:r>
    </w:p>
    <w:p w14:paraId="0DE6DEA1" w14:textId="77777777" w:rsidR="00D96F70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Future work: Move from predictive ML to causal methods (fixed-effects panel models, difference-in-differences around stage transitions, propensity-score matching).</w:t>
      </w:r>
    </w:p>
    <w:p w14:paraId="6CF76DD3" w14:textId="77777777" w:rsidR="00D96F70" w:rsidRDefault="00000000">
      <w:pPr>
        <w:spacing w:after="200"/>
      </w:pPr>
      <w:r>
        <w:t xml:space="preserve"> </w:t>
      </w:r>
    </w:p>
    <w:p w14:paraId="6B3D1F5A" w14:textId="77777777" w:rsidR="00D96F70" w:rsidRDefault="00000000">
      <w:pPr>
        <w:pStyle w:val="Heading2"/>
        <w:spacing w:after="200"/>
      </w:pPr>
      <w:r>
        <w:t>Conclusion</w:t>
      </w:r>
    </w:p>
    <w:p w14:paraId="22E8A886" w14:textId="77777777" w:rsidR="00D96F70" w:rsidRDefault="00000000">
      <w:pPr>
        <w:spacing w:after="120"/>
      </w:pPr>
      <w:r>
        <w:t xml:space="preserve">Descriptive evidence strongly supports that </w:t>
      </w:r>
      <w:r>
        <w:rPr>
          <w:b/>
          <w:bCs/>
        </w:rPr>
        <w:t>deeper AI maturity drives meaningful productivity and revenue benefits</w:t>
      </w:r>
      <w:r>
        <w:t>, with labor impacts remaining modest and mostly net-positive at scale.</w:t>
      </w:r>
    </w:p>
    <w:p w14:paraId="5295D4A6" w14:textId="77777777" w:rsidR="00D96F70" w:rsidRDefault="00000000">
      <w:pPr>
        <w:spacing w:after="200"/>
      </w:pPr>
      <w:r>
        <w:t xml:space="preserve"> </w:t>
      </w:r>
    </w:p>
    <w:p w14:paraId="590BD871" w14:textId="77777777" w:rsidR="00D96F70" w:rsidRDefault="00000000">
      <w:pPr>
        <w:spacing w:after="120"/>
      </w:pPr>
      <w:r>
        <w:t>While precise causal quantification and out-of-sample revenue prediction remain challenging due to noise and confounding in observational survey data, the monotonic patterns across adoption stages are compelling and consistent.</w:t>
      </w:r>
    </w:p>
    <w:p w14:paraId="367B55B9" w14:textId="77777777" w:rsidR="00D96F70" w:rsidRDefault="00000000">
      <w:pPr>
        <w:spacing w:after="200"/>
      </w:pPr>
      <w:r>
        <w:t xml:space="preserve"> </w:t>
      </w:r>
    </w:p>
    <w:p w14:paraId="3494588C" w14:textId="77777777" w:rsidR="00D96F70" w:rsidRDefault="00000000">
      <w:pPr>
        <w:spacing w:after="120"/>
      </w:pPr>
      <w:r>
        <w:t>Companies and policymakers should prioritize rapid, well-governed progression through the maturity curve — the largest value still lies ahead for the majority of firms, whose average maturity remains low (~0.32).</w:t>
      </w:r>
    </w:p>
    <w:p w14:paraId="3A15D17F" w14:textId="77777777" w:rsidR="00D96F70" w:rsidRDefault="00000000">
      <w:pPr>
        <w:spacing w:after="200"/>
      </w:pPr>
      <w:r>
        <w:t xml:space="preserve"> </w:t>
      </w:r>
    </w:p>
    <w:p w14:paraId="7212B86B" w14:textId="77777777" w:rsidR="00D96F70" w:rsidRDefault="00000000">
      <w:pPr>
        <w:spacing w:after="120"/>
      </w:pPr>
      <w:r>
        <w:rPr>
          <w:b/>
          <w:bCs/>
        </w:rPr>
        <w:t>AI maturity matters — especially for efficiency — and most companies still have considerable headroom to capture it.</w:t>
      </w:r>
    </w:p>
    <w:sectPr w:rsidR="00D96F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220E"/>
    <w:multiLevelType w:val="hybridMultilevel"/>
    <w:tmpl w:val="4E92A1E0"/>
    <w:lvl w:ilvl="0" w:tplc="98601E3C">
      <w:start w:val="1"/>
      <w:numFmt w:val="bullet"/>
      <w:lvlText w:val="●"/>
      <w:lvlJc w:val="left"/>
      <w:pPr>
        <w:ind w:left="720" w:hanging="360"/>
      </w:pPr>
    </w:lvl>
    <w:lvl w:ilvl="1" w:tplc="5636A982">
      <w:start w:val="1"/>
      <w:numFmt w:val="bullet"/>
      <w:lvlText w:val="○"/>
      <w:lvlJc w:val="left"/>
      <w:pPr>
        <w:ind w:left="1440" w:hanging="360"/>
      </w:pPr>
    </w:lvl>
    <w:lvl w:ilvl="2" w:tplc="807CAB64">
      <w:start w:val="1"/>
      <w:numFmt w:val="bullet"/>
      <w:lvlText w:val="■"/>
      <w:lvlJc w:val="left"/>
      <w:pPr>
        <w:ind w:left="2160" w:hanging="360"/>
      </w:pPr>
    </w:lvl>
    <w:lvl w:ilvl="3" w:tplc="C4603F56">
      <w:start w:val="1"/>
      <w:numFmt w:val="bullet"/>
      <w:lvlText w:val="●"/>
      <w:lvlJc w:val="left"/>
      <w:pPr>
        <w:ind w:left="2880" w:hanging="360"/>
      </w:pPr>
    </w:lvl>
    <w:lvl w:ilvl="4" w:tplc="507029C4">
      <w:start w:val="1"/>
      <w:numFmt w:val="bullet"/>
      <w:lvlText w:val="○"/>
      <w:lvlJc w:val="left"/>
      <w:pPr>
        <w:ind w:left="3600" w:hanging="360"/>
      </w:pPr>
    </w:lvl>
    <w:lvl w:ilvl="5" w:tplc="B52CD62C">
      <w:start w:val="1"/>
      <w:numFmt w:val="bullet"/>
      <w:lvlText w:val="■"/>
      <w:lvlJc w:val="left"/>
      <w:pPr>
        <w:ind w:left="4320" w:hanging="360"/>
      </w:pPr>
    </w:lvl>
    <w:lvl w:ilvl="6" w:tplc="1368FE9E">
      <w:start w:val="1"/>
      <w:numFmt w:val="bullet"/>
      <w:lvlText w:val="●"/>
      <w:lvlJc w:val="left"/>
      <w:pPr>
        <w:ind w:left="5040" w:hanging="360"/>
      </w:pPr>
    </w:lvl>
    <w:lvl w:ilvl="7" w:tplc="B50E90AC">
      <w:start w:val="1"/>
      <w:numFmt w:val="bullet"/>
      <w:lvlText w:val="●"/>
      <w:lvlJc w:val="left"/>
      <w:pPr>
        <w:ind w:left="5760" w:hanging="360"/>
      </w:pPr>
    </w:lvl>
    <w:lvl w:ilvl="8" w:tplc="9126D63A">
      <w:start w:val="1"/>
      <w:numFmt w:val="bullet"/>
      <w:lvlText w:val="●"/>
      <w:lvlJc w:val="left"/>
      <w:pPr>
        <w:ind w:left="6480" w:hanging="360"/>
      </w:pPr>
    </w:lvl>
  </w:abstractNum>
  <w:num w:numId="1" w16cid:durableId="165556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F70"/>
    <w:rsid w:val="00603A38"/>
    <w:rsid w:val="00B229E7"/>
    <w:rsid w:val="00D9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0E9F"/>
  <w15:docId w15:val="{ACD14DFD-D51A-4741-AF57-2E96F2B2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831</Words>
  <Characters>5119</Characters>
  <Application>Microsoft Office Word</Application>
  <DocSecurity>0</DocSecurity>
  <Lines>146</Lines>
  <Paragraphs>102</Paragraphs>
  <ScaleCrop>false</ScaleCrop>
  <Company/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Jony Ling</cp:lastModifiedBy>
  <cp:revision>2</cp:revision>
  <dcterms:created xsi:type="dcterms:W3CDTF">2026-03-17T08:29:00Z</dcterms:created>
  <dcterms:modified xsi:type="dcterms:W3CDTF">2026-03-17T08:31:00Z</dcterms:modified>
</cp:coreProperties>
</file>