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Kids Gate — Legal &amp; Compliance Review Notes</w:t>
      </w:r>
    </w:p>
    <w:p>
      <w:pPr>
        <w:spacing w:after="120"/>
      </w:pPr>
      <w:r>
        <w:rPr>
          <w:b/>
          <w:bCs/>
        </w:rPr>
        <w:t xml:space="preserve">Prepared:</w:t>
      </w:r>
      <w:r>
        <w:t xml:space="preserve"> </w:t>
      </w:r>
      <w:r>
        <w:rPr>
          <w:b/>
          <w:bCs/>
          <w:color w:val="B36B00"/>
        </w:rPr>
        <w:t xml:space="preserve">[INSERT DATE]</w:t>
      </w:r>
      <w:r>
        <w:t xml:space="preserve"> · </w:t>
      </w:r>
      <w:r>
        <w:rPr>
          <w:b/>
          <w:bCs/>
        </w:rPr>
        <w:t xml:space="preserve">Covers:</w:t>
      </w:r>
      <w:r>
        <w:t xml:space="preserve"> Privacy Policy, Terms of Service, Cookie Policy, Children's Privacy Notice</w:t>
      </w:r>
    </w:p>
    <w:p>
      <w:pPr>
        <w:pBdr>
          <w:left w:val="single" w:color="F5A623" w:sz="18" w:space="6"/>
        </w:pBdr>
        <w:shd w:fill="FDF6EA" w:val="clear"/>
        <w:spacing w:after="160" w:before="120"/>
        <w:ind w:left="360" w:right="360"/>
      </w:pPr>
      <w:r>
        <w:rPr>
          <w:b/>
          <w:bCs/>
          <w:color w:val="555F6B"/>
        </w:rPr>
        <w:t xml:space="preserve">Important — read first.</w:t>
      </w:r>
      <w:r>
        <w:rPr>
          <w:color w:val="555F6B"/>
        </w:rPr>
        <w:t xml:space="preserve"> This is a structured, lawyer-style review to hand to qualified counsel; it is </w:t>
      </w:r>
      <w:r>
        <w:rPr>
          <w:b/>
          <w:bCs/>
          <w:color w:val="555F6B"/>
        </w:rPr>
        <w:t xml:space="preserve">not legal advice</w:t>
      </w:r>
      <w:r>
        <w:rPr>
          <w:color w:val="555F6B"/>
        </w:rPr>
        <w:t xml:space="preserve"> and no solicitor–client relationship is created. It flags issues, inconsistencies, missing facts and compliance questions so counsel and the developers can resolve them efficiently. Where it states a legal requirement, treat it as "verify with counsel", especially for the fast-moving areas (COPPA Rule amendments, Australia's child-privacy reforms, Indonesia's UU PDP, Thailand's PDPA).</w:t>
      </w:r>
    </w:p>
    <w:p>
      <w:pPr>
        <w:pBdr>
          <w:bottom w:val="single" w:color="D8DDE3" w:sz="4"/>
        </w:pBdr>
        <w:spacing w:after="120" w:before="60"/>
      </w:pPr>
    </w:p>
    <w:p>
      <w:pPr>
        <w:pStyle w:val="Heading2"/>
      </w:pPr>
      <w:r>
        <w:t xml:space="preserve">A. Highest-priority items (fix or confirm before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COPPA — third-party disclosure of children's data.</w:t>
      </w:r>
      <w:r>
        <w:t xml:space="preserve"> The US$1 trial charge covers *parental consent to collect*. It does </w:t>
      </w:r>
      <w:r>
        <w:rPr>
          <w:b/>
          <w:bCs/>
        </w:rPr>
        <w:t xml:space="preserve">not</w:t>
      </w:r>
      <w:r>
        <w:t xml:space="preserve"> by itself cover *disclosing* a child's personal information (including persistent identifiers) to third-party SDKs. If the app sends any child data to analytics, crash-reporting, push or ad SDKs, the amended COPPA Rule may require </w:t>
      </w:r>
      <w:r>
        <w:rPr>
          <w:b/>
          <w:bCs/>
        </w:rPr>
        <w:t xml:space="preserve">separate</w:t>
      </w:r>
      <w:r>
        <w:t xml:space="preserve"> consent or that the disclosure be "integral" to the service. → depends entirely on the app's SDK list (Developer Questions 3–4).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Persistent identifiers are "personal information" under COPPA.</w:t>
      </w:r>
      <w:r>
        <w:t xml:space="preserve"> Device IDs, advertising IDs and analytics cookies used to recognise a child over time count as personal information even with no name attached. Confirm no analytics/ad SDK runs on child-facing screens, or that it is configured COPPA-safe (Developer Questions 2–4, 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DPO may be mandatory in Indonesia and Thailand.</w:t>
      </w:r>
      <w:r>
        <w:t xml:space="preserve"> Both UU PDP (Indonesia) and the PDPA (Thailand) can require appointing a Data Protection Officer where core activities involve large-scale processing of children's / sensitive data. The Privacy Policy currently states no DPO. Counsel to assess whether ID/TH operations trigger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Australia's Children's Online Privacy Code.</w:t>
      </w:r>
      <w:r>
        <w:t xml:space="preserve"> The 2024 Privacy Act reforms require the OAIC to develop a Children's Online Privacy Code covering services likely to be accessed by children. A children's EdTech platform is squarely in scope. Monitor and plan to comply once registered.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 provider for Indonesia &amp; Thailand.</w:t>
      </w:r>
      <w:r>
        <w:t xml:space="preserve"> </w:t>
      </w:r>
      <w:r>
        <w:rPr>
          <w:b/>
          <w:bCs/>
        </w:rPr>
        <w:t xml:space="preserve">GoPay</w:t>
      </w:r>
      <w:r>
        <w:t xml:space="preserve"> has now been named alongside Shopify. GoPay is Indonesia-focused, so confirm the </w:t>
      </w:r>
      <w:r>
        <w:rPr>
          <w:b/>
          <w:bCs/>
        </w:rPr>
        <w:t xml:space="preserve">Thailand</w:t>
      </w:r>
      <w:r>
        <w:t xml:space="preserve"> provider (GoPay may not cover TH), and add GoPay's privacy-policy link — currently a placeholder in Privacy Policy Section 3.4.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residency vs international transfers (NEW).</w:t>
      </w:r>
      <w:r>
        <w:t xml:space="preserve"> Privacy Policy Section 10 now states account data is "maintained only in your domicile country," while Section 8 describes transfers to Australia/US. These must be reconciled and matched to the actual AWS region setup (Developer Question 25). A false residency claim is a compliance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 auto-renewal law.</w:t>
      </w:r>
      <w:r>
        <w:t xml:space="preserve"> If the US trial stores a card and can auto-convert to paid, state Automatic Renewal Laws (California and others) require clear upfront disclosure, affirmative consent and an easy online cancel path. Confirm the checkout flow (Developer Question 9; TOS §3, §4.2).</w:t>
      </w:r>
    </w:p>
    <w:p>
      <w:pPr>
        <w:pBdr>
          <w:bottom w:val="single" w:color="D8DDE3" w:sz="4"/>
        </w:pBdr>
        <w:spacing w:after="120" w:before="60"/>
      </w:pPr>
    </w:p>
    <w:p>
      <w:pPr>
        <w:pStyle w:val="Heading2"/>
      </w:pPr>
      <w:r>
        <w:t xml:space="preserve">B. Document-by-document findings</w:t>
      </w:r>
    </w:p>
    <w:p>
      <w:pPr>
        <w:pStyle w:val="Heading3"/>
      </w:pPr>
      <w:r>
        <w:t xml:space="preserve">B1. Privacy Policy</w:t>
      </w:r>
    </w:p>
    <w:p>
      <w:pPr>
        <w:spacing w:after="120"/>
      </w:pPr>
      <w:r>
        <w:rPr>
          <w:b/>
          <w:bCs/>
        </w:rPr>
        <w:t xml:space="preserve">Reads correctly:</w:t>
      </w:r>
      <w:r>
        <w:t xml:space="preserve"> controller identity (ACN 652 998 635), data-minimisation framing, the automated-personalisation / no-AI-training description, ad-free and no-sale commitments, the refundable US$1 consent mechanism, and the region-specific rights section.</w:t>
      </w:r>
    </w:p>
    <w:p>
      <w:pPr>
        <w:spacing w:after="120"/>
      </w:pPr>
      <w:r>
        <w:rPr>
          <w:b/>
          <w:bCs/>
        </w:rPr>
        <w:t xml:space="preserve">Fixed inline in this review: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Rights requests now routed to </w:t>
      </w:r>
      <w:r>
        <w:rPr>
          <w:b/>
          <w:bCs/>
        </w:rPr>
        <w:t xml:space="preserve">privacy@thekidsgate.com</w:t>
      </w:r>
      <w:r>
        <w:t xml:space="preserve"> (Section 12) — previously pointed only to support@, inconsistent with the designated privacy contact.</w:t>
      </w:r>
    </w:p>
    <w:p>
      <w:pPr>
        <w:spacing w:after="120"/>
      </w:pPr>
      <w:r>
        <w:rPr>
          <w:b/>
          <w:bCs/>
        </w:rPr>
        <w:t xml:space="preserve">Open notes / to double-check: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 8 (Australia) — name the recipient countries.</w:t>
      </w:r>
      <w:r>
        <w:t xml:space="preserve"> Section 8 says data may go to "Australia and the United States." Australian Privacy Principle 8 expects you to identify the countries where overseas recipients are located *where practicable*. List them once hosting, Shopify's alternative, Google (analytics) and any SDK vendors are confirmed.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Breach notification — broaden beyond Australia.</w:t>
      </w:r>
      <w:r>
        <w:t xml:space="preserve"> Section 11 cites the Australian Notifiable Data Breaches scheme only. Thailand's PDPA (notify regulator within 72 hours) and Indonesia's UU PDP (notify within 3×24 hours) impose their own timelines. Recommend a general line: "and other breach-notification laws that apply to you."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International transfer mechanism (Section 8).</w:t>
      </w:r>
      <w:r>
        <w:t xml:space="preserve"> For ID/TH, confirm the actual lawful transfer basis (adequacy, contractual safeguards, or consent) rather than the generic "standard contractual clauses" phrasing, which is an EU concept.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"No strict minimum age" (Section 5).</w:t>
      </w:r>
      <w:r>
        <w:t xml:space="preserve"> Legally workable with parental consent, but it means a 3–4-year-old's data could be collected. Confirm this is intended, and that it sits comfortably with the "designed for 5–12" positioning.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"Legitimate interests" basis (Section 4.3).</w:t>
      </w:r>
      <w:r>
        <w:t xml:space="preserve"> Both Thai PDPA and Indonesia UU PDP recognise a legitimate-interest basis, so this is defensible — but the balancing must be documented. Confirm with counsel.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Retention specificity (Section 10).</w:t>
      </w:r>
      <w:r>
        <w:t xml:space="preserve"> The amended COPPA Rule expects a clear, public statement that children's data is kept only as long as necessary and then deleted. The section is close; confirm the final periods and that deletion is genuine (Developer Question 15).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 controller vs APP entity terminology.</w:t>
      </w:r>
      <w:r>
        <w:t xml:space="preserve"> "Data controller" is used throughout; acceptable as a general term, but Australian law uses "APP entity." Cosmetic — counsel's call.</w:t>
      </w:r>
    </w:p>
    <w:p>
      <w:pPr>
        <w:pStyle w:val="Heading3"/>
      </w:pPr>
      <w:r>
        <w:t xml:space="preserve">B2. Terms of Service</w:t>
      </w:r>
    </w:p>
    <w:p>
      <w:pPr>
        <w:spacing w:after="120"/>
      </w:pPr>
      <w:r>
        <w:rPr>
          <w:b/>
          <w:bCs/>
        </w:rPr>
        <w:t xml:space="preserve">Reads correctly:</w:t>
      </w:r>
      <w:r>
        <w:t xml:space="preserve"> entity/ACN, per-region trial model, family pricing and activation-fee description (matches the live pricing page), tokens-have-no-cash-value clause, no-guaranteed-outcomes clause, ACL non-excludable-guarantees acknowledgement, and the governing-law clause with its consumer carve-out.</w:t>
      </w:r>
    </w:p>
    <w:p>
      <w:pPr>
        <w:spacing w:after="120"/>
      </w:pPr>
      <w:r>
        <w:rPr>
          <w:b/>
          <w:bCs/>
        </w:rPr>
        <w:t xml:space="preserve">Fixed inline in this review: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Section 9 now notes Shopify "</w:t>
      </w:r>
      <w:r>
        <w:rPr>
          <w:b/>
          <w:bCs/>
        </w:rPr>
        <w:t xml:space="preserve">or an alternative provider</w:t>
      </w:r>
      <w:r>
        <w:t xml:space="preserve"> where Shopify is unavailable," aligning it with Section 4.2.</w:t>
      </w:r>
    </w:p>
    <w:p>
      <w:pPr>
        <w:spacing w:after="120"/>
      </w:pPr>
      <w:r>
        <w:rPr>
          <w:b/>
          <w:bCs/>
        </w:rPr>
        <w:t xml:space="preserve">Open notes / to double-check: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Renewal notice logic (Section 4.2).</w:t>
      </w:r>
      <w:r>
        <w:t xml:space="preserve"> "30 days before automatic renewal" cannot literally apply to monthly plans (they renew every ~30 days). Confirm: 30-day notice for </w:t>
      </w:r>
      <w:r>
        <w:rPr>
          <w:b/>
          <w:bCs/>
        </w:rPr>
        <w:t xml:space="preserve">annual</w:t>
      </w:r>
      <w:r>
        <w:t xml:space="preserve"> renewals; monthly renewals covered by the billing receipt. Reword accordingly.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Liability cap AUD $100 (Section 11).</w:t>
      </w:r>
      <w:r>
        <w:t xml:space="preserve"> Aggressive for a consumer contract. The ACL carve-out and resupply fallback help, but confirm enforceability against consumers in the US/ID/TH too; some US states restrict liability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"Non-refundable" wording (Section 4.3).</w:t>
      </w:r>
      <w:r>
        <w:t xml:space="preserve"> Keep it always adjacent to the ACL carve-out (it currently is). Blanket "no refunds" statements attract regulator (ACCC) attention if they read as excluding consumer-guarantee remedies.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Prize draws (Section 6).</w:t>
      </w:r>
      <w:r>
        <w:t xml:space="preserve"> Still needs the trade-promotion/permit check per market (AU state permits, ID, TH) and standard draw terms — already flagged in-document.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Cambridge alignment (Section 8).</w:t>
      </w:r>
      <w:r>
        <w:t xml:space="preserve"> Confirm the permitted way to describe alignment to the Cambridge syllabus and any required attribution/licence; "Cambridge" is a protected brand.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App-store rider.</w:t>
      </w:r>
      <w:r>
        <w:t xml:space="preserve"> Section 9 is good; when the iOS build ships, confirm whether Apple's required EULA terms (e.g. Apple as third-party beneficiary) need adding.</w:t>
      </w:r>
    </w:p>
    <w:p>
      <w:pPr>
        <w:pStyle w:val="Heading3"/>
      </w:pPr>
      <w:r>
        <w:t xml:space="preserve">B3. Cookie Policy</w:t>
      </w:r>
    </w:p>
    <w:p>
      <w:pPr>
        <w:spacing w:after="120"/>
      </w:pPr>
      <w:r>
        <w:rPr>
          <w:b/>
          <w:bCs/>
        </w:rPr>
        <w:t xml:space="preserve">Reads correctly and is unusually accurate</w:t>
      </w:r>
      <w:r>
        <w:t xml:space="preserve"> — the cookie inventory (</w:t>
      </w:r>
      <w:r>
        <w:rPr>
          <w:rFonts w:ascii="Consolas" w:cs="Consolas" w:eastAsia="Consolas" w:hAnsi="Consolas"/>
        </w:rPr>
        <w:t xml:space="preserve">kg_choice</w:t>
      </w:r>
      <w:r>
        <w:t xml:space="preserve">, </w:t>
      </w:r>
      <w:r>
        <w:rPr>
          <w:rFonts w:ascii="Consolas" w:cs="Consolas" w:eastAsia="Consolas" w:hAnsi="Consolas"/>
        </w:rPr>
        <w:t xml:space="preserve">kg_lang</w:t>
      </w:r>
      <w:r>
        <w:t xml:space="preserve">, GA4 </w:t>
      </w:r>
      <w:r>
        <w:rPr>
          <w:rFonts w:ascii="Consolas" w:cs="Consolas" w:eastAsia="Consolas" w:hAnsi="Consolas"/>
        </w:rPr>
        <w:t xml:space="preserve">_ga</w:t>
      </w:r>
      <w:r>
        <w:t xml:space="preserve">/</w:t>
      </w:r>
      <w:r>
        <w:rPr>
          <w:rFonts w:ascii="Consolas" w:cs="Consolas" w:eastAsia="Consolas" w:hAnsi="Consolas"/>
        </w:rPr>
        <w:t xml:space="preserve">_ga_*</w:t>
      </w:r>
      <w:r>
        <w:t xml:space="preserve">, Cloudflare </w:t>
      </w:r>
      <w:r>
        <w:rPr>
          <w:rFonts w:ascii="Consolas" w:cs="Consolas" w:eastAsia="Consolas" w:hAnsi="Consolas"/>
        </w:rPr>
        <w:t xml:space="preserve">__cf_bm</w:t>
      </w:r>
      <w:r>
        <w:t xml:space="preserve">, sessionStorage for the help widget) was built from the actual code.</w:t>
      </w:r>
    </w:p>
    <w:p>
      <w:pPr>
        <w:spacing w:after="120"/>
      </w:pPr>
      <w:r>
        <w:rPr>
          <w:b/>
          <w:bCs/>
        </w:rPr>
        <w:t xml:space="preserve">Open notes / to double-check: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Consent-banner dependency.</w:t>
      </w:r>
      <w:r>
        <w:t xml:space="preserve"> The policy assumes a consent banner "where shown," but none is implemented yet. Thailand (PDPA) expects consent before non-essential cookies; even with EU/UK blocked, a banner that gates GA4 is recommended. This is an implementation task, not just wording.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GPC wording alignment.</w:t>
      </w:r>
      <w:r>
        <w:t xml:space="preserve"> Section 8's GPC paragraph should mirror the softened Privacy Policy wording (we don't sell/share, so the signal changes nothing; we honour it where a law requires). Minor consistency fix.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Checklist item 2</w:t>
      </w:r>
      <w:r>
        <w:t xml:space="preserve"> still frames the banner as an EU/UK requirement; update to reflect that EU/UK are now blocked and Thailand is the live driver.</w:t>
      </w:r>
    </w:p>
    <w:p>
      <w:pPr>
        <w:pStyle w:val="Heading3"/>
      </w:pPr>
      <w:r>
        <w:t xml:space="preserve">B4. Children's Privacy Notice</w:t>
      </w:r>
    </w:p>
    <w:p>
      <w:pPr>
        <w:spacing w:after="120"/>
      </w:pPr>
      <w:r>
        <w:rPr>
          <w:b/>
          <w:bCs/>
        </w:rPr>
        <w:t xml:space="preserve">Reads correctly</w:t>
      </w:r>
      <w:r>
        <w:t xml:space="preserve"> and does its job as a plain-language companion; the "For kids" section is a genuine plus for the emerging children's-code expectations.</w:t>
      </w:r>
    </w:p>
    <w:p>
      <w:pPr>
        <w:spacing w:after="120"/>
      </w:pPr>
      <w:r>
        <w:rPr>
          <w:b/>
          <w:bCs/>
        </w:rPr>
        <w:t xml:space="preserve">Open notes / to double-check: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"Exact location (no GPS)" vs general location.</w:t>
      </w:r>
      <w:r>
        <w:t xml:space="preserve"> The notice lists location under "what we DON'T collect," but the Privacy Policy *does* collect general location (country, and state/city where provided). Not contradictory (GPS ≠ general location), but a careful parent could read tension. Consider a one-line clarification: "we know your country/region for pricing and rankings, but never your child's exact location."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Contact routing.</w:t>
      </w:r>
      <w:r>
        <w:t xml:space="preserve"> Uses support@ only; consider adding privacy@ for consistency with the Privacy Policy (kept friendly, support@ is fine as the visible channel).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Emoji rendering</w:t>
      </w:r>
      <w:r>
        <w:t xml:space="preserve"> — confirm ❌/🚫/👋/✨ render across the site and apps.</w:t>
      </w:r>
    </w:p>
    <w:p>
      <w:pPr>
        <w:pBdr>
          <w:bottom w:val="single" w:color="D8DDE3" w:sz="4"/>
        </w:pBdr>
        <w:spacing w:after="120" w:before="60"/>
      </w:pPr>
    </w:p>
    <w:p>
      <w:pPr>
        <w:pStyle w:val="Heading2"/>
      </w:pPr>
      <w:r>
        <w:t xml:space="preserve">C. Jurisdiction compliance flags</w:t>
      </w:r>
    </w:p>
    <w:p>
      <w:pPr>
        <w:spacing w:after="120"/>
      </w:pPr>
      <w:r>
        <w:rPr>
          <w:b/>
          <w:bCs/>
        </w:rPr>
        <w:t xml:space="preserve">United States (COPPA + state laws)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Verifiable parental consent: the refundable US$1 card charge is an FTC-recognised "monetary transaction" method — confirm it generates a cardholder notification (Developer Question 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Amended COPPA Rule (2025): separate consent for third-party disclosures; written/public data-retention policy; updated direct-notice content. Verify against the app's actual data flows.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Persistent identifiers count as children's personal information — govern analytics/SDKs accordingly.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CCPA/CPRA (California) and other state laws: you don't sell/share, which simplifies compliance; keep the "do not sell/share" statements accurate.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Auto-renewal laws: see Priority Item 6.</w:t>
      </w:r>
    </w:p>
    <w:p>
      <w:pPr>
        <w:spacing w:after="120"/>
      </w:pPr>
      <w:r>
        <w:rPr>
          <w:b/>
          <w:bCs/>
        </w:rPr>
        <w:t xml:space="preserve">Australia (Privacy Act 1988 + APPs, and 2024 reforms)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1.4 privacy-policy content: mostly covered; ensure it states kinds of data, collection/holding methods, purposes, access/correction process, complaint process, and overseas disclosure + countries (APP 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Children's Online Privacy Code (in development) — plan for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Statutory tort for serious invasions of privacy (2024 reforms) raises the cost of a breach — reinforces the need for real security controls (Developer Questions 13–17).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registered office address and whether an ABN should appear (GST/tax-invoice context).</w:t>
      </w:r>
    </w:p>
    <w:p>
      <w:pPr>
        <w:spacing w:after="120"/>
      </w:pPr>
      <w:r>
        <w:rPr>
          <w:b/>
          <w:bCs/>
        </w:rPr>
        <w:t xml:space="preserve">Indonesia (UU PDP No. 27/2022, fully enforceable since Oct 2024)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Parental consent for children's data — align with the consent mechanism.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Possible DPO requirement (Priority Item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Cross-border transfer rules — confirm lawful basis.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Marketing: lean to explicit opt-in for Indonesian users.</w:t>
      </w:r>
    </w:p>
    <w:p>
      <w:pPr>
        <w:spacing w:after="120"/>
      </w:pPr>
      <w:r>
        <w:rPr>
          <w:b/>
          <w:bCs/>
        </w:rPr>
        <w:t xml:space="preserve">Thailand (PDPA B.E. 2562)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Children's consent: for a minor, consent from the person with parental responsibility; for a child under 10, the parent consents outright — confirm the flow captures this for 5–12-year-olds.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Possible DPO requirement (Priority Item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Breach notification within 72 hours.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Marketing consent and cookie consent expectations.</w:t>
      </w:r>
    </w:p>
    <w:p>
      <w:pPr>
        <w:pBdr>
          <w:bottom w:val="single" w:color="D8DDE3" w:sz="4"/>
        </w:pBdr>
        <w:spacing w:after="120" w:before="60"/>
      </w:pPr>
    </w:p>
    <w:p>
      <w:pPr>
        <w:pStyle w:val="Heading2"/>
      </w:pPr>
      <w:r>
        <w:t xml:space="preserve">D. Missing information to fill before publishing (consolidated)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Effective date</w:t>
      </w:r>
      <w:r>
        <w:t xml:space="preserve"> (all four documents).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ABN</w:t>
      </w:r>
      <w:r>
        <w:t xml:space="preserve"> + confirm the registered office address — *Privacy Policy Section 1, Terms Section 1.*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Hosting</w:t>
      </w:r>
      <w:r>
        <w:t xml:space="preserve"> — provider confirmed as </w:t>
      </w:r>
      <w:r>
        <w:rPr>
          <w:b/>
          <w:bCs/>
        </w:rPr>
        <w:t xml:space="preserve">AWS</w:t>
      </w:r>
      <w:r>
        <w:t xml:space="preserve">; still confirm data-region per market, backup location, and the "domicile country" residency claim — *Privacy Policy Sections 6, 8 and 10.*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Full app SDK list</w:t>
      </w:r>
      <w:r>
        <w:t xml:space="preserve"> (analytics, crash, push, ads) and what each receives — *Privacy Policy Section 3.3, Cookie Policy Section 7.*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Payment providers</w:t>
      </w:r>
      <w:r>
        <w:t xml:space="preserve"> — </w:t>
      </w:r>
      <w:r>
        <w:rPr>
          <w:b/>
          <w:bCs/>
        </w:rPr>
        <w:t xml:space="preserve">Shopify</w:t>
      </w:r>
      <w:r>
        <w:t xml:space="preserve"> and </w:t>
      </w:r>
      <w:r>
        <w:rPr>
          <w:b/>
          <w:bCs/>
        </w:rPr>
        <w:t xml:space="preserve">GoPay</w:t>
      </w:r>
      <w:r>
        <w:t xml:space="preserve"> named; confirm the Thailand provider and add GoPay's privacy-policy URL — *Privacy Policy Section 3.4, Terms Sections 4.2 and 9.*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Security specifics actually applied</w:t>
      </w:r>
      <w:r>
        <w:t xml:space="preserve"> (encryption, access controls) — *Privacy Policy Section 11.*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Leaderboard</w:t>
      </w:r>
      <w:r>
        <w:t xml:space="preserve">: exact fields shown, opt-out, public vs login-only — *Privacy Policy Section 4.2, Children's Notice.*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Push-notification targets</w:t>
      </w:r>
      <w:r>
        <w:t xml:space="preserve"> (parent / child / both) — *Privacy Policy Section 3.3.*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Final retention periods</w:t>
      </w:r>
      <w:r>
        <w:t xml:space="preserve">; deletion and backup-purge reality — *Privacy Policy Section 10.*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Cambridge alignment / attribution wording</w:t>
      </w:r>
      <w:r>
        <w:t xml:space="preserve"> — *Terms Section 8.*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School agreement</w:t>
      </w:r>
      <w:r>
        <w:t xml:space="preserve"> + controller/processor stance; any Cambridge data sharing — *Privacy Policy Section 14, Terms Section 12.*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Change-notification method</w:t>
      </w:r>
      <w:r>
        <w:t xml:space="preserve"> to users — *Privacy Policy Section 16, Terms Section 14.*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Recipient countries</w:t>
      </w:r>
      <w:r>
        <w:t xml:space="preserve"> for overseas disclosure (APP 8) — *Privacy Policy Section 8.*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Cookie-consent banner</w:t>
      </w:r>
      <w:r>
        <w:t xml:space="preserve"> + GPC technical handling — *Cookie Policy Sections 8–9.*</w:t>
      </w:r>
    </w:p>
    <w:p>
      <w:pPr>
        <w:pBdr>
          <w:bottom w:val="single" w:color="D8DDE3" w:sz="4"/>
        </w:pBdr>
        <w:spacing w:after="120" w:before="60"/>
      </w:pPr>
    </w:p>
    <w:p>
      <w:pPr>
        <w:pStyle w:val="Heading2"/>
      </w:pPr>
      <w:r>
        <w:t xml:space="preserve">E. Questions for the Application developers</w:t>
      </w:r>
    </w:p>
    <w:p>
      <w:pPr>
        <w:spacing w:after="120"/>
      </w:pPr>
      <w:r>
        <w:rPr>
          <w:i/>
          <w:iCs/>
          <w:color w:val="555F6B"/>
        </w:rPr>
        <w:t xml:space="preserve">Please answer each; several determine whether the policies are accurate as written.</w:t>
      </w:r>
    </w:p>
    <w:p>
      <w:pPr>
        <w:spacing w:after="120"/>
      </w:pPr>
      <w:r>
        <w:rPr>
          <w:b/>
          <w:bCs/>
        </w:rPr>
        <w:t xml:space="preserve">Data collection &amp; identifiers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Does the app request microphone or camera OS permissions at any point? (The notices state we do not record a child's voice — this must stay true at the permission level.)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Does the app collect device identifiers, advertising IDs (IDFA / Android Advertising ID), or use any device fingerprinting? For which users — parent, child, or both?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List every third-party SDK</w:t>
      </w:r>
      <w:r>
        <w:t xml:space="preserve"> in the iOS and Android apps (analytics, crash reporting, push, A/B testing, ads, attribution), each with its purpose and what data it receives.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 any of those SDKs transmit </w:t>
      </w:r>
      <w:r>
        <w:rPr>
          <w:b/>
          <w:bCs/>
        </w:rPr>
        <w:t xml:space="preserve">children's</w:t>
      </w:r>
      <w:r>
        <w:t xml:space="preserve"> data — including persistent identifiers — to a third party? If so, which, and can it be disabled for child profiles?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Is push notification implemented? Via which service (Firebase Cloud Messaging, APNs directly, OneSignal, etc.)? Are notifications sent to the parent's device, the child's device, or both?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How is a family's </w:t>
      </w:r>
      <w:r>
        <w:rPr>
          <w:b/>
          <w:bCs/>
        </w:rPr>
        <w:t xml:space="preserve">state and city</w:t>
      </w:r>
      <w:r>
        <w:t xml:space="preserve"> determined — parent-entered, derived from billing address, or IP geolocation?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Does the app or website collect any </w:t>
      </w:r>
      <w:r>
        <w:rPr>
          <w:b/>
          <w:bCs/>
        </w:rPr>
        <w:t xml:space="preserve">health, disability, or special-education-needs</w:t>
      </w:r>
      <w:r>
        <w:t xml:space="preserve"> information (which would be sensitive data)?</w:t>
      </w:r>
    </w:p>
    <w:p>
      <w:pPr>
        <w:spacing w:after="120"/>
      </w:pPr>
      <w:r>
        <w:rPr>
          <w:b/>
          <w:bCs/>
        </w:rPr>
        <w:t xml:space="preserve">Accounts, consent &amp; payments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How is the US </w:t>
      </w:r>
      <w:r>
        <w:rPr>
          <w:b/>
          <w:bCs/>
        </w:rPr>
        <w:t xml:space="preserve">$1 charge</w:t>
      </w:r>
      <w:r>
        <w:t xml:space="preserve"> implemented — capture-then-refund? And does it generate a </w:t>
      </w:r>
      <w:r>
        <w:rPr>
          <w:b/>
          <w:bCs/>
        </w:rPr>
        <w:t xml:space="preserve">transaction notification to the cardholder</w:t>
      </w:r>
      <w:r>
        <w:t xml:space="preserve"> (required for the COPPA monetary-transaction consent method)?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For US trials, is the card stored/tokenised, and does the trial </w:t>
      </w:r>
      <w:r>
        <w:rPr>
          <w:b/>
          <w:bCs/>
        </w:rPr>
        <w:t xml:space="preserve">auto-convert</w:t>
      </w:r>
      <w:r>
        <w:t xml:space="preserve"> to paid, or must the user re-enter payment to subscribe?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Which </w:t>
      </w:r>
      <w:r>
        <w:rPr>
          <w:b/>
          <w:bCs/>
        </w:rPr>
        <w:t xml:space="preserve">payment provider</w:t>
      </w:r>
      <w:r>
        <w:t xml:space="preserve"> is used in Indonesia and Thailand (Shopify Payments is unavailable there), and what billing/card data does it collect?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How is </w:t>
      </w:r>
      <w:r>
        <w:rPr>
          <w:b/>
          <w:bCs/>
        </w:rPr>
        <w:t xml:space="preserve">EU/UK blocking</w:t>
      </w:r>
      <w:r>
        <w:t xml:space="preserve"> implemented — IP geo-block, billing-country restriction, or both — and at what stage (browse, sign-up, checkout)?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Is there an </w:t>
      </w:r>
      <w:r>
        <w:rPr>
          <w:b/>
          <w:bCs/>
        </w:rPr>
        <w:t xml:space="preserve">email verification</w:t>
      </w:r>
      <w:r>
        <w:t xml:space="preserve"> step at sign-up, and does account activation depend on it?</w:t>
      </w:r>
    </w:p>
    <w:p>
      <w:pPr>
        <w:spacing w:after="120"/>
      </w:pPr>
      <w:r>
        <w:rPr>
          <w:b/>
          <w:bCs/>
        </w:rPr>
        <w:t xml:space="preserve">Security, storage &amp; retention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Where is user data </w:t>
      </w:r>
      <w:r>
        <w:rPr>
          <w:b/>
          <w:bCs/>
        </w:rPr>
        <w:t xml:space="preserve">hosted</w:t>
      </w:r>
      <w:r>
        <w:t xml:space="preserve"> (provider + country/region)? Where are backups stored?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Data residency:</w:t>
      </w:r>
      <w:r>
        <w:t xml:space="preserve"> the Privacy Policy now states account data is "maintained only in your domicile country." Is that actually true — i.e. is each market's data kept in its own </w:t>
      </w:r>
      <w:r>
        <w:rPr>
          <w:b/>
          <w:bCs/>
        </w:rPr>
        <w:t xml:space="preserve">AWS region</w:t>
      </w:r>
      <w:r>
        <w:t xml:space="preserve"> (e.g. Sydney for AU, Jakarta for ID, Bangkok for TH, a US region for US)? Or is data centralised in one region? This determines whether the residency claim and the international-transfers section are accurate.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Is data </w:t>
      </w:r>
      <w:r>
        <w:rPr>
          <w:b/>
          <w:bCs/>
        </w:rPr>
        <w:t xml:space="preserve">encrypted</w:t>
      </w:r>
      <w:r>
        <w:t xml:space="preserve"> in transit (TLS) and at rest? How are passwords stored (hashing algorithm + salting)?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What are the </w:t>
      </w:r>
      <w:r>
        <w:rPr>
          <w:b/>
          <w:bCs/>
        </w:rPr>
        <w:t xml:space="preserve">actual retention periods</w:t>
      </w:r>
      <w:r>
        <w:t xml:space="preserve">? Is account deletion a hard delete, and what is the backup-purge cycle?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Who internally can access </w:t>
      </w:r>
      <w:r>
        <w:rPr>
          <w:b/>
          <w:bCs/>
        </w:rPr>
        <w:t xml:space="preserve">children's data</w:t>
      </w:r>
      <w:r>
        <w:t xml:space="preserve">? Are there role-based access controls and audit logging?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Is there a documented </w:t>
      </w:r>
      <w:r>
        <w:rPr>
          <w:b/>
          <w:bCs/>
        </w:rPr>
        <w:t xml:space="preserve">data-breach response</w:t>
      </w:r>
      <w:r>
        <w:t xml:space="preserve"> process, and can you meet 72-hour / 3×24-hour regulator-notification timelines?</w:t>
      </w:r>
    </w:p>
    <w:p>
      <w:pPr>
        <w:spacing w:after="120"/>
      </w:pPr>
      <w:r>
        <w:rPr>
          <w:b/>
          <w:bCs/>
        </w:rPr>
        <w:t xml:space="preserve">Leaderboard, schools &amp; sharing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Exactly which fields are shown </w:t>
      </w:r>
      <w:r>
        <w:rPr>
          <w:b/>
          <w:bCs/>
        </w:rPr>
        <w:t xml:space="preserve">publicly</w:t>
      </w:r>
      <w:r>
        <w:t xml:space="preserve"> on the leaderboard for a child (nickname? real name? country? state/city? avatar? score?)?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Is the leaderboard visible to </w:t>
      </w:r>
      <w:r>
        <w:rPr>
          <w:b/>
          <w:bCs/>
        </w:rPr>
        <w:t xml:space="preserve">non-logged-in</w:t>
      </w:r>
      <w:r>
        <w:t xml:space="preserve"> visitors, or only to logged-in users inside the app?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Can a parent turn a child's </w:t>
      </w:r>
      <w:r>
        <w:rPr>
          <w:b/>
          <w:bCs/>
        </w:rPr>
        <w:t xml:space="preserve">leaderboard visibility off</w:t>
      </w:r>
      <w:r>
        <w:t xml:space="preserve">, and is it </w:t>
      </w:r>
      <w:r>
        <w:rPr>
          <w:b/>
          <w:bCs/>
        </w:rPr>
        <w:t xml:space="preserve">on or off by default</w:t>
      </w:r>
      <w:r>
        <w:t xml:space="preserve">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Is any child/student data ever sent to </w:t>
      </w:r>
      <w:r>
        <w:rPr>
          <w:b/>
          <w:bCs/>
        </w:rPr>
        <w:t xml:space="preserve">Cambridge Assessment</w:t>
      </w:r>
      <w:r>
        <w:t xml:space="preserve"> or other curriculum/third-party educational bodies?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For </w:t>
      </w:r>
      <w:r>
        <w:rPr>
          <w:b/>
          <w:bCs/>
        </w:rPr>
        <w:t xml:space="preserve">school accounts</w:t>
      </w:r>
      <w:r>
        <w:t xml:space="preserve">: do schools bulk-upload student data? Where is it stored, and who controls it (school vs The Kids Gate)?</w:t>
      </w:r>
    </w:p>
    <w:p>
      <w:pPr>
        <w:spacing w:after="120"/>
      </w:pPr>
      <w:r>
        <w:rPr>
          <w:b/>
          <w:bCs/>
        </w:rPr>
        <w:t xml:space="preserve">Cookies &amp; consent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Does </w:t>
      </w:r>
      <w:r>
        <w:rPr>
          <w:b/>
          <w:bCs/>
        </w:rPr>
        <w:t xml:space="preserve">GA4/GTM load before or after</w:t>
      </w:r>
      <w:r>
        <w:t xml:space="preserve"> cookie consent, and is a consent banner implemented anywhere?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Does the site detect and honour </w:t>
      </w:r>
      <w:r>
        <w:rPr>
          <w:b/>
          <w:bCs/>
        </w:rPr>
        <w:t xml:space="preserve">Global Privacy Control (GPC)</w:t>
      </w:r>
      <w:r>
        <w:t xml:space="preserve"> signals?</w:t>
      </w:r>
    </w:p>
    <w:p>
      <w:pPr>
        <w:pBdr>
          <w:bottom w:val="single" w:color="D8DDE3" w:sz="4"/>
        </w:pBdr>
        <w:spacing w:after="120" w:before="60"/>
      </w:pPr>
    </w:p>
    <w:p>
      <w:pPr>
        <w:pStyle w:val="Heading2"/>
      </w:pPr>
      <w:r>
        <w:t xml:space="preserve">F. Recommended pre-launch priority order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Get the developer answers in Section E — several policy statements are only "true if" the app behaves as assumed (voice, SDKs, identifiers, analytics on child screens).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Resolve the COPPA third-party-disclosure and persistent-identifier questions (A1–A2) — highest legal-risk area for a US kids' product.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Name the ID/TH payment provider and confirm the EU/UK block actually works.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Fill the missing facts in Section D (hosting, SDKs, retention, security, leaderboard).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Decide the US trial auto-convert behaviour and align the checkout with US auto-renewal law.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Have counsel review all four documents together — with these notes attached — and advise on the DPO question (ID/TH) and the Australian Children's Online Privacy Code.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Implement the cookie-consent banner (Thailand driver) before enabling GA4.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8" w:space="4"/>
      </w:pBdr>
      <w:tabs>
        <w:tab w:val="right" w:pos="9026"/>
      </w:tabs>
    </w:pPr>
    <w:r>
      <w:rPr>
        <w:color w:val="555F6B"/>
        <w:sz w:val="16"/>
        <w:szCs w:val="16"/>
      </w:rPr>
      <w:t xml:space="preserve">The Kids Gate — Legal &amp; Compliance Review Notes</w:t>
    </w:r>
    <w:r>
      <w:rPr>
        <w:color w:val="555F6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A623" w:sz="12" w:space="4"/>
      </w:pBdr>
      <w:spacing w:after="160" w:before="0"/>
      <w:outlineLvl w:val="0"/>
    </w:pPr>
    <w:rPr>
      <w:rFonts w:ascii="Arial" w:cs="Arial" w:eastAsia="Arial" w:hAnsi="Arial"/>
      <w:b/>
      <w:bCs/>
      <w:color w:val="1C2B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2B3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F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Kids Gate — Privacy Policy</dc:title>
  <dc:creator>GATE Edutech Solutions Pty Ltd</dc:creator>
  <cp:lastModifiedBy>Un-named</cp:lastModifiedBy>
  <cp:revision>1</cp:revision>
  <dcterms:created xsi:type="dcterms:W3CDTF">2026-07-07T05:47:44.045Z</dcterms:created>
  <dcterms:modified xsi:type="dcterms:W3CDTF">2026-07-07T05:47:44.046Z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