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Kids Gate — Terms of Service</w:t>
      </w:r>
    </w:p>
    <w:p>
      <w:pPr>
        <w:spacing w:after="120"/>
      </w:pPr>
      <w:r>
        <w:rPr>
          <w:b/>
          <w:bCs/>
        </w:rPr>
        <w:t xml:space="preserve">Last updated:</w:t>
      </w:r>
      <w:r>
        <w:t xml:space="preserve"> </w:t>
      </w:r>
      <w:r>
        <w:rPr>
          <w:b/>
          <w:bCs/>
          <w:color w:val="B36B00"/>
        </w:rPr>
        <w:t xml:space="preserve">[INSERT EFFECTIVE DATE]</w:t>
      </w:r>
    </w:p>
    <w:p>
      <w:pPr>
        <w:pBdr>
          <w:left w:val="single" w:color="F5A623" w:sz="18" w:space="6"/>
        </w:pBdr>
        <w:shd w:fill="FDF6EA" w:val="clear"/>
        <w:spacing w:after="160" w:before="120"/>
        <w:ind w:left="360" w:right="360"/>
      </w:pPr>
      <w:r>
        <w:rPr>
          <w:b/>
          <w:bCs/>
          <w:color w:val="555F6B"/>
        </w:rPr>
        <w:t xml:space="preserve">Note for review — delete before publishing.</w:t>
      </w:r>
      <w:r>
        <w:rPr>
          <w:color w:val="555F6B"/>
        </w:rPr>
        <w:t xml:space="preserve"> This draft is for GATE Edutech Solutions Pty Ltd and covers the website (thekidsgate.com) and the Kids Gate mobile apps. It is written to work alongside the Privacy Policy draft (PRIVACY-POLICY.md) and uses the same conventions: items in </w:t>
      </w:r>
      <w:r>
        <w:rPr>
          <w:rFonts w:ascii="Consolas" w:cs="Consolas" w:eastAsia="Consolas" w:hAnsi="Consolas"/>
          <w:color w:val="555F6B"/>
        </w:rPr>
        <w:t xml:space="preserve">[SQUARE BRACKETS]</w:t>
      </w:r>
      <w:r>
        <w:rPr>
          <w:color w:val="555F6B"/>
        </w:rPr>
        <w:t xml:space="preserve"> need confirmation, and open decisions are listed at the end under </w:t>
      </w:r>
      <w:r>
        <w:rPr>
          <w:b/>
          <w:bCs/>
          <w:color w:val="555F6B"/>
        </w:rPr>
        <w:t xml:space="preserve">"Items still to confirm."</w:t>
      </w:r>
      <w:r>
        <w:rPr>
          <w:color w:val="555F6B"/>
        </w:rPr>
        <w:t xml:space="preserve"> Have a qualified lawyer review before publishing — subscription terms, auto-renewal disclosures and consumer-law wording have jurisdiction-specific requirements.</w:t>
      </w:r>
    </w:p>
    <w:p>
      <w:pPr>
        <w:pBdr>
          <w:bottom w:val="single" w:color="D8DDE3" w:sz="4"/>
        </w:pBdr>
        <w:spacing w:after="120" w:before="60"/>
      </w:pPr>
    </w:p>
    <w:p>
      <w:pPr>
        <w:pStyle w:val="Heading2"/>
      </w:pPr>
      <w:r>
        <w:t xml:space="preserve">The short version</w:t>
      </w:r>
    </w:p>
    <w:p>
      <w:pPr>
        <w:pStyle w:val="ListParagraph"/>
        <w:numPr>
          <w:ilvl w:val="0"/>
          <w:numId w:val="2"/>
        </w:numPr>
        <w:spacing w:after="60"/>
      </w:pPr>
      <w:r>
        <w:t xml:space="preserve">The Kids Gate is a subscription learning platform for children aged 5–12, run by GATE Edutech Solutions Pty Ltd (Australia).</w:t>
      </w:r>
    </w:p>
    <w:p>
      <w:pPr>
        <w:pStyle w:val="ListParagraph"/>
        <w:numPr>
          <w:ilvl w:val="0"/>
          <w:numId w:val="2"/>
        </w:numPr>
        <w:spacing w:after="60"/>
      </w:pPr>
      <w:r>
        <w:t xml:space="preserve">A </w:t>
      </w:r>
      <w:r>
        <w:rPr>
          <w:b/>
          <w:bCs/>
        </w:rPr>
        <w:t xml:space="preserve">parent or guardian</w:t>
      </w:r>
      <w:r>
        <w:t xml:space="preserve"> holds the account and is responsible for it. Children use the Services under that account.</w:t>
      </w:r>
    </w:p>
    <w:p>
      <w:pPr>
        <w:pStyle w:val="ListParagraph"/>
        <w:numPr>
          <w:ilvl w:val="0"/>
          <w:numId w:val="2"/>
        </w:numPr>
        <w:spacing w:after="60"/>
      </w:pPr>
      <w:r>
        <w:t xml:space="preserve">You get a </w:t>
      </w:r>
      <w:r>
        <w:rPr>
          <w:b/>
          <w:bCs/>
        </w:rPr>
        <w:t xml:space="preserve">30-day free trial</w:t>
      </w:r>
      <w:r>
        <w:t xml:space="preserve">. In Australia, Indonesia and Thailand no credit card is required; in the United States it starts with a </w:t>
      </w:r>
      <w:r>
        <w:rPr>
          <w:b/>
          <w:bCs/>
        </w:rPr>
        <w:t xml:space="preserve">refundable US$1 charge</w:t>
      </w:r>
      <w:r>
        <w:t xml:space="preserve"> that verifies you are an adult (you get the $1 back). Paid plans are billed monthly or annually through our payment provider, and you can </w:t>
      </w:r>
      <w:r>
        <w:rPr>
          <w:b/>
          <w:bCs/>
        </w:rPr>
        <w:t xml:space="preserve">cancel at any time</w:t>
      </w:r>
      <w:r>
        <w:t xml:space="preserve">.</w:t>
      </w:r>
    </w:p>
    <w:p>
      <w:pPr>
        <w:pStyle w:val="ListParagraph"/>
        <w:numPr>
          <w:ilvl w:val="0"/>
          <w:numId w:val="2"/>
        </w:numPr>
        <w:spacing w:after="60"/>
      </w:pPr>
      <w:r>
        <w:t xml:space="preserve">The learning content belongs to us and our licensors — you get a personal, family licence to use it, not to copy or resell it.</w:t>
      </w:r>
    </w:p>
    <w:p>
      <w:pPr>
        <w:pStyle w:val="ListParagraph"/>
        <w:numPr>
          <w:ilvl w:val="0"/>
          <w:numId w:val="2"/>
        </w:numPr>
        <w:spacing w:after="60"/>
      </w:pPr>
      <w:r>
        <w:t xml:space="preserve">We work hard to make the platform effective, but we </w:t>
      </w:r>
      <w:r>
        <w:rPr>
          <w:b/>
          <w:bCs/>
        </w:rPr>
        <w:t xml:space="preserve">cannot guarantee specific educational results</w:t>
      </w:r>
      <w:r>
        <w:t xml:space="preserve">, and the platform is a supplement to — not a replacement for — school.</w:t>
      </w:r>
    </w:p>
    <w:p>
      <w:pPr>
        <w:pStyle w:val="ListParagraph"/>
        <w:numPr>
          <w:ilvl w:val="0"/>
          <w:numId w:val="2"/>
        </w:numPr>
        <w:spacing w:after="60"/>
      </w:pPr>
      <w:r>
        <w:t xml:space="preserve">Nothing in these terms removes consumer rights you have under law, including the Australian Consumer Law.</w:t>
      </w:r>
    </w:p>
    <w:p>
      <w:pPr>
        <w:pBdr>
          <w:bottom w:val="single" w:color="D8DDE3" w:sz="4"/>
        </w:pBdr>
        <w:spacing w:after="120" w:before="60"/>
      </w:pPr>
    </w:p>
    <w:p>
      <w:pPr>
        <w:pStyle w:val="Heading2"/>
      </w:pPr>
      <w:r>
        <w:t xml:space="preserve">1. Who we are and what these terms cover</w:t>
      </w:r>
    </w:p>
    <w:p>
      <w:pPr>
        <w:spacing w:after="120"/>
      </w:pPr>
      <w:r>
        <w:t xml:space="preserve">These Terms of Service ("Terms") are an agreement between you and </w:t>
      </w:r>
      <w:r>
        <w:rPr>
          <w:b/>
          <w:bCs/>
        </w:rPr>
        <w:t xml:space="preserve">GATE Edutech Solutions Pty Ltd</w:t>
      </w:r>
      <w:r>
        <w:t xml:space="preserve"> (ACN 652 998 635) of 1 Oxley Road, Hawthorn VIC 3122, Australia ("The Kids Gate", "we", "us", "our").</w:t>
      </w:r>
    </w:p>
    <w:p>
      <w:pPr>
        <w:spacing w:after="120"/>
      </w:pPr>
      <w:r>
        <w:t xml:space="preserve">They govern your use of:</w:t>
      </w:r>
    </w:p>
    <w:p>
      <w:pPr>
        <w:pStyle w:val="ListParagraph"/>
        <w:numPr>
          <w:ilvl w:val="0"/>
          <w:numId w:val="2"/>
        </w:numPr>
        <w:spacing w:after="60"/>
      </w:pPr>
      <w:r>
        <w:t xml:space="preserve">our website at </w:t>
      </w:r>
      <w:r>
        <w:rPr>
          <w:b/>
          <w:bCs/>
        </w:rPr>
        <w:t xml:space="preserve">thekidsgate.com</w:t>
      </w:r>
      <w:r>
        <w:t xml:space="preserve">;</w:t>
      </w:r>
    </w:p>
    <w:p>
      <w:pPr>
        <w:pStyle w:val="ListParagraph"/>
        <w:numPr>
          <w:ilvl w:val="0"/>
          <w:numId w:val="2"/>
        </w:numPr>
        <w:spacing w:after="60"/>
      </w:pPr>
      <w:r>
        <w:t xml:space="preserve">the </w:t>
      </w:r>
      <w:r>
        <w:rPr>
          <w:b/>
          <w:bCs/>
        </w:rPr>
        <w:t xml:space="preserve">Kids Gate</w:t>
      </w:r>
      <w:r>
        <w:t xml:space="preserve"> applications for iOS and Android; and</w:t>
      </w:r>
    </w:p>
    <w:p>
      <w:pPr>
        <w:pStyle w:val="ListParagraph"/>
        <w:numPr>
          <w:ilvl w:val="0"/>
          <w:numId w:val="2"/>
        </w:numPr>
        <w:spacing w:after="60"/>
      </w:pPr>
      <w:r>
        <w:t xml:space="preserve">all related content, features, dashboards and communications (together, the "Services").</w:t>
      </w:r>
    </w:p>
    <w:p>
      <w:pPr>
        <w:spacing w:after="120"/>
      </w:pPr>
      <w:r>
        <w:t xml:space="preserve">By creating an account, starting a free trial, purchasing a subscription, or otherwise using the Services, you agree to these Terms and to our </w:t>
      </w:r>
      <w:r>
        <w:rPr>
          <w:b/>
          <w:bCs/>
        </w:rPr>
        <w:t xml:space="preserve">[Privacy Policy]</w:t>
      </w:r>
      <w:r>
        <w:t xml:space="preserve"> </w:t>
      </w:r>
      <w:r>
        <w:rPr>
          <w:b/>
          <w:bCs/>
          <w:color w:val="B36B00"/>
        </w:rPr>
        <w:t xml:space="preserve">[LINK]</w:t>
      </w:r>
      <w:r>
        <w:t xml:space="preserve">, which explains how we handle personal information. If you do not agree, do not use the Services.</w:t>
      </w:r>
    </w:p>
    <w:p>
      <w:pPr>
        <w:spacing w:after="120"/>
      </w:pPr>
      <w:r>
        <w:rPr>
          <w:b/>
          <w:bCs/>
        </w:rPr>
        <w:t xml:space="preserve">Contact:</w:t>
      </w:r>
      <w:r>
        <w:t xml:space="preserve"> support@thekidsgate.com</w:t>
      </w:r>
    </w:p>
    <w:p>
      <w:pPr>
        <w:pBdr>
          <w:bottom w:val="single" w:color="D8DDE3" w:sz="4"/>
        </w:pBdr>
        <w:spacing w:after="120" w:before="60"/>
      </w:pPr>
    </w:p>
    <w:p>
      <w:pPr>
        <w:pStyle w:val="Heading2"/>
      </w:pPr>
      <w:r>
        <w:t xml:space="preserve">2. Who may use the Services</w:t>
      </w:r>
    </w:p>
    <w:p>
      <w:pPr>
        <w:pStyle w:val="ListParagraph"/>
        <w:numPr>
          <w:ilvl w:val="0"/>
          <w:numId w:val="2"/>
        </w:numPr>
        <w:spacing w:after="60"/>
      </w:pPr>
      <w:r>
        <w:rPr>
          <w:b/>
          <w:bCs/>
        </w:rPr>
        <w:t xml:space="preserve">Where the Services are offered.</w:t>
      </w:r>
      <w:r>
        <w:t xml:space="preserve"> The Services are offered to residents of </w:t>
      </w:r>
      <w:r>
        <w:rPr>
          <w:b/>
          <w:bCs/>
        </w:rPr>
        <w:t xml:space="preserve">Australia, the United States, Indonesia and Thailand</w:t>
      </w:r>
      <w:r>
        <w:t xml:space="preserve">. They are not offered to, or aimed at, users in the European Union or United Kingdom, and we may block sign-ups from those regions.</w:t>
      </w:r>
    </w:p>
    <w:p>
      <w:pPr>
        <w:pStyle w:val="ListParagraph"/>
        <w:numPr>
          <w:ilvl w:val="0"/>
          <w:numId w:val="2"/>
        </w:numPr>
        <w:spacing w:after="60"/>
      </w:pPr>
      <w:r>
        <w:rPr>
          <w:b/>
          <w:bCs/>
        </w:rPr>
        <w:t xml:space="preserve">Account holders must be adults.</w:t>
      </w:r>
      <w:r>
        <w:t xml:space="preserve"> You must be </w:t>
      </w:r>
      <w:r>
        <w:rPr>
          <w:b/>
          <w:bCs/>
        </w:rPr>
        <w:t xml:space="preserve">18 or older</w:t>
      </w:r>
      <w:r>
        <w:t xml:space="preserve"> and the parent or legal guardian of any child you add to the account.</w:t>
      </w:r>
    </w:p>
    <w:p>
      <w:pPr>
        <w:pStyle w:val="ListParagraph"/>
        <w:numPr>
          <w:ilvl w:val="0"/>
          <w:numId w:val="2"/>
        </w:numPr>
        <w:spacing w:after="60"/>
      </w:pPr>
      <w:r>
        <w:rPr>
          <w:b/>
          <w:bCs/>
        </w:rPr>
        <w:t xml:space="preserve">Children use the Services under your account.</w:t>
      </w:r>
      <w:r>
        <w:t xml:space="preserve"> The Services' learning content is designed for children aged 5–12 (Grades 1–6). A child may only use the Services through a child profile you create and supervise.</w:t>
      </w:r>
    </w:p>
    <w:p>
      <w:pPr>
        <w:pStyle w:val="ListParagraph"/>
        <w:numPr>
          <w:ilvl w:val="0"/>
          <w:numId w:val="2"/>
        </w:numPr>
        <w:spacing w:after="60"/>
      </w:pPr>
      <w:r>
        <w:rPr>
          <w:b/>
          <w:bCs/>
        </w:rPr>
        <w:t xml:space="preserve">Schools and teachers</w:t>
      </w:r>
      <w:r>
        <w:t xml:space="preserve"> may create their own accounts and use the Services under a separate agreement with us or through access a parent activates (see Section 12).</w:t>
      </w:r>
    </w:p>
    <w:p>
      <w:pPr>
        <w:pStyle w:val="ListParagraph"/>
        <w:numPr>
          <w:ilvl w:val="0"/>
          <w:numId w:val="2"/>
        </w:numPr>
        <w:spacing w:after="60"/>
      </w:pPr>
      <w:r>
        <w:t xml:space="preserve">You are responsible for everything that happens under your account, including use by your children. Keep your login details secure and tell us immediately at support@thekidsgate.com if you believe your account has been compromised.</w:t>
      </w:r>
    </w:p>
    <w:p>
      <w:pPr>
        <w:pStyle w:val="ListParagraph"/>
        <w:numPr>
          <w:ilvl w:val="0"/>
          <w:numId w:val="2"/>
        </w:numPr>
        <w:spacing w:after="60"/>
      </w:pPr>
      <w:r>
        <w:t xml:space="preserve">You must provide accurate information when creating an account and keep it up to date.</w:t>
      </w:r>
    </w:p>
    <w:p>
      <w:pPr>
        <w:pBdr>
          <w:bottom w:val="single" w:color="D8DDE3" w:sz="4"/>
        </w:pBdr>
        <w:spacing w:after="120" w:before="60"/>
      </w:pPr>
    </w:p>
    <w:p>
      <w:pPr>
        <w:pStyle w:val="Heading2"/>
      </w:pPr>
      <w:r>
        <w:t xml:space="preserve">3. Free trial</w:t>
      </w:r>
    </w:p>
    <w:p>
      <w:pPr>
        <w:pStyle w:val="ListParagraph"/>
        <w:numPr>
          <w:ilvl w:val="0"/>
          <w:numId w:val="2"/>
        </w:numPr>
        <w:spacing w:after="60"/>
      </w:pPr>
      <w:r>
        <w:t xml:space="preserve">New families receive a </w:t>
      </w:r>
      <w:r>
        <w:rPr>
          <w:b/>
          <w:bCs/>
        </w:rPr>
        <w:t xml:space="preserve">30-day trial</w:t>
      </w:r>
      <w:r>
        <w:t xml:space="preserve">.</w:t>
      </w:r>
    </w:p>
    <w:p>
      <w:pPr>
        <w:pStyle w:val="ListParagraph"/>
        <w:numPr>
          <w:ilvl w:val="0"/>
          <w:numId w:val="2"/>
        </w:numPr>
        <w:spacing w:after="60"/>
      </w:pPr>
      <w:r>
        <w:rPr>
          <w:b/>
          <w:bCs/>
        </w:rPr>
        <w:t xml:space="preserve">In Australia, Indonesia and Thailand the trial is free and no credit card is required.</w:t>
      </w:r>
    </w:p>
    <w:p>
      <w:pPr>
        <w:pStyle w:val="ListParagraph"/>
        <w:numPr>
          <w:ilvl w:val="0"/>
          <w:numId w:val="2"/>
        </w:numPr>
        <w:spacing w:after="60"/>
      </w:pPr>
      <w:r>
        <w:rPr>
          <w:b/>
          <w:bCs/>
        </w:rPr>
        <w:t xml:space="preserve">In the United States, starting the trial requires a card and a refundable US$1 verification charge.</w:t>
      </w:r>
      <w:r>
        <w:t xml:space="preserve"> We take US$1 to confirm the account holder is an adult (a requirement for setting up a child's account under US children's-privacy law) and then </w:t>
      </w:r>
      <w:r>
        <w:rPr>
          <w:b/>
          <w:bCs/>
        </w:rPr>
        <w:t xml:space="preserve">refund it</w:t>
      </w:r>
      <w:r>
        <w:t xml:space="preserve"> — you are not charged for the trial itself. The trial does not automatically become a paid plan; you will not be charged the subscription price unless you actively choose a plan. </w:t>
      </w:r>
      <w:r>
        <w:rPr>
          <w:b/>
          <w:bCs/>
          <w:color w:val="B36B00"/>
        </w:rPr>
        <w:t xml:space="preserve">[CONFIRM: because a card is on file for US trials, decide whether the US trial should auto-convert to a paid plan unless cancelled — a product decision with US auto-renewal-law implications.]</w:t>
      </w:r>
    </w:p>
    <w:p>
      <w:pPr>
        <w:pStyle w:val="ListParagraph"/>
        <w:numPr>
          <w:ilvl w:val="0"/>
          <w:numId w:val="2"/>
        </w:numPr>
        <w:spacing w:after="60"/>
      </w:pPr>
      <w:r>
        <w:t xml:space="preserve">During the trial you get access to the Services as described at sign-up.</w:t>
      </w:r>
    </w:p>
    <w:p>
      <w:pPr>
        <w:pStyle w:val="ListParagraph"/>
        <w:numPr>
          <w:ilvl w:val="0"/>
          <w:numId w:val="2"/>
        </w:numPr>
        <w:spacing w:after="60"/>
      </w:pPr>
      <w:r>
        <w:t xml:space="preserve">When the trial ends, access to learning content pauses until you subscribe. </w:t>
      </w:r>
      <w:r>
        <w:rPr>
          <w:b/>
          <w:bCs/>
          <w:color w:val="B36B00"/>
        </w:rPr>
        <w:t xml:space="preserve">[CONFIRM exactly what happens at trial end — e.g. whether progress and profiles are kept, and for how long. Recommended: keep progress for at least 90 days so families who subscribe later don't lose it — align this with the retention section of the Privacy Policy.]</w:t>
      </w:r>
    </w:p>
    <w:p>
      <w:pPr>
        <w:pStyle w:val="ListParagraph"/>
        <w:numPr>
          <w:ilvl w:val="0"/>
          <w:numId w:val="2"/>
        </w:numPr>
        <w:spacing w:after="60"/>
      </w:pPr>
      <w:r>
        <w:t xml:space="preserve">One trial per family/household. We may decline or withdraw trials where we reasonably suspect abuse (for example, repeated trials through multiple accounts).</w:t>
      </w:r>
    </w:p>
    <w:p>
      <w:pPr>
        <w:pBdr>
          <w:bottom w:val="single" w:color="D8DDE3" w:sz="4"/>
        </w:pBdr>
        <w:spacing w:after="120" w:before="60"/>
      </w:pPr>
    </w:p>
    <w:p>
      <w:pPr>
        <w:pStyle w:val="Heading2"/>
      </w:pPr>
      <w:r>
        <w:t xml:space="preserve">4. Subscriptions, pricing and billing</w:t>
      </w:r>
    </w:p>
    <w:p>
      <w:pPr>
        <w:pStyle w:val="Heading3"/>
      </w:pPr>
      <w:r>
        <w:t xml:space="preserve">4.1 Plans</w:t>
      </w:r>
    </w:p>
    <w:p>
      <w:pPr>
        <w:pStyle w:val="ListParagraph"/>
        <w:numPr>
          <w:ilvl w:val="0"/>
          <w:numId w:val="2"/>
        </w:numPr>
        <w:spacing w:after="60"/>
      </w:pPr>
      <w:r>
        <w:t xml:space="preserve">Plans are per child, per subject: </w:t>
      </w:r>
      <w:r>
        <w:rPr>
          <w:b/>
          <w:bCs/>
        </w:rPr>
        <w:t xml:space="preserve">one subject</w:t>
      </w:r>
      <w:r>
        <w:t xml:space="preserve"> (Cambridge English *or* International Maths) or </w:t>
      </w:r>
      <w:r>
        <w:rPr>
          <w:b/>
          <w:bCs/>
        </w:rPr>
        <w:t xml:space="preserve">two subjects</w:t>
      </w:r>
      <w:r>
        <w:t xml:space="preserve">.</w:t>
      </w:r>
    </w:p>
    <w:p>
      <w:pPr>
        <w:pStyle w:val="ListParagraph"/>
        <w:numPr>
          <w:ilvl w:val="0"/>
          <w:numId w:val="2"/>
        </w:numPr>
        <w:spacing w:after="60"/>
      </w:pPr>
      <w:r>
        <w:t xml:space="preserve">A family account can include </w:t>
      </w:r>
      <w:r>
        <w:rPr>
          <w:b/>
          <w:bCs/>
        </w:rPr>
        <w:t xml:space="preserve">up to four children</w:t>
      </w:r>
      <w:r>
        <w:t xml:space="preserve">, each with their own profile, learning path and progress tracking.</w:t>
      </w:r>
    </w:p>
    <w:p>
      <w:pPr>
        <w:pStyle w:val="ListParagraph"/>
        <w:numPr>
          <w:ilvl w:val="0"/>
          <w:numId w:val="2"/>
        </w:numPr>
        <w:spacing w:after="60"/>
      </w:pPr>
      <w:r>
        <w:rPr>
          <w:b/>
          <w:bCs/>
        </w:rPr>
        <w:t xml:space="preserve">Family pricing:</w:t>
      </w:r>
      <w:r>
        <w:t xml:space="preserve"> the child studying the most subjects is charged at the standard first-child rate; each other child is charged at the additional-child rate for the number of subjects they study.</w:t>
      </w:r>
    </w:p>
    <w:p>
      <w:pPr>
        <w:pStyle w:val="ListParagraph"/>
        <w:numPr>
          <w:ilvl w:val="0"/>
          <w:numId w:val="2"/>
        </w:numPr>
        <w:spacing w:after="60"/>
      </w:pPr>
      <w:r>
        <w:rPr>
          <w:b/>
          <w:bCs/>
        </w:rPr>
        <w:t xml:space="preserve">Activation fee:</w:t>
      </w:r>
      <w:r>
        <w:t xml:space="preserve"> a one-time activation fee applies per child (and per school student), charged once while continuously enrolled. It carries over if you switch from monthly to annual billing, and applies again only if the account lapses or is cancelled and later rejoins.</w:t>
      </w:r>
    </w:p>
    <w:p>
      <w:pPr>
        <w:pStyle w:val="ListParagraph"/>
        <w:numPr>
          <w:ilvl w:val="0"/>
          <w:numId w:val="2"/>
        </w:numPr>
        <w:spacing w:after="60"/>
      </w:pPr>
      <w:r>
        <w:t xml:space="preserve">Prices are shown in your local currency (AUD, USD, IDR or THB) on the pricing page before you buy. Prices include or exclude applicable taxes as stated at checkout. </w:t>
      </w:r>
      <w:r>
        <w:rPr>
          <w:b/>
          <w:bCs/>
          <w:color w:val="B36B00"/>
        </w:rPr>
        <w:t xml:space="preserve">[CONFIRM tax treatment — e.g. whether AU prices are GST-inclusive.]</w:t>
      </w:r>
    </w:p>
    <w:p>
      <w:pPr>
        <w:pStyle w:val="Heading3"/>
      </w:pPr>
      <w:r>
        <w:t xml:space="preserve">4.2 Billing</w:t>
      </w:r>
    </w:p>
    <w:p>
      <w:pPr>
        <w:pStyle w:val="ListParagraph"/>
        <w:numPr>
          <w:ilvl w:val="0"/>
          <w:numId w:val="2"/>
        </w:numPr>
        <w:spacing w:after="60"/>
      </w:pPr>
      <w:r>
        <w:t xml:space="preserve">Payments are processed by our payment provider (</w:t>
      </w:r>
      <w:r>
        <w:rPr>
          <w:b/>
          <w:bCs/>
        </w:rPr>
        <w:t xml:space="preserve">Shopify</w:t>
      </w:r>
      <w:r>
        <w:t xml:space="preserve"> or </w:t>
      </w:r>
      <w:r>
        <w:rPr>
          <w:b/>
          <w:bCs/>
        </w:rPr>
        <w:t xml:space="preserve">GoPay</w:t>
      </w:r>
      <w:r>
        <w:t xml:space="preserve">, and their payment processors, depending on your region). We do not store your full card details.</w:t>
      </w:r>
    </w:p>
    <w:p>
      <w:pPr>
        <w:pStyle w:val="ListParagraph"/>
        <w:numPr>
          <w:ilvl w:val="0"/>
          <w:numId w:val="2"/>
        </w:numPr>
        <w:spacing w:after="60"/>
      </w:pPr>
      <w:r>
        <w:rPr>
          <w:b/>
          <w:bCs/>
        </w:rPr>
        <w:t xml:space="preserve">Monthly plans</w:t>
      </w:r>
      <w:r>
        <w:t xml:space="preserve"> are billed in advance each month; </w:t>
      </w:r>
      <w:r>
        <w:rPr>
          <w:b/>
          <w:bCs/>
        </w:rPr>
        <w:t xml:space="preserve">annual plans</w:t>
      </w:r>
      <w:r>
        <w:t xml:space="preserve"> are billed in advance for the year. Annual pricing is displayed as an equivalent per-month amount but charged as a single annual payment. </w:t>
      </w:r>
      <w:r>
        <w:rPr>
          <w:b/>
          <w:bCs/>
          <w:color w:val="B36B00"/>
        </w:rPr>
        <w:t xml:space="preserve">[CONFIRM annual billing is one upfront charge, not 12 instalments.]</w:t>
      </w:r>
    </w:p>
    <w:p>
      <w:pPr>
        <w:pStyle w:val="ListParagraph"/>
        <w:numPr>
          <w:ilvl w:val="0"/>
          <w:numId w:val="2"/>
        </w:numPr>
        <w:spacing w:after="60"/>
      </w:pPr>
      <w:r>
        <w:rPr>
          <w:b/>
          <w:bCs/>
        </w:rPr>
        <w:t xml:space="preserve">Automatic renewal:</w:t>
      </w:r>
      <w:r>
        <w:t xml:space="preserve"> paid subscriptions renew automatically at the end of each billing period at the then-current price, until you cancel. By subscribing, you authorise recurring charges to your payment method. We will send you a reminder </w:t>
      </w:r>
      <w:r>
        <w:rPr>
          <w:b/>
          <w:bCs/>
        </w:rPr>
        <w:t xml:space="preserve">30 days before automatic renewal</w:t>
      </w:r>
      <w:r>
        <w:t xml:space="preserve"> </w:t>
      </w:r>
      <w:r>
        <w:rPr>
          <w:b/>
          <w:bCs/>
          <w:color w:val="B36B00"/>
        </w:rPr>
        <w:t xml:space="preserve">[CONFIRM mechanics for monthly plans — they renew every month, so a 30-day notice period can't apply to them as written; likely this notice applies to annual renewals, with monthly renewals covered by the billing receipt]</w:t>
      </w:r>
      <w:r>
        <w:t xml:space="preserve">. We will also notify you in advance of any price increase that affects your renewal.</w:t>
      </w:r>
    </w:p>
    <w:p>
      <w:pPr>
        <w:pStyle w:val="ListParagraph"/>
        <w:numPr>
          <w:ilvl w:val="0"/>
          <w:numId w:val="2"/>
        </w:numPr>
        <w:spacing w:after="60"/>
      </w:pPr>
      <w:r>
        <w:t xml:space="preserve">If a payment fails, we may retry it and/or suspend access until payment is made.</w:t>
      </w:r>
    </w:p>
    <w:p>
      <w:pPr>
        <w:pStyle w:val="Heading3"/>
      </w:pPr>
      <w:r>
        <w:t xml:space="preserve">4.3 Cancelling</w:t>
      </w:r>
    </w:p>
    <w:p>
      <w:pPr>
        <w:pStyle w:val="ListParagraph"/>
        <w:numPr>
          <w:ilvl w:val="0"/>
          <w:numId w:val="2"/>
        </w:numPr>
        <w:spacing w:after="60"/>
      </w:pPr>
      <w:r>
        <w:t xml:space="preserve">You can </w:t>
      </w:r>
      <w:r>
        <w:rPr>
          <w:b/>
          <w:bCs/>
        </w:rPr>
        <w:t xml:space="preserve">cancel at any time</w:t>
      </w:r>
      <w:r>
        <w:t xml:space="preserve"> via your account settings </w:t>
      </w:r>
      <w:r>
        <w:rPr>
          <w:b/>
          <w:bCs/>
          <w:color w:val="B36B00"/>
        </w:rPr>
        <w:t xml:space="preserve">[CONFIRM the flow]</w:t>
      </w:r>
      <w:r>
        <w:t xml:space="preserve"> or by emailing support@thekidsgate.com.</w:t>
      </w:r>
    </w:p>
    <w:p>
      <w:pPr>
        <w:pStyle w:val="ListParagraph"/>
        <w:numPr>
          <w:ilvl w:val="0"/>
          <w:numId w:val="2"/>
        </w:numPr>
        <w:spacing w:after="60"/>
      </w:pPr>
      <w:r>
        <w:t xml:space="preserve">Cancellation takes effect at the </w:t>
      </w:r>
      <w:r>
        <w:rPr>
          <w:b/>
          <w:bCs/>
        </w:rPr>
        <w:t xml:space="preserve">end of the current billing period</w:t>
      </w:r>
      <w:r>
        <w:t xml:space="preserve">: you keep access until then, and you are not charged again.</w:t>
      </w:r>
    </w:p>
    <w:p>
      <w:pPr>
        <w:pStyle w:val="ListParagraph"/>
        <w:numPr>
          <w:ilvl w:val="0"/>
          <w:numId w:val="2"/>
        </w:numPr>
        <w:spacing w:after="60"/>
      </w:pPr>
      <w:r>
        <w:rPr>
          <w:b/>
          <w:bCs/>
        </w:rPr>
        <w:t xml:space="preserve">Refunds:</w:t>
      </w:r>
      <w:r>
        <w:t xml:space="preserve"> except where required by law, payments already made are non-refundable and we do not provide pro-rata refunds for partial billing periods. The 30-day free trial exists so families can fully evaluate the Services before paying. [CEO has confirmed "no refunds after the trial" as the working position, noted as TBD — finalise before launch, ideally in a short standalone Refund Policy page.] Nothing in this section limits your statutory rights, including under the Australian Consumer Law (see Section 10).</w:t>
      </w:r>
    </w:p>
    <w:p>
      <w:pPr>
        <w:pStyle w:val="Heading3"/>
      </w:pPr>
      <w:r>
        <w:t xml:space="preserve">4.4 Changes to plans and pricing</w:t>
      </w:r>
    </w:p>
    <w:p>
      <w:pPr>
        <w:pStyle w:val="ListParagraph"/>
        <w:numPr>
          <w:ilvl w:val="0"/>
          <w:numId w:val="2"/>
        </w:numPr>
        <w:spacing w:after="60"/>
      </w:pPr>
      <w:r>
        <w:t xml:space="preserve">You can add or remove children or subjects at any time; price changes take effect from the next billing period </w:t>
      </w:r>
      <w:r>
        <w:rPr>
          <w:b/>
          <w:bCs/>
          <w:color w:val="B36B00"/>
        </w:rPr>
        <w:t xml:space="preserve">[CONFIRM whether upgrades are pro-rated mid-cycle]</w:t>
      </w:r>
      <w:r>
        <w:t xml:space="preserve">.</w:t>
      </w:r>
    </w:p>
    <w:p>
      <w:pPr>
        <w:pStyle w:val="ListParagraph"/>
        <w:numPr>
          <w:ilvl w:val="0"/>
          <w:numId w:val="2"/>
        </w:numPr>
        <w:spacing w:after="60"/>
      </w:pPr>
      <w:r>
        <w:t xml:space="preserve">We may change our prices or plan structure. Changes will not affect the billing period you have already paid for, and we will give you reasonable advance notice (at least [30] days) before a price change applies to your renewal.</w:t>
      </w:r>
    </w:p>
    <w:p>
      <w:pPr>
        <w:pBdr>
          <w:bottom w:val="single" w:color="D8DDE3" w:sz="4"/>
        </w:pBdr>
        <w:spacing w:after="120" w:before="60"/>
      </w:pPr>
    </w:p>
    <w:p>
      <w:pPr>
        <w:pStyle w:val="Heading2"/>
      </w:pPr>
      <w:r>
        <w:t xml:space="preserve">5. The learning service</w:t>
      </w:r>
    </w:p>
    <w:p>
      <w:pPr>
        <w:pStyle w:val="ListParagraph"/>
        <w:numPr>
          <w:ilvl w:val="0"/>
          <w:numId w:val="2"/>
        </w:numPr>
        <w:spacing w:after="60"/>
      </w:pPr>
      <w:r>
        <w:t xml:space="preserve">The Services provide interactive lessons — games, stories, quizzes, songs and puzzles — for Cambridge English and International Maths, Grades 1–6, with an automated system that adapts each child's learning path based on their answers and progress (described in our Privacy Policy).</w:t>
      </w:r>
    </w:p>
    <w:p>
      <w:pPr>
        <w:pStyle w:val="ListParagraph"/>
        <w:numPr>
          <w:ilvl w:val="0"/>
          <w:numId w:val="2"/>
        </w:numPr>
        <w:spacing w:after="60"/>
      </w:pPr>
      <w:r>
        <w:t xml:space="preserve">Content, features, lessons, rewards and the virtual world may change over time as we improve the platform. We aim to add and improve content rather than remove it, but no specific lesson, feature or reward is guaranteed to remain available.</w:t>
      </w:r>
    </w:p>
    <w:p>
      <w:pPr>
        <w:pStyle w:val="ListParagraph"/>
        <w:numPr>
          <w:ilvl w:val="0"/>
          <w:numId w:val="2"/>
        </w:numPr>
        <w:spacing w:after="60"/>
      </w:pPr>
      <w:r>
        <w:rPr>
          <w:b/>
          <w:bCs/>
        </w:rPr>
        <w:t xml:space="preserve">Educational outcomes are not guaranteed.</w:t>
      </w:r>
      <w:r>
        <w:t xml:space="preserve"> Every child learns differently. The Kids Gate is designed to support and motivate learning, but we make no promises about specific results, grades, test outcomes or rates of progress, and the Services are a </w:t>
      </w:r>
      <w:r>
        <w:rPr>
          <w:b/>
          <w:bCs/>
        </w:rPr>
        <w:t xml:space="preserve">supplement to, not a substitute for, school education</w:t>
      </w:r>
      <w:r>
        <w:t xml:space="preserve">.</w:t>
      </w:r>
    </w:p>
    <w:p>
      <w:pPr>
        <w:pStyle w:val="ListParagraph"/>
        <w:numPr>
          <w:ilvl w:val="0"/>
          <w:numId w:val="2"/>
        </w:numPr>
        <w:spacing w:after="60"/>
      </w:pPr>
      <w:r>
        <w:t xml:space="preserve">The Services depend on internet connectivity and compatible devices. We do not promise uninterrupted or error-free operation, though we work to keep the platform reliable.</w:t>
      </w:r>
    </w:p>
    <w:p>
      <w:pPr>
        <w:pBdr>
          <w:bottom w:val="single" w:color="D8DDE3" w:sz="4"/>
        </w:pBdr>
        <w:spacing w:after="120" w:before="60"/>
      </w:pPr>
    </w:p>
    <w:p>
      <w:pPr>
        <w:pStyle w:val="Heading2"/>
      </w:pPr>
      <w:r>
        <w:t xml:space="preserve">6. Tokens, rewards, the store and prize draws</w:t>
      </w:r>
    </w:p>
    <w:p>
      <w:pPr>
        <w:pStyle w:val="ListParagraph"/>
        <w:numPr>
          <w:ilvl w:val="0"/>
          <w:numId w:val="2"/>
        </w:numPr>
        <w:spacing w:after="60"/>
      </w:pPr>
      <w:r>
        <w:t xml:space="preserve">Children earn </w:t>
      </w:r>
      <w:r>
        <w:rPr>
          <w:b/>
          <w:bCs/>
        </w:rPr>
        <w:t xml:space="preserve">tokens</w:t>
      </w:r>
      <w:r>
        <w:t xml:space="preserve"> through learning activity. Tokens can be spent in </w:t>
      </w:r>
      <w:r>
        <w:rPr>
          <w:b/>
          <w:bCs/>
        </w:rPr>
        <w:t xml:space="preserve">The Kids Gate Store</w:t>
      </w:r>
      <w:r>
        <w:t xml:space="preserve"> on virtual items such as avatars, outfits and accessories.</w:t>
      </w:r>
    </w:p>
    <w:p>
      <w:pPr>
        <w:pStyle w:val="ListParagraph"/>
        <w:numPr>
          <w:ilvl w:val="0"/>
          <w:numId w:val="2"/>
        </w:numPr>
        <w:spacing w:after="60"/>
      </w:pPr>
      <w:r>
        <w:rPr>
          <w:b/>
          <w:bCs/>
        </w:rPr>
        <w:t xml:space="preserve">Tokens and virtual items have no monetary value.</w:t>
      </w:r>
      <w:r>
        <w:t xml:space="preserve"> They are not currency, cannot be exchanged for cash, cannot be transferred or sold, and may be adjusted, reset or discontinued (for example, to fix errors or prevent abuse). Unused tokens expire when the associated child profile or account is closed.</w:t>
      </w:r>
    </w:p>
    <w:p>
      <w:pPr>
        <w:pStyle w:val="ListParagraph"/>
        <w:numPr>
          <w:ilvl w:val="0"/>
          <w:numId w:val="2"/>
        </w:numPr>
        <w:spacing w:after="60"/>
      </w:pPr>
      <w:r>
        <w:rPr>
          <w:b/>
          <w:bCs/>
        </w:rPr>
        <w:t xml:space="preserve">Prize draws:</w:t>
      </w:r>
      <w:r>
        <w:t xml:space="preserve"> active learners may be entered into monthly prize draws. Prizes are digital (such as gift-card codes) delivered to the parent's account email. Each draw is subject to the draw terms published with it, including eligibility and any regional restrictions. [NOTE FOR LAWYER: trade-promotion/competition rules differ by region — some Australian states require permits for games of chance, and Indonesia and Thailand regulate prize promotions. The draw mechanics ("active learners are entered") need a compliance check per market.]</w:t>
      </w:r>
    </w:p>
    <w:p>
      <w:pPr>
        <w:pStyle w:val="ListParagraph"/>
        <w:numPr>
          <w:ilvl w:val="0"/>
          <w:numId w:val="2"/>
        </w:numPr>
        <w:spacing w:after="60"/>
      </w:pPr>
      <w:r>
        <w:t xml:space="preserve">Rewards exist to encourage consistent learning. We may modify the rewards system where reasonably necessary, and where a change is material we will give reasonable notice.</w:t>
      </w:r>
    </w:p>
    <w:p>
      <w:pPr>
        <w:pBdr>
          <w:bottom w:val="single" w:color="D8DDE3" w:sz="4"/>
        </w:pBdr>
        <w:spacing w:after="120" w:before="60"/>
      </w:pPr>
    </w:p>
    <w:p>
      <w:pPr>
        <w:pStyle w:val="Heading2"/>
      </w:pPr>
      <w:r>
        <w:t xml:space="preserve">7. Acceptable use</w:t>
      </w:r>
    </w:p>
    <w:p>
      <w:pPr>
        <w:spacing w:after="120"/>
      </w:pPr>
      <w:r>
        <w:t xml:space="preserve">You agree that you and your children will not:</w:t>
      </w:r>
    </w:p>
    <w:p>
      <w:pPr>
        <w:pStyle w:val="ListParagraph"/>
        <w:numPr>
          <w:ilvl w:val="0"/>
          <w:numId w:val="2"/>
        </w:numPr>
        <w:spacing w:after="60"/>
      </w:pPr>
      <w:r>
        <w:t xml:space="preserve">share account credentials or make the Services available to anyone outside your family account;</w:t>
      </w:r>
    </w:p>
    <w:p>
      <w:pPr>
        <w:pStyle w:val="ListParagraph"/>
        <w:numPr>
          <w:ilvl w:val="0"/>
          <w:numId w:val="2"/>
        </w:numPr>
        <w:spacing w:after="60"/>
      </w:pPr>
      <w:r>
        <w:t xml:space="preserve">copy, record, scrape, download or redistribute lessons or other content, except as the Services expressly allow;</w:t>
      </w:r>
    </w:p>
    <w:p>
      <w:pPr>
        <w:pStyle w:val="ListParagraph"/>
        <w:numPr>
          <w:ilvl w:val="0"/>
          <w:numId w:val="2"/>
        </w:numPr>
        <w:spacing w:after="60"/>
      </w:pPr>
      <w:r>
        <w:t xml:space="preserve">reverse engineer, decompile or attempt to extract the source code of the Services, except to the extent the law permits;</w:t>
      </w:r>
    </w:p>
    <w:p>
      <w:pPr>
        <w:pStyle w:val="ListParagraph"/>
        <w:numPr>
          <w:ilvl w:val="0"/>
          <w:numId w:val="2"/>
        </w:numPr>
        <w:spacing w:after="60"/>
      </w:pPr>
      <w:r>
        <w:t xml:space="preserve">interfere with the Services' operation or security, or attempt to gain unauthorised access to accounts or systems;</w:t>
      </w:r>
    </w:p>
    <w:p>
      <w:pPr>
        <w:pStyle w:val="ListParagraph"/>
        <w:numPr>
          <w:ilvl w:val="0"/>
          <w:numId w:val="2"/>
        </w:numPr>
        <w:spacing w:after="60"/>
      </w:pPr>
      <w:r>
        <w:t xml:space="preserve">use the Services to harass or harm others, or attempt to contact other users;</w:t>
      </w:r>
    </w:p>
    <w:p>
      <w:pPr>
        <w:pStyle w:val="ListParagraph"/>
        <w:numPr>
          <w:ilvl w:val="0"/>
          <w:numId w:val="2"/>
        </w:numPr>
        <w:spacing w:after="60"/>
      </w:pPr>
      <w:r>
        <w:t xml:space="preserve">use inappropriate, offensive or personally identifying display names or nicknames (we may change or remove display names that break this rule);</w:t>
      </w:r>
    </w:p>
    <w:p>
      <w:pPr>
        <w:pStyle w:val="ListParagraph"/>
        <w:numPr>
          <w:ilvl w:val="0"/>
          <w:numId w:val="2"/>
        </w:numPr>
        <w:spacing w:after="60"/>
      </w:pPr>
      <w:r>
        <w:t xml:space="preserve">use automated tools (bots, scripts) to earn tokens, manipulate leaderboards, or enter prize draws; or</w:t>
      </w:r>
    </w:p>
    <w:p>
      <w:pPr>
        <w:pStyle w:val="ListParagraph"/>
        <w:numPr>
          <w:ilvl w:val="0"/>
          <w:numId w:val="2"/>
        </w:numPr>
        <w:spacing w:after="60"/>
      </w:pPr>
      <w:r>
        <w:t xml:space="preserve">use the Services for any commercial purpose without our written agreement (schools: see Section 12).</w:t>
      </w:r>
    </w:p>
    <w:p>
      <w:pPr>
        <w:spacing w:after="120"/>
      </w:pPr>
      <w:r>
        <w:t xml:space="preserve">We may investigate suspected violations and take action we reasonably consider appropriate, including removing content, adjusting tokens or leaderboard entries, suspending or terminating accounts (see Section 13).</w:t>
      </w:r>
    </w:p>
    <w:p>
      <w:pPr>
        <w:pBdr>
          <w:bottom w:val="single" w:color="D8DDE3" w:sz="4"/>
        </w:pBdr>
        <w:spacing w:after="120" w:before="60"/>
      </w:pPr>
    </w:p>
    <w:p>
      <w:pPr>
        <w:pStyle w:val="Heading2"/>
      </w:pPr>
      <w:r>
        <w:t xml:space="preserve">8. Intellectual property</w:t>
      </w:r>
    </w:p>
    <w:p>
      <w:pPr>
        <w:pStyle w:val="ListParagraph"/>
        <w:numPr>
          <w:ilvl w:val="0"/>
          <w:numId w:val="2"/>
        </w:numPr>
        <w:spacing w:after="60"/>
      </w:pPr>
      <w:r>
        <w:t xml:space="preserve">The Services and everything in them — lessons, characters, artwork, the virtual world, software, trademarks and branding — are owned by us or our licensors and protected by intellectual-property laws. "Cambridge" curriculum references describe the syllabus our English content is aligned to. </w:t>
      </w:r>
      <w:r>
        <w:rPr>
          <w:b/>
          <w:bCs/>
          <w:color w:val="B36B00"/>
        </w:rPr>
        <w:t xml:space="preserve">[CONFIRM the correct way to describe the Cambridge alignment and any licence/attribution wording required.]</w:t>
      </w:r>
    </w:p>
    <w:p>
      <w:pPr>
        <w:pStyle w:val="ListParagraph"/>
        <w:numPr>
          <w:ilvl w:val="0"/>
          <w:numId w:val="2"/>
        </w:numPr>
        <w:spacing w:after="60"/>
      </w:pPr>
      <w:r>
        <w:t xml:space="preserve">We grant you a </w:t>
      </w:r>
      <w:r>
        <w:rPr>
          <w:b/>
          <w:bCs/>
        </w:rPr>
        <w:t xml:space="preserve">personal, non-exclusive, non-transferable, revocable licence</w:t>
      </w:r>
      <w:r>
        <w:t xml:space="preserve"> to use the Services for your family's personal, non-commercial use while your account is active and you comply with these Terms.</w:t>
      </w:r>
    </w:p>
    <w:p>
      <w:pPr>
        <w:pStyle w:val="ListParagraph"/>
        <w:numPr>
          <w:ilvl w:val="0"/>
          <w:numId w:val="2"/>
        </w:numPr>
        <w:spacing w:after="60"/>
      </w:pPr>
      <w:r>
        <w:t xml:space="preserve">We do not claim ownership of information you submit to us (for example, support messages). You grant us a licence to use what you submit as needed to operate and improve the Services, consistent with our Privacy Policy.</w:t>
      </w:r>
    </w:p>
    <w:p>
      <w:pPr>
        <w:pStyle w:val="ListParagraph"/>
        <w:numPr>
          <w:ilvl w:val="0"/>
          <w:numId w:val="2"/>
        </w:numPr>
        <w:spacing w:after="60"/>
      </w:pPr>
      <w:r>
        <w:t xml:space="preserve">If you send us feedback or suggestions, we may use them without obligation to you.</w:t>
      </w:r>
    </w:p>
    <w:p>
      <w:pPr>
        <w:pBdr>
          <w:bottom w:val="single" w:color="D8DDE3" w:sz="4"/>
        </w:pBdr>
        <w:spacing w:after="120" w:before="60"/>
      </w:pPr>
    </w:p>
    <w:p>
      <w:pPr>
        <w:pStyle w:val="Heading2"/>
      </w:pPr>
      <w:r>
        <w:t xml:space="preserve">9. Third-party services and app stores</w:t>
      </w:r>
    </w:p>
    <w:p>
      <w:pPr>
        <w:pStyle w:val="ListParagraph"/>
        <w:numPr>
          <w:ilvl w:val="0"/>
          <w:numId w:val="2"/>
        </w:numPr>
        <w:spacing w:after="60"/>
      </w:pPr>
      <w:r>
        <w:t xml:space="preserve">Payments are handled by </w:t>
      </w:r>
      <w:r>
        <w:rPr>
          <w:b/>
          <w:bCs/>
        </w:rPr>
        <w:t xml:space="preserve">Shopify</w:t>
      </w:r>
      <w:r>
        <w:t xml:space="preserve"> or </w:t>
      </w:r>
      <w:r>
        <w:rPr>
          <w:b/>
          <w:bCs/>
        </w:rPr>
        <w:t xml:space="preserve">GoPay</w:t>
      </w:r>
      <w:r>
        <w:t xml:space="preserve"> and their payment processors, depending on your region, under their own terms.</w:t>
      </w:r>
    </w:p>
    <w:p>
      <w:pPr>
        <w:pStyle w:val="ListParagraph"/>
        <w:numPr>
          <w:ilvl w:val="0"/>
          <w:numId w:val="2"/>
        </w:numPr>
        <w:spacing w:after="60"/>
      </w:pPr>
      <w:r>
        <w:t xml:space="preserve">The apps are distributed through the </w:t>
      </w:r>
      <w:r>
        <w:rPr>
          <w:b/>
          <w:bCs/>
        </w:rPr>
        <w:t xml:space="preserve">Apple App Store</w:t>
      </w:r>
      <w:r>
        <w:t xml:space="preserve"> and </w:t>
      </w:r>
      <w:r>
        <w:rPr>
          <w:b/>
          <w:bCs/>
        </w:rPr>
        <w:t xml:space="preserve">Google Play</w:t>
      </w:r>
      <w:r>
        <w:t xml:space="preserve">, and your use of the apps must also comply with the applicable store's terms. Apple and Google are not parties to these Terms and have no obligation to provide support for the Services.</w:t>
      </w:r>
    </w:p>
    <w:p>
      <w:pPr>
        <w:pStyle w:val="ListParagraph"/>
        <w:numPr>
          <w:ilvl w:val="0"/>
          <w:numId w:val="2"/>
        </w:numPr>
        <w:spacing w:after="60"/>
      </w:pPr>
      <w:r>
        <w:t xml:space="preserve">The Services may link to third-party websites or services. We are not responsible for them.</w:t>
      </w:r>
    </w:p>
    <w:p>
      <w:pPr>
        <w:pBdr>
          <w:bottom w:val="single" w:color="D8DDE3" w:sz="4"/>
        </w:pBdr>
        <w:spacing w:after="120" w:before="60"/>
      </w:pPr>
    </w:p>
    <w:p>
      <w:pPr>
        <w:pStyle w:val="Heading2"/>
      </w:pPr>
      <w:r>
        <w:t xml:space="preserve">10. Consumer guarantees (Australian Consumer Law and equivalents)</w:t>
      </w:r>
    </w:p>
    <w:p>
      <w:pPr>
        <w:pStyle w:val="ListParagraph"/>
        <w:numPr>
          <w:ilvl w:val="0"/>
          <w:numId w:val="2"/>
        </w:numPr>
        <w:spacing w:after="60"/>
      </w:pPr>
      <w:r>
        <w:t xml:space="preserve">Our Services come with guarantees that cannot be excluded under the </w:t>
      </w:r>
      <w:r>
        <w:rPr>
          <w:b/>
          <w:bCs/>
        </w:rPr>
        <w:t xml:space="preserve">Australian Consumer Law</w:t>
      </w:r>
      <w:r>
        <w:t xml:space="preserve"> — for example, that services will be provided with due care and skill, be fit for purpose, and be supplied within a reasonable time. If we fail to meet a consumer guarantee, you are entitled to the remedies the law provides, which may include a refund.</w:t>
      </w:r>
    </w:p>
    <w:p>
      <w:pPr>
        <w:pStyle w:val="ListParagraph"/>
        <w:numPr>
          <w:ilvl w:val="0"/>
          <w:numId w:val="2"/>
        </w:numPr>
        <w:spacing w:after="60"/>
      </w:pPr>
      <w:r>
        <w:t xml:space="preserve">Consumers in other countries may have similar non-excludable rights under their local law (including in the United States, Indonesia and Thailand). </w:t>
      </w:r>
      <w:r>
        <w:rPr>
          <w:b/>
          <w:bCs/>
        </w:rPr>
        <w:t xml:space="preserve">Nothing in these Terms excludes, restricts or modifies any right or remedy you have under applicable law that cannot lawfully be excluded.</w:t>
      </w:r>
    </w:p>
    <w:p>
      <w:pPr>
        <w:pBdr>
          <w:bottom w:val="single" w:color="D8DDE3" w:sz="4"/>
        </w:pBdr>
        <w:spacing w:after="120" w:before="60"/>
      </w:pPr>
    </w:p>
    <w:p>
      <w:pPr>
        <w:pStyle w:val="Heading2"/>
      </w:pPr>
      <w:r>
        <w:t xml:space="preserve">11. Disclaimers and limitation of liability</w:t>
      </w:r>
    </w:p>
    <w:p>
      <w:pPr>
        <w:spacing w:after="120"/>
      </w:pPr>
      <w:r>
        <w:t xml:space="preserve">Subject to Section 10:</w:t>
      </w:r>
    </w:p>
    <w:p>
      <w:pPr>
        <w:pStyle w:val="ListParagraph"/>
        <w:numPr>
          <w:ilvl w:val="0"/>
          <w:numId w:val="2"/>
        </w:numPr>
        <w:spacing w:after="60"/>
      </w:pPr>
      <w:r>
        <w:t xml:space="preserve">The Services are provided "as is" and "as available". To the extent permitted by law, we exclude all implied warranties not expressly set out in these Terms.</w:t>
      </w:r>
    </w:p>
    <w:p>
      <w:pPr>
        <w:pStyle w:val="ListParagraph"/>
        <w:numPr>
          <w:ilvl w:val="0"/>
          <w:numId w:val="2"/>
        </w:numPr>
        <w:spacing w:after="60"/>
      </w:pPr>
      <w:r>
        <w:t xml:space="preserve">To the extent permitted by law, we are not liable for indirect or consequential loss (such as loss of data caused by events outside our reasonable control, or losses arising from service interruptions we could not reasonably prevent).</w:t>
      </w:r>
    </w:p>
    <w:p>
      <w:pPr>
        <w:pStyle w:val="ListParagraph"/>
        <w:numPr>
          <w:ilvl w:val="0"/>
          <w:numId w:val="2"/>
        </w:numPr>
        <w:spacing w:after="60"/>
      </w:pPr>
      <w:r>
        <w:t xml:space="preserve">To the extent permitted by law, our total aggregate liability to you in connection with the Services is limited to the greater of (a) the amount you paid us in the </w:t>
      </w:r>
      <w:r>
        <w:rPr>
          <w:b/>
          <w:bCs/>
        </w:rPr>
        <w:t xml:space="preserve">12 months</w:t>
      </w:r>
      <w:r>
        <w:t xml:space="preserve"> before the event giving rise to the claim, and (b) </w:t>
      </w:r>
      <w:r>
        <w:rPr>
          <w:b/>
          <w:bCs/>
        </w:rPr>
        <w:t xml:space="preserve">AUD $100</w:t>
      </w:r>
      <w:r>
        <w:t xml:space="preserve">.</w:t>
      </w:r>
    </w:p>
    <w:p>
      <w:pPr>
        <w:pStyle w:val="ListParagraph"/>
        <w:numPr>
          <w:ilvl w:val="0"/>
          <w:numId w:val="2"/>
        </w:numPr>
        <w:spacing w:after="60"/>
      </w:pPr>
      <w:r>
        <w:t xml:space="preserve">Where liability cannot be limited to that amount but can be limited in another way, our liability is limited (at our option) to resupplying the Services or paying the cost of resupply.</w:t>
      </w:r>
    </w:p>
    <w:p>
      <w:pPr>
        <w:pStyle w:val="ListParagraph"/>
        <w:numPr>
          <w:ilvl w:val="0"/>
          <w:numId w:val="2"/>
        </w:numPr>
        <w:spacing w:after="60"/>
      </w:pPr>
      <w:r>
        <w:t xml:space="preserve">Nothing in these Terms limits liability that cannot be limited by law, including liability for fraud, or for death or personal injury caused by negligence.</w:t>
      </w:r>
    </w:p>
    <w:p>
      <w:pPr>
        <w:pBdr>
          <w:bottom w:val="single" w:color="D8DDE3" w:sz="4"/>
        </w:pBdr>
        <w:spacing w:after="120" w:before="60"/>
      </w:pPr>
    </w:p>
    <w:p>
      <w:pPr>
        <w:pStyle w:val="Heading2"/>
      </w:pPr>
      <w:r>
        <w:t xml:space="preserve">12. Schools and teachers</w:t>
      </w:r>
    </w:p>
    <w:p>
      <w:pPr>
        <w:pStyle w:val="ListParagraph"/>
        <w:numPr>
          <w:ilvl w:val="0"/>
          <w:numId w:val="2"/>
        </w:numPr>
        <w:spacing w:after="60"/>
      </w:pPr>
      <w:r>
        <w:t xml:space="preserve">Schools and teachers may access dashboards showing student learning information only as described in our Privacy Policy — after a parent activates the connection, or under a separate written agreement between the school and us.</w:t>
      </w:r>
    </w:p>
    <w:p>
      <w:pPr>
        <w:pStyle w:val="ListParagraph"/>
        <w:numPr>
          <w:ilvl w:val="0"/>
          <w:numId w:val="2"/>
        </w:numPr>
        <w:spacing w:after="60"/>
      </w:pPr>
      <w:r>
        <w:t xml:space="preserve">School use of the Services (including bulk licensing, pricing and data-handling responsibilities) is governed by the applicable school agreement, which prevails over these Terms to the extent of any inconsistency. </w:t>
      </w:r>
      <w:r>
        <w:rPr>
          <w:b/>
          <w:bCs/>
          <w:color w:val="B36B00"/>
        </w:rPr>
        <w:t xml:space="preserve">[CONFIRM whether a standard school agreement exists or needs to be drafted.]</w:t>
      </w:r>
    </w:p>
    <w:p>
      <w:pPr>
        <w:pBdr>
          <w:bottom w:val="single" w:color="D8DDE3" w:sz="4"/>
        </w:pBdr>
        <w:spacing w:after="120" w:before="60"/>
      </w:pPr>
    </w:p>
    <w:p>
      <w:pPr>
        <w:pStyle w:val="Heading2"/>
      </w:pPr>
      <w:r>
        <w:t xml:space="preserve">13. Suspension and termination</w:t>
      </w:r>
    </w:p>
    <w:p>
      <w:pPr>
        <w:pStyle w:val="ListParagraph"/>
        <w:numPr>
          <w:ilvl w:val="0"/>
          <w:numId w:val="2"/>
        </w:numPr>
        <w:spacing w:after="60"/>
      </w:pPr>
      <w:r>
        <w:rPr>
          <w:b/>
          <w:bCs/>
        </w:rPr>
        <w:t xml:space="preserve">You</w:t>
      </w:r>
      <w:r>
        <w:t xml:space="preserve"> can close your account at any time (Section 4.3 covers what happens to billing).</w:t>
      </w:r>
    </w:p>
    <w:p>
      <w:pPr>
        <w:pStyle w:val="ListParagraph"/>
        <w:numPr>
          <w:ilvl w:val="0"/>
          <w:numId w:val="2"/>
        </w:numPr>
        <w:spacing w:after="60"/>
      </w:pPr>
      <w:r>
        <w:rPr>
          <w:b/>
          <w:bCs/>
        </w:rPr>
        <w:t xml:space="preserve">We</w:t>
      </w:r>
      <w:r>
        <w:t xml:space="preserve"> may suspend or terminate your account if you materially breach these Terms, if required by law, or if we reasonably believe continued access poses a risk to other users, children's safety, or the Services. Where practical and lawful, we will warn you and give you a chance to fix the problem first.</w:t>
      </w:r>
    </w:p>
    <w:p>
      <w:pPr>
        <w:pStyle w:val="ListParagraph"/>
        <w:numPr>
          <w:ilvl w:val="0"/>
          <w:numId w:val="2"/>
        </w:numPr>
        <w:spacing w:after="60"/>
      </w:pPr>
      <w:r>
        <w:t xml:space="preserve">We may also discontinue the Services (in whole or in part). If we permanently discontinue a paid service you have paid for in advance, we will refund the unused portion of your payment.</w:t>
      </w:r>
    </w:p>
    <w:p>
      <w:pPr>
        <w:pStyle w:val="ListParagraph"/>
        <w:numPr>
          <w:ilvl w:val="0"/>
          <w:numId w:val="2"/>
        </w:numPr>
        <w:spacing w:after="60"/>
      </w:pPr>
      <w:r>
        <w:t xml:space="preserve">On termination, your licence ends, child profiles close, and tokens and virtual items lapse. Personal information is handled as described in the Privacy Policy's retention section.</w:t>
      </w:r>
    </w:p>
    <w:p>
      <w:pPr>
        <w:pBdr>
          <w:bottom w:val="single" w:color="D8DDE3" w:sz="4"/>
        </w:pBdr>
        <w:spacing w:after="120" w:before="60"/>
      </w:pPr>
    </w:p>
    <w:p>
      <w:pPr>
        <w:pStyle w:val="Heading2"/>
      </w:pPr>
      <w:r>
        <w:t xml:space="preserve">14. Changes to these Terms</w:t>
      </w:r>
    </w:p>
    <w:p>
      <w:pPr>
        <w:spacing w:after="120"/>
      </w:pPr>
      <w:r>
        <w:t xml:space="preserve">We may update these Terms from time to time. If a change is material, we will give you reasonable advance notice (for example, by email or in-app notice) before it takes effect. If you keep using the Services after a change takes effect, the updated Terms apply. If you do not agree to a change, you may cancel under Section 4.3 before it takes effect.</w:t>
      </w:r>
    </w:p>
    <w:p>
      <w:pPr>
        <w:pBdr>
          <w:bottom w:val="single" w:color="D8DDE3" w:sz="4"/>
        </w:pBdr>
        <w:spacing w:after="120" w:before="60"/>
      </w:pPr>
    </w:p>
    <w:p>
      <w:pPr>
        <w:pStyle w:val="Heading2"/>
      </w:pPr>
      <w:r>
        <w:t xml:space="preserve">15. General</w:t>
      </w:r>
    </w:p>
    <w:p>
      <w:pPr>
        <w:pStyle w:val="ListParagraph"/>
        <w:numPr>
          <w:ilvl w:val="0"/>
          <w:numId w:val="2"/>
        </w:numPr>
        <w:spacing w:after="60"/>
      </w:pPr>
      <w:r>
        <w:rPr>
          <w:b/>
          <w:bCs/>
        </w:rPr>
        <w:t xml:space="preserve">Governing law:</w:t>
      </w:r>
      <w:r>
        <w:t xml:space="preserve"> These Terms are governed by the laws of </w:t>
      </w:r>
      <w:r>
        <w:rPr>
          <w:b/>
          <w:bCs/>
        </w:rPr>
        <w:t xml:space="preserve">Victoria, Australia</w:t>
      </w:r>
      <w:r>
        <w:t xml:space="preserve">, and disputes are subject to the non-exclusive jurisdiction of the courts of Victoria — except that if the consumer-protection law of your country of residence gives you the right to bring proceedings there, nothing in this clause takes that right away.</w:t>
      </w:r>
    </w:p>
    <w:p>
      <w:pPr>
        <w:pStyle w:val="ListParagraph"/>
        <w:numPr>
          <w:ilvl w:val="0"/>
          <w:numId w:val="2"/>
        </w:numPr>
        <w:spacing w:after="60"/>
      </w:pPr>
      <w:r>
        <w:rPr>
          <w:b/>
          <w:bCs/>
        </w:rPr>
        <w:t xml:space="preserve">Severability:</w:t>
      </w:r>
      <w:r>
        <w:t xml:space="preserve"> if part of these Terms is found unenforceable, the rest continues to apply.</w:t>
      </w:r>
    </w:p>
    <w:p>
      <w:pPr>
        <w:pStyle w:val="ListParagraph"/>
        <w:numPr>
          <w:ilvl w:val="0"/>
          <w:numId w:val="2"/>
        </w:numPr>
        <w:spacing w:after="60"/>
      </w:pPr>
      <w:r>
        <w:rPr>
          <w:b/>
          <w:bCs/>
        </w:rPr>
        <w:t xml:space="preserve">No waiver:</w:t>
      </w:r>
      <w:r>
        <w:t xml:space="preserve"> if we don't enforce a provision, that isn't a waiver of our right to enforce it later.</w:t>
      </w:r>
    </w:p>
    <w:p>
      <w:pPr>
        <w:pStyle w:val="ListParagraph"/>
        <w:numPr>
          <w:ilvl w:val="0"/>
          <w:numId w:val="2"/>
        </w:numPr>
        <w:spacing w:after="60"/>
      </w:pPr>
      <w:r>
        <w:rPr>
          <w:b/>
          <w:bCs/>
        </w:rPr>
        <w:t xml:space="preserve">Assignment:</w:t>
      </w:r>
      <w:r>
        <w:t xml:space="preserve"> you may not transfer your rights under these Terms without our consent; we may assign our rights as part of a corporate restructure, merger or sale, provided your rights are not reduced.</w:t>
      </w:r>
    </w:p>
    <w:p>
      <w:pPr>
        <w:pStyle w:val="ListParagraph"/>
        <w:numPr>
          <w:ilvl w:val="0"/>
          <w:numId w:val="2"/>
        </w:numPr>
        <w:spacing w:after="60"/>
      </w:pPr>
      <w:r>
        <w:rPr>
          <w:b/>
          <w:bCs/>
        </w:rPr>
        <w:t xml:space="preserve">Entire agreement:</w:t>
      </w:r>
      <w:r>
        <w:t xml:space="preserve"> these Terms, the Privacy Policy, and any plan or draw terms presented to you at purchase form the whole agreement between us about the Services.</w:t>
      </w:r>
    </w:p>
    <w:p>
      <w:pPr>
        <w:pBdr>
          <w:bottom w:val="single" w:color="D8DDE3" w:sz="4"/>
        </w:pBdr>
        <w:spacing w:after="120" w:before="60"/>
      </w:pPr>
    </w:p>
    <w:p>
      <w:pPr>
        <w:pStyle w:val="Heading2"/>
      </w:pPr>
      <w:r>
        <w:t xml:space="preserve">16. Contact</w:t>
      </w:r>
    </w:p>
    <w:p>
      <w:pPr>
        <w:pStyle w:val="ListParagraph"/>
        <w:numPr>
          <w:ilvl w:val="0"/>
          <w:numId w:val="2"/>
        </w:numPr>
        <w:spacing w:after="60"/>
      </w:pPr>
      <w:r>
        <w:rPr>
          <w:b/>
          <w:bCs/>
        </w:rPr>
        <w:t xml:space="preserve">Email:</w:t>
      </w:r>
      <w:r>
        <w:t xml:space="preserve"> support@thekidsgate.com</w:t>
      </w:r>
    </w:p>
    <w:p>
      <w:pPr>
        <w:pStyle w:val="ListParagraph"/>
        <w:numPr>
          <w:ilvl w:val="0"/>
          <w:numId w:val="2"/>
        </w:numPr>
        <w:spacing w:after="60"/>
      </w:pPr>
      <w:r>
        <w:rPr>
          <w:b/>
          <w:bCs/>
        </w:rPr>
        <w:t xml:space="preserve">Post:</w:t>
      </w:r>
      <w:r>
        <w:t xml:space="preserve"> GATE Edutech Solutions Pty Ltd, 1 Oxley Road, Hawthorn VIC 3122, Australia</w:t>
      </w:r>
    </w:p>
    <w:p>
      <w:pPr>
        <w:pBdr>
          <w:bottom w:val="single" w:color="D8DDE3" w:sz="4"/>
        </w:pBdr>
        <w:spacing w:after="120" w:before="60"/>
      </w:pPr>
    </w:p>
    <w:p>
      <w:pPr>
        <w:pStyle w:val="Heading2"/>
      </w:pPr>
      <w:r>
        <w:t xml:space="preserve">Items still to confirm before publishing</w:t>
      </w:r>
    </w:p>
    <w:p>
      <w:pPr>
        <w:spacing w:after="120"/>
      </w:pPr>
      <w:r>
        <w:rPr>
          <w:i/>
          <w:iCs/>
          <w:color w:val="555F6B"/>
        </w:rPr>
        <w:t xml:space="preserve">(Working checklist — remove this section before the Terms go live.)</w:t>
      </w:r>
    </w:p>
    <w:p>
      <w:pPr>
        <w:pStyle w:val="ListParagraph"/>
        <w:numPr>
          <w:ilvl w:val="0"/>
          <w:numId w:val="3"/>
        </w:numPr>
        <w:spacing w:after="60"/>
      </w:pPr>
      <w:r>
        <w:rPr>
          <w:b/>
          <w:bCs/>
        </w:rPr>
        <w:t xml:space="preserve">Effective date.</w:t>
      </w:r>
      <w:r>
        <w:t xml:space="preserve"> (ACN confirmed: 652 998 635.)</w:t>
      </w:r>
    </w:p>
    <w:p>
      <w:pPr>
        <w:pStyle w:val="ListParagraph"/>
        <w:numPr>
          <w:ilvl w:val="0"/>
          <w:numId w:val="3"/>
        </w:numPr>
        <w:spacing w:after="60"/>
      </w:pPr>
      <w:r>
        <w:rPr>
          <w:b/>
          <w:bCs/>
        </w:rPr>
        <w:t xml:space="preserve">Trial end behaviour</w:t>
      </w:r>
      <w:r>
        <w:t xml:space="preserve"> (Section 3) — what happens to progress/profiles when a trial lapses, and for how long data is kept (align with Privacy Policy retention).</w:t>
      </w:r>
    </w:p>
    <w:p>
      <w:pPr>
        <w:pStyle w:val="ListParagraph"/>
        <w:numPr>
          <w:ilvl w:val="0"/>
          <w:numId w:val="3"/>
        </w:numPr>
        <w:spacing w:after="60"/>
      </w:pPr>
      <w:r>
        <w:rPr>
          <w:b/>
          <w:bCs/>
        </w:rPr>
        <w:t xml:space="preserve">Tax treatment of prices</w:t>
      </w:r>
      <w:r>
        <w:t xml:space="preserve"> (Section 4.1) — GST-inclusive in AU? Tax handling for US/ID/TH checkout via Shopify.</w:t>
      </w:r>
    </w:p>
    <w:p>
      <w:pPr>
        <w:pStyle w:val="ListParagraph"/>
        <w:numPr>
          <w:ilvl w:val="0"/>
          <w:numId w:val="3"/>
        </w:numPr>
        <w:spacing w:after="60"/>
      </w:pPr>
      <w:r>
        <w:rPr>
          <w:b/>
          <w:bCs/>
        </w:rPr>
        <w:t xml:space="preserve">Annual billing mechanics</w:t>
      </w:r>
      <w:r>
        <w:t xml:space="preserve"> (Section 4.2) — confirm single upfront annual charge.</w:t>
      </w:r>
    </w:p>
    <w:p>
      <w:pPr>
        <w:pStyle w:val="ListParagraph"/>
        <w:numPr>
          <w:ilvl w:val="0"/>
          <w:numId w:val="3"/>
        </w:numPr>
        <w:spacing w:after="60"/>
      </w:pPr>
      <w:r>
        <w:rPr>
          <w:b/>
          <w:bCs/>
        </w:rPr>
        <w:t xml:space="preserve">Renewal notice mechanics</w:t>
      </w:r>
      <w:r>
        <w:t xml:space="preserve"> (Section 4.2) — CEO confirmed 30 days' advance notice, but monthly plans renew monthly; confirm how notice works per plan type.</w:t>
      </w:r>
    </w:p>
    <w:p>
      <w:pPr>
        <w:pStyle w:val="ListParagraph"/>
        <w:numPr>
          <w:ilvl w:val="0"/>
          <w:numId w:val="3"/>
        </w:numPr>
        <w:spacing w:after="60"/>
      </w:pPr>
      <w:r>
        <w:rPr>
          <w:b/>
          <w:bCs/>
        </w:rPr>
        <w:t xml:space="preserve">Cancellation flow</w:t>
      </w:r>
      <w:r>
        <w:t xml:space="preserve"> (Section 4.3) — self-serve in account settings, via Shopify customer portal, or email-only at launch?</w:t>
      </w:r>
    </w:p>
    <w:p>
      <w:pPr>
        <w:pStyle w:val="ListParagraph"/>
        <w:numPr>
          <w:ilvl w:val="0"/>
          <w:numId w:val="3"/>
        </w:numPr>
        <w:spacing w:after="60"/>
      </w:pPr>
      <w:r>
        <w:rPr>
          <w:b/>
          <w:bCs/>
        </w:rPr>
        <w:t xml:space="preserve">Refund position</w:t>
      </w:r>
      <w:r>
        <w:t xml:space="preserve"> (Section 4.3) — CEO working position confirmed as "no refunds after the trial" (marked TBD); finalise and consider a standalone Refund Policy page.</w:t>
      </w:r>
    </w:p>
    <w:p>
      <w:pPr>
        <w:pStyle w:val="ListParagraph"/>
        <w:numPr>
          <w:ilvl w:val="0"/>
          <w:numId w:val="3"/>
        </w:numPr>
        <w:spacing w:after="60"/>
      </w:pPr>
      <w:r>
        <w:rPr>
          <w:b/>
          <w:bCs/>
        </w:rPr>
        <w:t xml:space="preserve">Mid-cycle plan changes</w:t>
      </w:r>
      <w:r>
        <w:t xml:space="preserve"> (Section 4.4) — pro-rated or next-period?</w:t>
      </w:r>
    </w:p>
    <w:p>
      <w:pPr>
        <w:pStyle w:val="ListParagraph"/>
        <w:numPr>
          <w:ilvl w:val="0"/>
          <w:numId w:val="3"/>
        </w:numPr>
        <w:spacing w:after="60"/>
      </w:pPr>
      <w:r>
        <w:rPr>
          <w:b/>
          <w:bCs/>
        </w:rPr>
        <w:t xml:space="preserve">Prize-draw compliance</w:t>
      </w:r>
      <w:r>
        <w:t xml:space="preserve"> (Section 6) — lawyer to check trade-promotion/permit requirements per market (esp. Australian state permits, Indonesia, Thailand) and draft standard draw terms.</w:t>
      </w:r>
    </w:p>
    <w:p>
      <w:pPr>
        <w:pStyle w:val="ListParagraph"/>
        <w:numPr>
          <w:ilvl w:val="0"/>
          <w:numId w:val="3"/>
        </w:numPr>
        <w:spacing w:after="60"/>
      </w:pPr>
      <w:r>
        <w:rPr>
          <w:b/>
          <w:bCs/>
        </w:rPr>
        <w:t xml:space="preserve">Cambridge alignment wording</w:t>
      </w:r>
      <w:r>
        <w:t xml:space="preserve"> (Section 8) — confirm required attribution/licence language.</w:t>
      </w:r>
    </w:p>
    <w:p>
      <w:pPr>
        <w:pStyle w:val="ListParagraph"/>
        <w:numPr>
          <w:ilvl w:val="0"/>
          <w:numId w:val="3"/>
        </w:numPr>
        <w:spacing w:after="60"/>
      </w:pPr>
      <w:r>
        <w:rPr>
          <w:b/>
          <w:bCs/>
        </w:rPr>
        <w:t xml:space="preserve">School agreement</w:t>
      </w:r>
      <w:r>
        <w:t xml:space="preserve"> (Section 12) — confirm whether a standard agreement exists or needs drafting; school/teacher account questions are pending with the product team.</w:t>
      </w:r>
    </w:p>
    <w:p>
      <w:pPr>
        <w:pStyle w:val="ListParagraph"/>
        <w:numPr>
          <w:ilvl w:val="0"/>
          <w:numId w:val="3"/>
        </w:numPr>
        <w:spacing w:after="60"/>
      </w:pPr>
      <w:r>
        <w:rPr>
          <w:b/>
          <w:bCs/>
        </w:rPr>
        <w:t xml:space="preserve">Auto-renewal disclosures</w:t>
      </w:r>
      <w:r>
        <w:t xml:space="preserve"> — several US states (e.g. California) require specific consent wording and cancellation UX for auto-renewing subscriptions; lawyer to confirm the checkout flow satisfies them.</w:t>
      </w:r>
    </w:p>
    <w:p>
      <w:pPr>
        <w:pStyle w:val="ListParagraph"/>
        <w:numPr>
          <w:ilvl w:val="0"/>
          <w:numId w:val="3"/>
        </w:numPr>
        <w:spacing w:after="60"/>
      </w:pPr>
      <w:r>
        <w:rPr>
          <w:strike/>
        </w:rPr>
        <w:t xml:space="preserve">EU/UK availability</w:t>
      </w:r>
      <w:r>
        <w:t xml:space="preserve"> — RESOLVED per CEO: EU/UK will be blocked. Availability clause added (Section 2); developer to block EU/UK checkout.</w:t>
      </w:r>
    </w:p>
    <w:p>
      <w:pPr>
        <w:pStyle w:val="ListParagraph"/>
        <w:numPr>
          <w:ilvl w:val="0"/>
          <w:numId w:val="3"/>
        </w:numPr>
        <w:spacing w:after="60"/>
      </w:pPr>
      <w:r>
        <w:rPr>
          <w:b/>
          <w:bCs/>
        </w:rPr>
        <w:t xml:space="preserve">US $1 trial mechanics</w:t>
      </w:r>
      <w:r>
        <w:t xml:space="preserve"> (Section 3) — RESOLVED: the $1 is </w:t>
      </w:r>
      <w:r>
        <w:rPr>
          <w:b/>
          <w:bCs/>
        </w:rPr>
        <w:t xml:space="preserve">refunded</w:t>
      </w:r>
      <w:r>
        <w:t xml:space="preserve">. Remaining: confirm whether the US trial auto-converts to paid (card is on file), and update the US-facing marketing copy, which currently says "no credit card required".</w:t>
      </w:r>
    </w:p>
    <w:p>
      <w:pPr>
        <w:pStyle w:val="ListParagraph"/>
        <w:numPr>
          <w:ilvl w:val="0"/>
          <w:numId w:val="3"/>
        </w:numPr>
        <w:spacing w:after="60"/>
      </w:pPr>
      <w:r>
        <w:rPr>
          <w:b/>
          <w:bCs/>
        </w:rPr>
        <w:t xml:space="preserve">Legal review</w:t>
      </w:r>
      <w:r>
        <w:t xml:space="preserve"> — CEO has confirmed this will happen shortly after launch rather than before. The auto-renewal disclosures (item 12) and refund wording (item 7) are the highest-priority items for that review.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8" w:space="4"/>
      </w:pBdr>
      <w:tabs>
        <w:tab w:val="right" w:pos="9026"/>
      </w:tabs>
    </w:pPr>
    <w:r>
      <w:rPr>
        <w:color w:val="555F6B"/>
        <w:sz w:val="16"/>
        <w:szCs w:val="16"/>
      </w:rPr>
      <w:t xml:space="preserve">The Kids Gate — Terms of Service (draft for review)</w:t>
    </w:r>
    <w:r>
      <w:rPr>
        <w:color w:val="555F6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A623" w:sz="12" w:space="4"/>
      </w:pBdr>
      <w:spacing w:after="160" w:before="0"/>
      <w:outlineLvl w:val="0"/>
    </w:pPr>
    <w:rPr>
      <w:rFonts w:ascii="Arial" w:cs="Arial" w:eastAsia="Arial" w:hAnsi="Arial"/>
      <w:b/>
      <w:bCs/>
      <w:color w:val="1C2B3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C2B3A"/>
      <w:sz w:val="27"/>
      <w:szCs w:val="27"/>
    </w:rPr>
  </w:style>
  <w:style w:type="paragraph" w:styleId="Heading3">
    <w:name w:val="Heading 3"/>
    <w:basedOn w:val="Normal"/>
    <w:next w:val="Normal"/>
    <w:qFormat/>
    <w:pPr>
      <w:spacing w:after="80" w:before="200"/>
      <w:outlineLvl w:val="2"/>
    </w:pPr>
    <w:rPr>
      <w:rFonts w:ascii="Arial" w:cs="Arial" w:eastAsia="Arial" w:hAnsi="Arial"/>
      <w:b/>
      <w:bCs/>
      <w:color w:val="555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Kids Gate — Privacy Policy</dc:title>
  <dc:creator>GATE Edutech Solutions Pty Ltd</dc:creator>
  <cp:lastModifiedBy>Un-named</cp:lastModifiedBy>
  <cp:revision>1</cp:revision>
  <dcterms:created xsi:type="dcterms:W3CDTF">2026-07-07T05:47:43.864Z</dcterms:created>
  <dcterms:modified xsi:type="dcterms:W3CDTF">2026-07-07T05:47:43.865Z</dcterms:modified>
</cp:coreProperties>
</file>

<file path=docProps/custom.xml><?xml version="1.0" encoding="utf-8"?>
<Properties xmlns="http://schemas.openxmlformats.org/officeDocument/2006/custom-properties" xmlns:vt="http://schemas.openxmlformats.org/officeDocument/2006/docPropsVTypes"/>
</file>