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MANIFESTATION IN PENDING OP DOCKET</w:t>
      </w:r>
    </w:p>
    <w:p>
      <w:pPr>
        <w:jc w:val="center"/>
      </w:pPr>
      <w:r>
        <w:rPr>
          <w:i/>
          <w:sz w:val="26"/>
        </w:rPr>
        <w:t>(with Motion to Consolidate; and in the Alternative, Notice of Appeal)</w:t>
      </w:r>
    </w:p>
    <w:p>
      <w:pPr>
        <w:jc w:val="center"/>
      </w:pPr>
      <w:r>
        <w:rPr>
          <w:sz w:val="24"/>
        </w:rPr>
        <w:t>Re: ARTA CTN SL-2026-0128-1210  |  Zschoche v. Pajarillo &amp; Macale</w:t>
      </w:r>
    </w:p>
    <w:p>
      <w:pPr>
        <w:jc w:val="center"/>
      </w:pPr>
      <w:r>
        <w:rPr>
          <w:i/>
          <w:sz w:val="22"/>
        </w:rPr>
        <w:t>Counsel-Routing Draft  ·  For Atty. Barandon / Atty. Botor review</w:t>
      </w:r>
    </w:p>
    <w:p/>
    <w:p>
      <w:pPr>
        <w:spacing w:before="280" w:after="160"/>
      </w:pPr>
      <w:r>
        <w:rPr>
          <w:b/>
          <w:sz w:val="26"/>
        </w:rPr>
        <w:t>Briefing Note for Reviewing Counsel</w:t>
      </w:r>
    </w:p>
    <w:p>
      <w:pPr>
        <w:ind w:firstLine="720"/>
        <w:jc w:val="both"/>
      </w:pPr>
      <w:r>
        <w:t>Petitioner already has a pending matter before the OP — the Petition for Supervisory Review and Corrective Action and Notice of Appeal (in the alternative), filed 5 May 2026 under transmittal reference 050526-MRO-234187, re ARTA CTN SL-2025-1008-0690 and CTN SL-2025-1104-0792 (Zschoche v. Balane / MEO-Mercedes). The new ARTA Resolution dated 13 May 2026 rests on materially identical legal errors and should be brought within the same docket rather than filed as a separate appeal.</w:t>
      </w:r>
    </w:p>
    <w:p>
      <w:pPr>
        <w:ind w:firstLine="720"/>
        <w:jc w:val="both"/>
      </w:pPr>
      <w:r>
        <w:rPr>
          <w:b/>
        </w:rPr>
        <w:t>DEADLINE: Saturday, 30 May 2026</w:t>
      </w:r>
      <w:r>
        <w:t xml:space="preserve"> — fifteen (15) days from receipt of the new Resolution on 15 May 2026, per Section 8 of the 2023 Revised ARTA Rules of Procedure. This filing preserves the appellate clock via an alternative Notice of Appeal in case the OP does not consolidate.</w:t>
      </w:r>
    </w:p>
    <w:p>
      <w:pPr>
        <w:spacing w:before="200" w:after="120"/>
      </w:pPr>
      <w:r>
        <w:rPr>
          <w:b/>
          <w:i/>
          <w:sz w:val="24"/>
        </w:rPr>
        <w:t>Source materials in corpus:</w:t>
      </w:r>
    </w:p>
    <w:p>
      <w:pPr>
        <w:ind w:left="720" w:hanging="360"/>
      </w:pPr>
      <w:r>
        <w:t xml:space="preserve">• </w:t>
      </w:r>
      <w:r>
        <w:t>doc#624 — Signed Resolution (Notice of Closure) dated 13 May 2026, CTN SL-2026-0128-1210</w:t>
      </w:r>
    </w:p>
    <w:p>
      <w:pPr>
        <w:ind w:left="720" w:hanging="360"/>
      </w:pPr>
      <w:r>
        <w:t xml:space="preserve">• </w:t>
      </w:r>
      <w:r>
        <w:t>doc#531 — Complaint-Affidavit (Macale primary respondent, Pajarillo derivative)</w:t>
      </w:r>
    </w:p>
    <w:p>
      <w:pPr>
        <w:ind w:left="720" w:hanging="360"/>
      </w:pPr>
      <w:r>
        <w:t xml:space="preserve">• </w:t>
      </w:r>
      <w:r>
        <w:t>doc#702 / doc#703 — Existing Petition + Notice of Appeal filed at OP on 5 May 2026</w:t>
      </w:r>
    </w:p>
    <w:p>
      <w:pPr>
        <w:ind w:left="720" w:hanging="360"/>
      </w:pPr>
      <w:r>
        <w:t xml:space="preserve">• </w:t>
      </w:r>
      <w:r>
        <w:t>email#42 — Transmittal email of new Resolution received 15 May 2026</w:t>
      </w:r>
    </w:p>
    <w:p>
      <w:r>
        <w:br w:type="page"/>
      </w:r>
    </w:p>
    <w:p>
      <w:pPr>
        <w:spacing w:before="360" w:after="200"/>
      </w:pPr>
      <w:r>
        <w:rPr>
          <w:b/>
          <w:color w:val="1F3A5F"/>
          <w:sz w:val="28"/>
        </w:rPr>
        <w:t>A.  THE PLEADING  (procedural — short, files first)</w:t>
      </w:r>
    </w:p>
    <w:p>
      <w:pPr>
        <w:spacing w:after="0" w:line="240" w:lineRule="auto"/>
      </w:pPr>
      <w:r>
        <w:rPr>
          <w:rFonts w:ascii="Courier New" w:hAnsi="Courier New"/>
          <w:sz w:val="21"/>
        </w:rPr>
        <w:t xml:space="preserve">       Republic of the Philippines</w:t>
      </w:r>
    </w:p>
    <w:p>
      <w:pPr>
        <w:spacing w:after="0" w:line="240" w:lineRule="auto"/>
      </w:pPr>
      <w:r>
        <w:rPr>
          <w:rFonts w:ascii="Courier New" w:hAnsi="Courier New"/>
          <w:sz w:val="21"/>
        </w:rPr>
        <w:t xml:space="preserve">       OFFICE OF THE PRESIDENT</w:t>
      </w:r>
    </w:p>
    <w:p>
      <w:pPr>
        <w:spacing w:after="0" w:line="240" w:lineRule="auto"/>
      </w:pPr>
      <w:r>
        <w:rPr>
          <w:rFonts w:ascii="Courier New" w:hAnsi="Courier New"/>
          <w:sz w:val="21"/>
        </w:rPr>
        <w:t xml:space="preserve">       Office of the Executive Secretary</w:t>
      </w:r>
    </w:p>
    <w:p>
      <w:pPr>
        <w:spacing w:after="0" w:line="240" w:lineRule="auto"/>
      </w:pPr>
      <w:r>
        <w:rPr>
          <w:rFonts w:ascii="Courier New" w:hAnsi="Courier New"/>
          <w:sz w:val="21"/>
        </w:rPr>
        <w:t xml:space="preserve">         Malacañang Palace, Manila</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In Re:  PETITION FOR SUPERVISORY REVIEW</w:t>
      </w:r>
    </w:p>
    <w:p>
      <w:pPr>
        <w:spacing w:after="0" w:line="240" w:lineRule="auto"/>
      </w:pPr>
      <w:r>
        <w:rPr>
          <w:rFonts w:ascii="Courier New" w:hAnsi="Courier New"/>
          <w:sz w:val="21"/>
        </w:rPr>
        <w:t xml:space="preserve">        AND CORRECTIVE ACTION</w:t>
      </w:r>
    </w:p>
    <w:p>
      <w:pPr>
        <w:spacing w:after="0" w:line="240" w:lineRule="auto"/>
      </w:pPr>
      <w:r>
        <w:rPr>
          <w:rFonts w:ascii="Courier New" w:hAnsi="Courier New"/>
          <w:sz w:val="21"/>
        </w:rPr>
        <w:t xml:space="preserve">        AND NOTICE OF APPEAL (in the alternative)</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JONATHAN P. ZSCHOCHE, as</w:t>
      </w:r>
    </w:p>
    <w:p>
      <w:pPr>
        <w:spacing w:after="0" w:line="240" w:lineRule="auto"/>
      </w:pPr>
      <w:r>
        <w:rPr>
          <w:rFonts w:ascii="Courier New" w:hAnsi="Courier New"/>
          <w:sz w:val="21"/>
        </w:rPr>
        <w:t>Attorney-in-Fact for PATRICIA       O.P. Case No. _________</w:t>
      </w:r>
    </w:p>
    <w:p>
      <w:pPr>
        <w:spacing w:after="0" w:line="240" w:lineRule="auto"/>
      </w:pPr>
      <w:r>
        <w:rPr>
          <w:rFonts w:ascii="Courier New" w:hAnsi="Courier New"/>
          <w:sz w:val="21"/>
        </w:rPr>
        <w:t>KEESEY ZSCHOCHE, heir in the        (Transmittal Ref.:</w:t>
      </w:r>
    </w:p>
    <w:p>
      <w:pPr>
        <w:spacing w:after="0" w:line="240" w:lineRule="auto"/>
      </w:pPr>
      <w:r>
        <w:rPr>
          <w:rFonts w:ascii="Courier New" w:hAnsi="Courier New"/>
          <w:sz w:val="21"/>
        </w:rPr>
        <w:t>Estate of MARY WORRICK KEESEY,       050526-MRO-234187)</w:t>
      </w:r>
    </w:p>
    <w:p>
      <w:pPr>
        <w:spacing w:after="0" w:line="240" w:lineRule="auto"/>
      </w:pPr>
      <w:r>
        <w:rPr>
          <w:rFonts w:ascii="Courier New" w:hAnsi="Courier New"/>
          <w:sz w:val="21"/>
        </w:rPr>
        <w:t xml:space="preserve">          Petitioner,              ARTA Case Nos.:</w:t>
      </w:r>
    </w:p>
    <w:p>
      <w:pPr>
        <w:spacing w:after="0" w:line="240" w:lineRule="auto"/>
      </w:pPr>
      <w:r>
        <w:rPr>
          <w:rFonts w:ascii="Courier New" w:hAnsi="Courier New"/>
          <w:sz w:val="21"/>
        </w:rPr>
        <w:t xml:space="preserve">                                      CTN SL-2025-1008-0690</w:t>
      </w:r>
    </w:p>
    <w:p>
      <w:pPr>
        <w:spacing w:after="0" w:line="240" w:lineRule="auto"/>
      </w:pPr>
      <w:r>
        <w:rPr>
          <w:rFonts w:ascii="Courier New" w:hAnsi="Courier New"/>
          <w:sz w:val="21"/>
        </w:rPr>
        <w:t xml:space="preserve">  -versus-                            CTN SL-2025-1104-0792</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ENGR. ERWIN H. BALANE, et al.,</w:t>
      </w:r>
    </w:p>
    <w:p>
      <w:pPr>
        <w:spacing w:after="0" w:line="240" w:lineRule="auto"/>
      </w:pPr>
      <w:r>
        <w:rPr>
          <w:rFonts w:ascii="Courier New" w:hAnsi="Courier New"/>
          <w:sz w:val="21"/>
        </w:rPr>
        <w:t xml:space="preserve">          Respondents.</w:t>
      </w:r>
    </w:p>
    <w:p>
      <w:pPr>
        <w:spacing w:after="0" w:line="240" w:lineRule="auto"/>
      </w:pPr>
      <w:r>
        <w:rPr>
          <w:rFonts w:ascii="Courier New" w:hAnsi="Courier New"/>
          <w:sz w:val="21"/>
        </w:rPr>
        <w:t>x---------------------------------------x</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MANIFESTATION</w:t>
      </w:r>
    </w:p>
    <w:p>
      <w:pPr>
        <w:spacing w:after="0" w:line="240" w:lineRule="auto"/>
      </w:pPr>
      <w:r>
        <w:rPr>
          <w:rFonts w:ascii="Courier New" w:hAnsi="Courier New"/>
          <w:sz w:val="21"/>
        </w:rPr>
        <w:t xml:space="preserve">  (with Motion to Consolidate; and in the Alternative,</w:t>
      </w:r>
    </w:p>
    <w:p>
      <w:pPr>
        <w:spacing w:after="0" w:line="240" w:lineRule="auto"/>
      </w:pPr>
      <w:r>
        <w:rPr>
          <w:rFonts w:ascii="Courier New" w:hAnsi="Courier New"/>
          <w:sz w:val="21"/>
        </w:rPr>
        <w:t xml:space="preserve">             NOTICE OF APPEAL)</w:t>
      </w:r>
    </w:p>
    <w:p>
      <w:pPr>
        <w:spacing w:after="0" w:line="240" w:lineRule="auto"/>
      </w:pPr>
      <w:r>
        <w:rPr>
          <w:rFonts w:ascii="Courier New" w:hAnsi="Courier New"/>
          <w:sz w:val="21"/>
        </w:rPr>
        <w:t xml:space="preserve">  re: ARTA Case No. CTN SL-2026-0128-1210</w:t>
      </w:r>
    </w:p>
    <w:p>
      <w:pPr>
        <w:spacing w:after="0" w:line="240" w:lineRule="auto"/>
      </w:pPr>
      <w:r>
        <w:rPr>
          <w:rFonts w:ascii="Courier New" w:hAnsi="Courier New"/>
          <w:sz w:val="21"/>
        </w:rPr>
        <w:t xml:space="preserve">      (Zschoche v. Pajarillo &amp; Macale)</w:t>
      </w:r>
    </w:p>
    <w:p>
      <w:pPr>
        <w:ind w:firstLine="720"/>
        <w:jc w:val="both"/>
      </w:pPr>
      <w:r>
        <w:t>PETITIONER, by himself, respectfully manifests to this Honorable Office as follows:</w:t>
      </w:r>
    </w:p>
    <w:p>
      <w:pPr>
        <w:ind w:left="576" w:hanging="576"/>
        <w:jc w:val="both"/>
      </w:pPr>
      <w:r>
        <w:t xml:space="preserve">1. </w:t>
      </w:r>
      <w:r>
        <w:t>On 5 May 2026, Petitioner filed before this Honorable Office his Petition for Supervisory Review and Corrective Action, with a Notice of Appeal in the alternative, assailing the Anti-Red Tape Authority's Resolution dated 7 April 2026 in ARTA Case Nos. CTN SL-2025-1008-0690 and CTN SL-2025-1104-0792 (the "Pending Petition"). The Pending Petition raises, inter alia, two threshold legal errors: (a) ARTA's narrowing of "government service" under Section 4(f) of R.A. No. 11032 so as to exclude legitimate transactions with LGU offices, and (b) ARTA's improper citizenship-based dismissal of complaints filed by foreign-citizen Attorneys-in-Fact for heirs of Filipino-titled property.</w:t>
      </w:r>
    </w:p>
    <w:p>
      <w:pPr>
        <w:ind w:left="576" w:hanging="576"/>
        <w:jc w:val="both"/>
      </w:pPr>
      <w:r>
        <w:t xml:space="preserve">2. </w:t>
      </w:r>
      <w:r>
        <w:t>On 15 May 2026, Petitioner received via electronic mail a supervening Resolution of the Anti-Red Tape Authority dated 13 May 2026 in ARTA Case No. CTN SL-2026-0128-1210, entitled "Jonathan P. Zschoche v. Hon. Alexander L. Pajarillo and Loida E. Macale" (the "Supervening Resolution"). A certified true copy of the Supervening Resolution is attached as ANNEX "M-1."</w:t>
      </w:r>
    </w:p>
    <w:p>
      <w:pPr>
        <w:ind w:left="576" w:hanging="576"/>
        <w:jc w:val="both"/>
      </w:pPr>
      <w:r>
        <w:t xml:space="preserve">3. </w:t>
      </w:r>
      <w:r>
        <w:t>The Supervening Resolution recommends CLOSURE of Petitioner's complaint against the Municipal Mayor and the Municipal Treasurer of Mercedes, Camarines Norte, on grounds materially identical to those already challenged in the Pending Petition, namely —</w:t>
      </w:r>
    </w:p>
    <w:p>
      <w:pPr>
        <w:ind w:left="1296" w:hanging="432"/>
        <w:jc w:val="both"/>
      </w:pPr>
      <w:r>
        <w:t xml:space="preserve">(a)  </w:t>
      </w:r>
      <w:r>
        <w:t>that Petitioner's requests do not constitute "government service" under Section 4(f) of R.A. No. 11032 — the same narrowing construction the Pending Petition assails; and</w:t>
      </w:r>
    </w:p>
    <w:p>
      <w:pPr>
        <w:ind w:left="1296" w:hanging="432"/>
        <w:jc w:val="both"/>
      </w:pPr>
      <w:r>
        <w:t xml:space="preserve">(b)  </w:t>
      </w:r>
      <w:r>
        <w:t>that Petitioner and Patricia Keesey Zschoche, as American citizens, "cannot be treated as [making] an application for a legally demandable right to information" — the same citizenship-based dismissal the Pending Petition assails.</w:t>
      </w:r>
    </w:p>
    <w:p>
      <w:pPr>
        <w:ind w:left="576" w:hanging="576"/>
        <w:jc w:val="both"/>
      </w:pPr>
      <w:r>
        <w:t xml:space="preserve">4. </w:t>
      </w:r>
      <w:r>
        <w:t>The Supervening Resolution further FAILS to address a specifically alleged violation of Section 21(b) of R.A. No. 11032 (refusal to issue Official Receipts) in respect of the Php 75,000.00 Real Property Tax payment under protest made on 19 December 2025 under Confirmation Nos. VCHMU47RH and VYFLCEPVH. This silence constitutes either a denial of due process or an unreasoned implied dismissal, and is independently reversible regardless of how this Honorable Office rules on the citizenship and scope issues common to the two Resolutions.</w:t>
      </w:r>
    </w:p>
    <w:p>
      <w:pPr>
        <w:ind w:left="576" w:hanging="576"/>
        <w:jc w:val="both"/>
      </w:pPr>
      <w:r>
        <w:t xml:space="preserve">5. </w:t>
      </w:r>
      <w:r>
        <w:t>Petitioner respectfully submits that the Supervening Resolution is properly addressed within the Pending Petition, and that the interests of administrative justice, judicial economy, and consistency in the application of R.A. No. 11032 will be best served if this Honorable Office takes cognizance of the Supervening Resolution within the docket of the Pending Petition. The legal questions are not merely similar — they are identical — and a single ruling can dispose of both.</w:t>
      </w:r>
    </w:p>
    <w:p>
      <w:pPr>
        <w:ind w:left="576" w:hanging="576"/>
        <w:jc w:val="both"/>
      </w:pPr>
      <w:r>
        <w:t xml:space="preserve">6. </w:t>
      </w:r>
      <w:r>
        <w:t>Petitioner makes this Manifestation also as a Motion to Consolidate the Supervening Resolution into the Pending Petition; and in the alternative, as a timely Notice of Appeal from the Supervening Resolution under Section 8 of the 2023 Revised Rules of Procedure of the Anti-Red Tape Authority. The 15-day appellate period from notice of the Supervening Resolution lapses on 30 May 2026; this filing is timely if treated as a Notice of Appeal.</w:t>
      </w:r>
    </w:p>
    <w:p>
      <w:pPr>
        <w:ind w:left="576" w:hanging="576"/>
        <w:jc w:val="both"/>
      </w:pPr>
      <w:r>
        <w:t xml:space="preserve">7. </w:t>
      </w:r>
      <w:r>
        <w:t>A statement of additional grounds, applying and extending the legal theories already pleaded in the Pending Petition to the Supervening Resolution, is set out in PART B below and incorporated herein by reference.</w:t>
      </w:r>
    </w:p>
    <w:p>
      <w:pPr>
        <w:spacing w:before="280" w:after="160"/>
      </w:pPr>
      <w:r>
        <w:rPr>
          <w:b/>
          <w:sz w:val="26"/>
        </w:rPr>
        <w:t>PRAYER</w:t>
      </w:r>
    </w:p>
    <w:p>
      <w:pPr>
        <w:ind w:firstLine="720"/>
        <w:jc w:val="both"/>
      </w:pPr>
      <w:r>
        <w:t>WHEREFORE, premises considered, Petitioner respectfully prays that this Honorable Office:</w:t>
      </w:r>
    </w:p>
    <w:p>
      <w:pPr>
        <w:ind w:left="720" w:hanging="432"/>
        <w:jc w:val="both"/>
      </w:pPr>
      <w:r>
        <w:t xml:space="preserve">(a)  </w:t>
      </w:r>
      <w:r>
        <w:rPr>
          <w:b/>
        </w:rPr>
        <w:t>TAKE COGNIZANCE</w:t>
      </w:r>
      <w:r>
        <w:t xml:space="preserve"> of the Supervening Resolution dated 13 May 2026 in ARTA Case No. CTN SL-2026-0128-1210 within the docket of the Pending Petition (Transmittal Ref. 050526-MRO-234187);</w:t>
      </w:r>
    </w:p>
    <w:p>
      <w:pPr>
        <w:ind w:left="720" w:hanging="432"/>
        <w:jc w:val="both"/>
      </w:pPr>
      <w:r>
        <w:t xml:space="preserve">(b)  </w:t>
      </w:r>
      <w:r>
        <w:rPr>
          <w:b/>
        </w:rPr>
        <w:t>CONSOLIDATE</w:t>
      </w:r>
      <w:r>
        <w:t xml:space="preserve"> the Supervening Resolution with the Pending Petition for unified consideration and disposition;</w:t>
      </w:r>
    </w:p>
    <w:p>
      <w:pPr>
        <w:ind w:left="720" w:hanging="432"/>
        <w:jc w:val="both"/>
      </w:pPr>
      <w:r>
        <w:t xml:space="preserve">(c)  </w:t>
      </w:r>
      <w:r>
        <w:rPr>
          <w:b/>
        </w:rPr>
        <w:t>IN THE ALTERNATIVE</w:t>
      </w:r>
      <w:r>
        <w:t>, treat this Manifestation as a timely Notice of Appeal from the Supervening Resolution under Section 8 of the 2023 Revised ARTA Rules of Procedure;</w:t>
      </w:r>
    </w:p>
    <w:p>
      <w:pPr>
        <w:ind w:left="720" w:hanging="432"/>
        <w:jc w:val="both"/>
      </w:pPr>
      <w:r>
        <w:t xml:space="preserve">(d)  </w:t>
      </w:r>
      <w:r>
        <w:rPr>
          <w:b/>
        </w:rPr>
        <w:t>SET ASIDE</w:t>
      </w:r>
      <w:r>
        <w:t xml:space="preserve"> the Supervening Resolution for —</w:t>
      </w:r>
    </w:p>
    <w:p>
      <w:pPr>
        <w:ind w:left="1440" w:hanging="504"/>
        <w:jc w:val="both"/>
      </w:pPr>
      <w:r>
        <w:t xml:space="preserve">(i)  </w:t>
      </w:r>
      <w:r>
        <w:t>its failure to address the specifically alleged violation of Section 21(b) of R.A. No. 11032 concerning the refusal to issue Official Receipts for the Php 75,000.00 paid under protest;</w:t>
      </w:r>
    </w:p>
    <w:p>
      <w:pPr>
        <w:ind w:left="1440" w:hanging="504"/>
        <w:jc w:val="both"/>
      </w:pPr>
      <w:r>
        <w:t xml:space="preserve">(ii)  </w:t>
      </w:r>
      <w:r>
        <w:t>the same narrowing of "government service" under Section 4(f) already challenged in the Pending Petition; and</w:t>
      </w:r>
    </w:p>
    <w:p>
      <w:pPr>
        <w:ind w:left="1440" w:hanging="504"/>
        <w:jc w:val="both"/>
      </w:pPr>
      <w:r>
        <w:t xml:space="preserve">(iii)  </w:t>
      </w:r>
      <w:r>
        <w:t>the same impermissible citizenship-based dismissal already challenged in the Pending Petition;</w:t>
      </w:r>
    </w:p>
    <w:p>
      <w:pPr>
        <w:ind w:left="720" w:hanging="432"/>
        <w:jc w:val="both"/>
      </w:pPr>
      <w:r>
        <w:t xml:space="preserve">(e)  </w:t>
      </w:r>
      <w:r>
        <w:rPr>
          <w:b/>
        </w:rPr>
        <w:t>REMAND</w:t>
      </w:r>
      <w:r>
        <w:t xml:space="preserve"> the case to ARTA with directions to enter findings of prima facie evidence under Sections 21(b), (d), and (e) of R.A. No. 11032 and to proceed to adjudication on the merits; and</w:t>
      </w:r>
    </w:p>
    <w:p>
      <w:pPr>
        <w:ind w:left="720" w:hanging="432"/>
        <w:jc w:val="both"/>
      </w:pPr>
      <w:r>
        <w:t xml:space="preserve">(f)  </w:t>
      </w:r>
      <w:r>
        <w:rPr>
          <w:b/>
        </w:rPr>
        <w:t>GRANT</w:t>
      </w:r>
      <w:r>
        <w:t xml:space="preserve"> such other and further relief as may be just and equitable.</w:t>
      </w:r>
    </w:p>
    <w:p>
      <w:pPr>
        <w:ind w:firstLine="720"/>
        <w:jc w:val="both"/>
      </w:pPr>
      <w:r>
        <w:t>Daet, Camarines Norte; 28 May 2026.</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Respectfully submitted,</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____________________________________</w:t>
      </w:r>
    </w:p>
    <w:p>
      <w:pPr>
        <w:spacing w:after="0" w:line="240" w:lineRule="auto"/>
      </w:pPr>
      <w:r>
        <w:rPr>
          <w:rFonts w:ascii="Courier New" w:hAnsi="Courier New"/>
          <w:sz w:val="21"/>
        </w:rPr>
        <w:t xml:space="preserve">                            JONATHAN PAUL ZSCHOCHE</w:t>
      </w:r>
    </w:p>
    <w:p>
      <w:pPr>
        <w:spacing w:after="0" w:line="240" w:lineRule="auto"/>
      </w:pPr>
      <w:r>
        <w:rPr>
          <w:rFonts w:ascii="Courier New" w:hAnsi="Courier New"/>
          <w:sz w:val="21"/>
        </w:rPr>
        <w:t xml:space="preserve">                            Attorney-in-Fact for</w:t>
      </w:r>
    </w:p>
    <w:p>
      <w:pPr>
        <w:spacing w:after="0" w:line="240" w:lineRule="auto"/>
      </w:pPr>
      <w:r>
        <w:rPr>
          <w:rFonts w:ascii="Courier New" w:hAnsi="Courier New"/>
          <w:sz w:val="21"/>
        </w:rPr>
        <w:t xml:space="preserve">                            PATRICIA KEESEY ZSCHOCHE, heir in the</w:t>
      </w:r>
    </w:p>
    <w:p>
      <w:pPr>
        <w:spacing w:after="0" w:line="240" w:lineRule="auto"/>
      </w:pPr>
      <w:r>
        <w:rPr>
          <w:rFonts w:ascii="Courier New" w:hAnsi="Courier New"/>
          <w:sz w:val="21"/>
        </w:rPr>
        <w:t xml:space="preserve">                            Estate of MARY WORRICK KEESEY</w:t>
      </w:r>
    </w:p>
    <w:p>
      <w:pPr>
        <w:spacing w:after="0" w:line="240" w:lineRule="auto"/>
      </w:pPr>
      <w:r>
        <w:rPr>
          <w:rFonts w:ascii="Courier New" w:hAnsi="Courier New"/>
          <w:sz w:val="21"/>
        </w:rPr>
        <w:t xml:space="preserve">                            Dasmariñas Street, Brgy. VIII</w:t>
      </w:r>
    </w:p>
    <w:p>
      <w:pPr>
        <w:spacing w:after="0" w:line="240" w:lineRule="auto"/>
      </w:pPr>
      <w:r>
        <w:rPr>
          <w:rFonts w:ascii="Courier New" w:hAnsi="Courier New"/>
          <w:sz w:val="21"/>
        </w:rPr>
        <w:t xml:space="preserve">                            Daet, Camarines Norte, Philippines 4600</w:t>
      </w:r>
    </w:p>
    <w:p>
      <w:pPr>
        <w:spacing w:after="0" w:line="240" w:lineRule="auto"/>
      </w:pPr>
      <w:r>
        <w:rPr>
          <w:rFonts w:ascii="Courier New" w:hAnsi="Courier New"/>
          <w:sz w:val="21"/>
        </w:rPr>
        <w:t xml:space="preserve">                            jonzschoche@gmail.com  |  0966-698-1448</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Copy furnished:</w:t>
      </w:r>
    </w:p>
    <w:p>
      <w:pPr>
        <w:spacing w:after="0" w:line="240" w:lineRule="auto"/>
      </w:pPr>
      <w:r>
        <w:rPr>
          <w:rFonts w:ascii="Courier New" w:hAnsi="Courier New"/>
          <w:sz w:val="21"/>
        </w:rPr>
        <w:t xml:space="preserve">   Director General, Anti-Red Tape Authority, Diliman, Quezon City</w:t>
      </w:r>
    </w:p>
    <w:p>
      <w:pPr>
        <w:spacing w:after="0" w:line="240" w:lineRule="auto"/>
      </w:pPr>
      <w:r>
        <w:rPr>
          <w:rFonts w:ascii="Courier New" w:hAnsi="Courier New"/>
          <w:sz w:val="21"/>
        </w:rPr>
        <w:t xml:space="preserve">   Atty. Rodolfo B. Del Rosario Jr., Litigation Division Chief, ARTA</w:t>
      </w:r>
    </w:p>
    <w:p>
      <w:pPr>
        <w:spacing w:after="0" w:line="240" w:lineRule="auto"/>
      </w:pPr>
      <w:r>
        <w:rPr>
          <w:rFonts w:ascii="Courier New" w:hAnsi="Courier New"/>
          <w:sz w:val="21"/>
        </w:rPr>
        <w:t xml:space="preserve">   Hon. Alexander L. Pajarillo, Office of the Municipal Mayor,</w:t>
      </w:r>
    </w:p>
    <w:p>
      <w:pPr>
        <w:spacing w:after="0" w:line="240" w:lineRule="auto"/>
      </w:pPr>
      <w:r>
        <w:rPr>
          <w:rFonts w:ascii="Courier New" w:hAnsi="Courier New"/>
          <w:sz w:val="21"/>
        </w:rPr>
        <w:t xml:space="preserve">        Mercedes, Camarines Norte</w:t>
      </w:r>
    </w:p>
    <w:p>
      <w:pPr>
        <w:spacing w:after="0" w:line="240" w:lineRule="auto"/>
      </w:pPr>
      <w:r>
        <w:rPr>
          <w:rFonts w:ascii="Courier New" w:hAnsi="Courier New"/>
          <w:sz w:val="21"/>
        </w:rPr>
        <w:t xml:space="preserve">   Loida E. Macale, Office of the Municipal Treasurer,</w:t>
      </w:r>
    </w:p>
    <w:p>
      <w:pPr>
        <w:spacing w:after="0" w:line="240" w:lineRule="auto"/>
      </w:pPr>
      <w:r>
        <w:rPr>
          <w:rFonts w:ascii="Courier New" w:hAnsi="Courier New"/>
          <w:sz w:val="21"/>
        </w:rPr>
        <w:t xml:space="preserve">        Mercedes, Camarines Norte</w:t>
      </w:r>
    </w:p>
    <w:p>
      <w:r>
        <w:br w:type="page"/>
      </w:r>
    </w:p>
    <w:p>
      <w:pPr>
        <w:spacing w:before="360" w:after="200"/>
      </w:pPr>
      <w:r>
        <w:rPr>
          <w:b/>
          <w:color w:val="1F3A5F"/>
          <w:sz w:val="28"/>
        </w:rPr>
        <w:t>B.  ADDITIONAL GROUNDS</w:t>
      </w:r>
    </w:p>
    <w:p>
      <w:pPr>
        <w:ind w:firstLine="720"/>
        <w:jc w:val="both"/>
      </w:pPr>
      <w:r>
        <w:rPr>
          <w:b/>
        </w:rPr>
        <w:t>(Extending the Pending Petition's theory to the Supervening Resolution)</w:t>
      </w:r>
    </w:p>
    <w:p>
      <w:pPr>
        <w:spacing w:before="280" w:after="160"/>
      </w:pPr>
      <w:r>
        <w:rPr>
          <w:b/>
          <w:sz w:val="26"/>
        </w:rPr>
        <w:t>Statement of the Case (Supervening Resolution)</w:t>
      </w:r>
    </w:p>
    <w:p>
      <w:pPr>
        <w:ind w:firstLine="720"/>
        <w:jc w:val="both"/>
      </w:pPr>
      <w:r>
        <w:t>On 27 January 2026, Petitioner filed an Initial Complaint with ARTA against the Municipal Treasurer's Office and the Office of the Municipal Mayor of Mercedes for persistent failure to act on six (6) ministerial requests for real-property-tax information and for refusal to issue Official Receipts on a Php 75,000.00 payment under protest. On 5 March 2026, Petitioner submitted a Sworn Complaint-Affidavit (Annex "M-2"). The complaint was endorsed to the Mercedes CART. On 13 May 2026, ARTA issued the Supervening Resolution recommending CLOSURE for absence of prima facie evidence under Sec. 21(d) and (e) of R.A. No. 11032 — and saying nothing about the alleged Sec. 21(b) violation. Notice was received via email on 15 May 2026.</w:t>
      </w:r>
    </w:p>
    <w:p>
      <w:pPr>
        <w:ind w:firstLine="720"/>
        <w:jc w:val="both"/>
      </w:pPr>
      <w:r>
        <w:t xml:space="preserve">On </w:t>
      </w:r>
      <w:r>
        <w:rPr>
          <w:b/>
        </w:rPr>
        <w:t>18 May 2026</w:t>
      </w:r>
      <w:r>
        <w:t>, Petitioner filed before the ARTA Litigation Division a Manifestation of Legal Position and Request for Written Clarification (Annex "M-3"), expressly stating that it was not a motion for reconsideration and requesting written clarification on three specific points of law arising from the Supervening Resolution.</w:t>
      </w:r>
    </w:p>
    <w:p>
      <w:pPr>
        <w:ind w:firstLine="720"/>
        <w:jc w:val="both"/>
      </w:pPr>
      <w:r>
        <w:t xml:space="preserve">On </w:t>
      </w:r>
      <w:r>
        <w:rPr>
          <w:b/>
        </w:rPr>
        <w:t>21 May 2026</w:t>
      </w:r>
      <w:r>
        <w:t xml:space="preserve">, ARTA's Litigation Division (through Atty. Rodolfo B. Del Rosario Jr., Division Chief) issued a written Response to that Manifestation (Annex "M-4"). The Response is critical to the present Manifestation because ARTA there expressly </w:t>
      </w:r>
      <w:r>
        <w:rPr>
          <w:b/>
        </w:rPr>
        <w:t>NARROWED and LIMITED</w:t>
      </w:r>
      <w:r>
        <w:t xml:space="preserve"> the reach of the Supervening Resolution — disclaiming any determination of the LGU's substantive duties under the Local Government Code, disclaiming any determination of property-owner rights or remedies, and pointing Petitioner to "the appropriate supervisory authority, or other competent forum" for relief on those substantive matters. That supervisory authority is this Honorable Office.</w:t>
      </w:r>
    </w:p>
    <w:p>
      <w:pPr>
        <w:spacing w:before="280" w:after="160"/>
      </w:pPr>
      <w:r>
        <w:rPr>
          <w:b/>
          <w:sz w:val="26"/>
        </w:rPr>
        <w:t>Statement of Strategy</w:t>
      </w:r>
    </w:p>
    <w:p>
      <w:pPr>
        <w:ind w:firstLine="720"/>
        <w:jc w:val="both"/>
      </w:pPr>
      <w:r>
        <w:t>Petitioner's threshold submission is that the Supervening Resolution rests on the same two legal errors already pleaded in the Pending Petition: a narrow reading of "government service" under Section 4(f), and a citizenship-based dismissal that conflates the constitutional right to information with the statutory protections of R.A. No. 11032. Those issues are fully briefed in the Pending Petition and should not need to be re-litigated in a separate appeal. A single OP ruling can — and should — dispose of both.</w:t>
      </w:r>
    </w:p>
    <w:p>
      <w:pPr>
        <w:ind w:firstLine="720"/>
        <w:jc w:val="both"/>
      </w:pPr>
      <w:r>
        <w:rPr>
          <w:b/>
        </w:rPr>
        <w:t>Ground III</w:t>
      </w:r>
      <w:r>
        <w:t xml:space="preserve"> (failure to address Sec. 21(b)) is independently sufficient to set aside the Supervening Resolution on procedural / due-process grounds, regardless of how the consolidated substantive issues are decided. It is unique to the Supervening Resolution and is the cleanest reversal lane available.</w:t>
      </w:r>
    </w:p>
    <w:p>
      <w:pPr>
        <w:spacing w:before="280" w:after="160"/>
      </w:pPr>
      <w:r>
        <w:rPr>
          <w:b/>
          <w:sz w:val="26"/>
        </w:rPr>
        <w:t>Additional Grounds Specific to the Supervening Resolution</w:t>
      </w:r>
    </w:p>
    <w:p>
      <w:pPr>
        <w:spacing w:before="200" w:after="120"/>
      </w:pPr>
      <w:r>
        <w:rPr>
          <w:b/>
          <w:i/>
          <w:sz w:val="24"/>
        </w:rPr>
        <w:t>GROUND I — The Supervening Resolution applies the same narrow construction of "government service" already challenged in the Pending Petition.</w:t>
      </w:r>
    </w:p>
    <w:p>
      <w:pPr>
        <w:ind w:firstLine="720"/>
        <w:jc w:val="both"/>
      </w:pPr>
      <w:r>
        <w:t>The Supervening Resolution holds that Petitioner's requests are "requests for information and clarification of tax records" and therefore not "applications for a permit, license, clearance, concession, privilege, or authorization contemplated under Section 4(f) of R.A. No. 11032." This is the identical construction challenged in the Pending Petition, raised here for the limited purpose of demonstrating that a unified ruling can dispose of the issue across both Resolutions.</w:t>
      </w:r>
    </w:p>
    <w:p>
      <w:pPr>
        <w:ind w:left="576" w:hanging="576"/>
        <w:jc w:val="both"/>
      </w:pPr>
      <w:r>
        <w:t xml:space="preserve">1. </w:t>
      </w:r>
      <w:r>
        <w:t>Section 4(f) defines "government service" to include processes involving applications "for any privilege, right, reward, license, clearance, permit or authorization, concession, or for any modification, renewal, or extension thereof, which are acted upon in the ordinary course of business." Real Property Tax assessment is itself such a transaction; the taxpayer is asserting a right to be correctly assessed and to pay the lawful tax (including the 20% early-payment discount under Sec. 251 LGC).</w:t>
      </w:r>
    </w:p>
    <w:p>
      <w:pPr>
        <w:ind w:left="576" w:hanging="576"/>
        <w:jc w:val="both"/>
      </w:pPr>
      <w:r>
        <w:t xml:space="preserve">2. </w:t>
      </w:r>
      <w:r>
        <w:t>Section 21(b) of R.A. No. 11032 — penalizing refusal to issue Official Receipts — is itself textual proof that "official receipts" sit within the scope of the statute, and an Official Receipt is by nature issued in a tax-payment transaction, not in a license/permit application. ARTA's narrow reading would render Section 21(b) without field of application.</w:t>
      </w:r>
    </w:p>
    <w:p>
      <w:pPr>
        <w:ind w:left="576" w:hanging="576"/>
        <w:jc w:val="both"/>
      </w:pPr>
      <w:r>
        <w:t xml:space="preserve">3. </w:t>
      </w:r>
      <w:r>
        <w:t>The "3-7-20 rule" under Section 9 of R.A. No. 11032 applies to "all government transactions" — not merely those involving a permit or license. The Supervening Resolution silently introduces a textual qualifier the legislature did not write.</w:t>
      </w:r>
    </w:p>
    <w:p>
      <w:pPr>
        <w:spacing w:before="200" w:after="120"/>
      </w:pPr>
      <w:r>
        <w:rPr>
          <w:b/>
          <w:i/>
          <w:sz w:val="24"/>
        </w:rPr>
        <w:t>GROUND II — The Supervening Resolution applies the same citizenship-based dismissal already challenged in the Pending Petition.</w:t>
      </w:r>
    </w:p>
    <w:p>
      <w:pPr>
        <w:ind w:firstLine="720"/>
        <w:jc w:val="both"/>
      </w:pPr>
      <w:r>
        <w:t>The Supervening Resolution disposes of the case on the holding that because Petitioner and Patricia Keesey Zschoche are American citizens, "the request cannot be treated as an application for a legally demandable right to information under the cited constitutional and executive issuances." This is the same conflation challenged in the Pending Petition.</w:t>
      </w:r>
    </w:p>
    <w:p>
      <w:pPr>
        <w:ind w:left="576" w:hanging="576"/>
        <w:jc w:val="both"/>
      </w:pPr>
      <w:r>
        <w:t xml:space="preserve">1. </w:t>
      </w:r>
      <w:r>
        <w:t>Section 7, Article III, 1987 Constitution and E.O. No. 2, s. 2016 are citizen-limited rights of access to information. Petitioner does not invoke them as the basis for relief.</w:t>
      </w:r>
    </w:p>
    <w:p>
      <w:pPr>
        <w:ind w:left="576" w:hanging="576"/>
        <w:jc w:val="both"/>
      </w:pPr>
      <w:r>
        <w:t xml:space="preserve">2. </w:t>
      </w:r>
      <w:r>
        <w:t>The complaint invokes R.A. No. 11032, which contains no citizenship qualifier. Its protections run in favor of "applicants or requesting parties" — language that is intentionally citizenship-neutral.</w:t>
      </w:r>
    </w:p>
    <w:p>
      <w:pPr>
        <w:ind w:left="576" w:hanging="576"/>
        <w:jc w:val="both"/>
      </w:pPr>
      <w:r>
        <w:t xml:space="preserve">3. </w:t>
      </w:r>
      <w:r>
        <w:t>The property at issue — TCT T-4497 and its derivative titles in Mercedes — is Philippine-titled real property owned of record by Filipino registrants. The RPT obligation arises from the Philippine property itself, not from any privilege held by the heirs. The MTO's ministerial duties run in favor of the property's tax account, not in favor of any particular nationality of heir.</w:t>
      </w:r>
    </w:p>
    <w:p>
      <w:pPr>
        <w:ind w:left="576" w:hanging="576"/>
        <w:jc w:val="both"/>
      </w:pPr>
      <w:r>
        <w:t xml:space="preserve">4. </w:t>
      </w:r>
      <w:r>
        <w:t>Petitioner acts under a duly-notarized Special Power of Attorney as Attorney-in-Fact for Patricia Keesey Zschoche, an heir, in respect of a Philippine real-property tax matter. The ministerial duty of an MTO does not turn on the personal citizenship of the taxpayer's representative when that representative is dealing with Philippine real property under Philippine title.</w:t>
      </w:r>
    </w:p>
    <w:p>
      <w:pPr>
        <w:ind w:left="576" w:hanging="576"/>
        <w:jc w:val="both"/>
      </w:pPr>
      <w:r>
        <w:t xml:space="preserve">5. </w:t>
      </w:r>
      <w:r>
        <w:t>ARTA's contrary reading would produce the absurd result that any foreign-owned property in the Philippines would have no administrative remedy for LGU red-tape, contrary to the broad policy purposes of R.A. No. 11032.</w:t>
      </w:r>
    </w:p>
    <w:p>
      <w:pPr>
        <w:spacing w:before="200" w:after="120"/>
      </w:pPr>
      <w:r>
        <w:rPr>
          <w:b/>
          <w:i/>
          <w:sz w:val="24"/>
        </w:rPr>
        <w:t>GROUND III — The Supervening Resolution failed to address a specifically alleged violation of Section 21(b) (refusal to issue Official Receipts). [UNIQUE TO THE SUPERVENING RESOLUTION]</w:t>
      </w:r>
    </w:p>
    <w:p>
      <w:pPr>
        <w:ind w:firstLine="720"/>
        <w:jc w:val="both"/>
      </w:pPr>
      <w:r>
        <w:t>The Complaint-Affidavit specifically alleged a Section 21(b) violation in respect of the Php 75,000.00 paid on 19 December 2025 under Confirmation Nos. VCHMU47RH and VYFLCEPVH. The Supervening Resolution's RECOMMENDATIONS dispose only of "Section 21(d) and (e)" — silent on Section 21(b).</w:t>
      </w:r>
    </w:p>
    <w:p>
      <w:pPr>
        <w:ind w:left="576" w:hanging="576"/>
        <w:jc w:val="both"/>
      </w:pPr>
      <w:r>
        <w:t xml:space="preserve">1. </w:t>
      </w:r>
      <w:r>
        <w:t>The refusal to issue an OR for an actual remittance under verified Confirmation Numbers is a textbook ministerial violation independent of any information-disclosure question. The taxpayer has the right under Sec. 252 LGC to pay under protest and to receive an OR annotated "PAID UNDER PROTEST," which is a statutorily-mandated act subject to no discretion.</w:t>
      </w:r>
    </w:p>
    <w:p>
      <w:pPr>
        <w:ind w:left="576" w:hanging="576"/>
        <w:jc w:val="both"/>
      </w:pPr>
      <w:r>
        <w:t xml:space="preserve">2. </w:t>
      </w:r>
      <w:r>
        <w:t>The Resolution's failure to address this allegation either constitutes (a) a denial of due process to Petitioner on a specifically pleaded ground, or (b) an implied dismissal without articulated reasoning, which would itself be reversible error.</w:t>
      </w:r>
    </w:p>
    <w:p>
      <w:pPr>
        <w:ind w:left="576" w:hanging="576"/>
        <w:jc w:val="both"/>
      </w:pPr>
      <w:r>
        <w:t xml:space="preserve">3. </w:t>
      </w:r>
      <w:r>
        <w:t>This ground is independent of the consolidated substantive issues. Whatever this Honorable Office rules on the citizenship and scope questions, the Supervening Resolution is independently subject to reversal for failing to address Section 21(b).</w:t>
      </w:r>
    </w:p>
    <w:p>
      <w:pPr>
        <w:spacing w:before="200" w:after="120"/>
      </w:pPr>
      <w:r>
        <w:rPr>
          <w:b/>
          <w:i/>
          <w:sz w:val="24"/>
        </w:rPr>
        <w:t>GROUND IV — The Supervening Resolution's interpretation contradicts the policy and purposive intent of R.A. No. 11032.</w:t>
      </w:r>
    </w:p>
    <w:p>
      <w:pPr>
        <w:ind w:firstLine="720"/>
        <w:jc w:val="both"/>
      </w:pPr>
      <w:r>
        <w:t>R.A. No. 11032 was enacted to "promote integrity, accountability … efficient turnaround of the delivery of government services and the prevention of graft and corruption." The Resolution's reading would judicially excise from this remedial statute any LGU dealing with foreign-citizen heirs of Filipino-titled property — a class neither anticipated nor warranted by the legislature, and now arising in two separate ARTA Resolutions against the same LGU.</w:t>
      </w:r>
    </w:p>
    <w:p>
      <w:pPr>
        <w:spacing w:before="200" w:after="120"/>
      </w:pPr>
      <w:r>
        <w:rPr>
          <w:b/>
          <w:i/>
          <w:sz w:val="24"/>
        </w:rPr>
        <w:t>GROUND V — ARTA's own clarification letter of 21 May 2026 confines the Supervening Resolution to a jurisdictional / prima facie finding, and expressly points to this Honorable Office as the proper forum for the substantive issues. [UNIQUE TO THE SUPERVENING RESOLUTION]</w:t>
      </w:r>
    </w:p>
    <w:p>
      <w:pPr>
        <w:ind w:firstLine="720"/>
        <w:jc w:val="both"/>
      </w:pPr>
      <w:r>
        <w:t>In its 21 May 2026 Response to Manifestation of Legal Position and Request for Written Clarification (Annex M-4, doc#972 in the case record), the ARTA Litigation Division — through Division Chief Atty. Rodolfo B. Del Rosario Jr. — narrows the Supervening Resolution in four respects directly material to the present appeal:</w:t>
      </w:r>
    </w:p>
    <w:p>
      <w:pPr>
        <w:ind w:left="576" w:hanging="576"/>
        <w:jc w:val="both"/>
      </w:pPr>
      <w:r>
        <w:t xml:space="preserve">1. </w:t>
      </w:r>
      <w:r>
        <w:t>ARTA disclaims any adjudication of the LGU's substantive duty. "[T]he Resolution did not adjudicate ownership rights, real property tax liabilities, the validity of payments made, or the propriety of any action or inaction of the Municipal Treasurer's Office under the Local Government Code." (Del Rosario Letter, page 1, emphasis added.) The Supervening Resolution is, by ARTA's own characterization, jurisdictional and prima facie only.</w:t>
      </w:r>
    </w:p>
    <w:p>
      <w:pPr>
        <w:ind w:left="576" w:hanging="576"/>
        <w:jc w:val="both"/>
      </w:pPr>
      <w:r>
        <w:t xml:space="preserve">2. </w:t>
      </w:r>
      <w:r>
        <w:t>ARTA disclaims any determination on citizenship as a substantive bar. "[T]he reference in the Resolution to Section 7, Article III of the 1987 Constitution and Executive Order No. 2, series of 2016, was made in relation to the nature of the requests as framed and supported in the complaint, i.e., as requests for access to official records and information. Such discussion was not intended to conclusively determine the full extent of any property owner's rights or remedies under the Local Government Code, nor to foreclose the complainant from pursuing appropriate relief before the proper office, agency, or tribunal." (Del Rosario Letter, page 2, emphasis added.)</w:t>
      </w:r>
    </w:p>
    <w:p>
      <w:pPr>
        <w:ind w:left="576" w:hanging="576"/>
        <w:jc w:val="both"/>
      </w:pPr>
      <w:r>
        <w:t xml:space="preserve">3. </w:t>
      </w:r>
      <w:r>
        <w:t>ARTA expressly disclaims any holding that the LGU may refuse to issue receipts. "Stated differently, the Resolution should not be read as a determination that the Municipal Treasurer's Office may lawfully refuse, withhold, or deny any document, receipt, or record to which a taxpayer or registered property owner may otherwise be entitled under applicable law." (Del Rosario Letter, page 2.)</w:t>
      </w:r>
    </w:p>
    <w:p>
      <w:pPr>
        <w:ind w:left="576" w:hanging="576"/>
        <w:jc w:val="both"/>
      </w:pPr>
      <w:r>
        <w:t xml:space="preserve">4. </w:t>
      </w:r>
      <w:r>
        <w:t>ARTA expressly directs Petitioner to "the appropriate supervisory authority." "Those matters involve substantive questions concerning local taxation, property records, and the administration of real property tax payments, which are more properly addressed to the concerned local government unit, the appropriate supervisory authority, or other competent forum." (Del Rosario Letter, page 2, emphasis added.) For an LGU of Mercedes, Camarines Norte, that "appropriate supervisory authority" is — through the chain of executive supervision over local government units — this Honorable Office.</w:t>
      </w:r>
    </w:p>
    <w:p>
      <w:pPr>
        <w:ind w:firstLine="720"/>
        <w:jc w:val="both"/>
      </w:pPr>
      <w:r>
        <w:t>The combined effect is that ARTA itself has cleared the path for this Honorable Office to reach the substantive questions the Supervening Resolution did not decide:</w:t>
      </w:r>
    </w:p>
    <w:p>
      <w:pPr>
        <w:ind w:left="1296" w:hanging="432"/>
        <w:jc w:val="both"/>
      </w:pPr>
      <w:r>
        <w:t xml:space="preserve">(a)  </w:t>
      </w:r>
      <w:r>
        <w:t>Whether the LGU's refusal to issue Official Receipts (annotated "PAID UNDER PROTEST") for the Php 75,000.00 paid on 19 December 2025 under Confirmation Nos. VCHMU47RH and VYFLCEPVH violates Section 252 of the Local Government Code and Section 21(b) of R.A. No. 11032;</w:t>
      </w:r>
    </w:p>
    <w:p>
      <w:pPr>
        <w:ind w:left="1296" w:hanging="432"/>
        <w:jc w:val="both"/>
      </w:pPr>
      <w:r>
        <w:t xml:space="preserve">(b)  </w:t>
      </w:r>
      <w:r>
        <w:t>Whether the LGU's refusal to disclose assessment records pertaining to TCT No. 48336 (registered in the names of Geraldine K. Hoppe, Patricia K. Zschoche, and Marcia Ellen Keesey) violates Section 276 of the Local Government Code; and</w:t>
      </w:r>
    </w:p>
    <w:p>
      <w:pPr>
        <w:ind w:left="1296" w:hanging="432"/>
        <w:jc w:val="both"/>
      </w:pPr>
      <w:r>
        <w:t xml:space="preserve">(c)  </w:t>
      </w:r>
      <w:r>
        <w:t>Whether Section 7, Article III, 1987 Constitution and E.O. No. 2, s. 2016 — which restrict the constitutional FOI right to Filipino citizens — have any application to a registered co-owner's request, through duly authorized Attorney-in-Fact, for assessment records pertaining to her own titled property.</w:t>
      </w:r>
    </w:p>
    <w:p>
      <w:pPr>
        <w:ind w:firstLine="720"/>
        <w:jc w:val="both"/>
      </w:pPr>
      <w:r>
        <w:rPr>
          <w:b/>
        </w:rPr>
        <w:t>ARTA has expressly answered "not us" to each.</w:t>
      </w:r>
      <w:r>
        <w:t xml:space="preserve"> The Local Government Code and R.A. No. 11032 do not leave a remedial gap. This Honorable Office is the proper supervisory authority, as ARTA itself has indicated.</w:t>
      </w:r>
    </w:p>
    <w:p>
      <w:r>
        <w:br w:type="page"/>
      </w:r>
    </w:p>
    <w:p>
      <w:pPr>
        <w:spacing w:before="360" w:after="200"/>
      </w:pPr>
      <w:r>
        <w:rPr>
          <w:b/>
          <w:color w:val="1F3A5F"/>
          <w:sz w:val="28"/>
        </w:rPr>
        <w:t>C.  VERIFICATION AND CERTIFICATION OF NON-FORUM SHOPPING</w:t>
      </w:r>
    </w:p>
    <w:p>
      <w:pPr>
        <w:spacing w:after="0" w:line="240" w:lineRule="auto"/>
      </w:pPr>
      <w:r>
        <w:rPr>
          <w:rFonts w:ascii="Courier New" w:hAnsi="Courier New"/>
          <w:sz w:val="21"/>
        </w:rPr>
        <w:t xml:space="preserve">                          VERIFICATION</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I, JONATHAN PAUL ZSCHOCHE, of legal age, American citizen, with</w:t>
      </w:r>
    </w:p>
    <w:p>
      <w:pPr>
        <w:spacing w:after="0" w:line="240" w:lineRule="auto"/>
      </w:pPr>
      <w:r>
        <w:rPr>
          <w:rFonts w:ascii="Courier New" w:hAnsi="Courier New"/>
          <w:sz w:val="21"/>
        </w:rPr>
        <w:t>postal address at Dasmariñas Street, Brgy. VIII, Daet, Camarines</w:t>
      </w:r>
    </w:p>
    <w:p>
      <w:pPr>
        <w:spacing w:after="0" w:line="240" w:lineRule="auto"/>
      </w:pPr>
      <w:r>
        <w:rPr>
          <w:rFonts w:ascii="Courier New" w:hAnsi="Courier New"/>
          <w:sz w:val="21"/>
        </w:rPr>
        <w:t>Norte, after having been duly sworn, depose and state that:</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1. I am the Attorney-in-Fact for PATRICIA KEESEY ZSCHOCHE and an</w:t>
      </w:r>
    </w:p>
    <w:p>
      <w:pPr>
        <w:spacing w:after="0" w:line="240" w:lineRule="auto"/>
      </w:pPr>
      <w:r>
        <w:rPr>
          <w:rFonts w:ascii="Courier New" w:hAnsi="Courier New"/>
          <w:sz w:val="21"/>
        </w:rPr>
        <w:t xml:space="preserve">     heir of MARY WORRICK KEESEY in respect of the matters subject</w:t>
      </w:r>
    </w:p>
    <w:p>
      <w:pPr>
        <w:spacing w:after="0" w:line="240" w:lineRule="auto"/>
      </w:pPr>
      <w:r>
        <w:rPr>
          <w:rFonts w:ascii="Courier New" w:hAnsi="Courier New"/>
          <w:sz w:val="21"/>
        </w:rPr>
        <w:t xml:space="preserve">     of the foregoing Manifestation;</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2. I caused the preparation of the foregoing Manifestation and</w:t>
      </w:r>
    </w:p>
    <w:p>
      <w:pPr>
        <w:spacing w:after="0" w:line="240" w:lineRule="auto"/>
      </w:pPr>
      <w:r>
        <w:rPr>
          <w:rFonts w:ascii="Courier New" w:hAnsi="Courier New"/>
          <w:sz w:val="21"/>
        </w:rPr>
        <w:t xml:space="preserve">     have read its contents;</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3. The allegations therein are true and correct of my personal</w:t>
      </w:r>
    </w:p>
    <w:p>
      <w:pPr>
        <w:spacing w:after="0" w:line="240" w:lineRule="auto"/>
      </w:pPr>
      <w:r>
        <w:rPr>
          <w:rFonts w:ascii="Courier New" w:hAnsi="Courier New"/>
          <w:sz w:val="21"/>
        </w:rPr>
        <w:t xml:space="preserve">     knowledge or based upon authentic records;</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4. The matters described herein are the subject of two separate</w:t>
      </w:r>
    </w:p>
    <w:p>
      <w:pPr>
        <w:spacing w:after="0" w:line="240" w:lineRule="auto"/>
      </w:pPr>
      <w:r>
        <w:rPr>
          <w:rFonts w:ascii="Courier New" w:hAnsi="Courier New"/>
          <w:sz w:val="21"/>
        </w:rPr>
        <w:t xml:space="preserve">     Resolutions of the Anti-Red Tape Authority — that dated 7</w:t>
      </w:r>
    </w:p>
    <w:p>
      <w:pPr>
        <w:spacing w:after="0" w:line="240" w:lineRule="auto"/>
      </w:pPr>
      <w:r>
        <w:rPr>
          <w:rFonts w:ascii="Courier New" w:hAnsi="Courier New"/>
          <w:sz w:val="21"/>
        </w:rPr>
        <w:t xml:space="preserve">     April 2026 in CTN SL-2025-1008-0690 and CTN SL-2025-1104-0792</w:t>
      </w:r>
    </w:p>
    <w:p>
      <w:pPr>
        <w:spacing w:after="0" w:line="240" w:lineRule="auto"/>
      </w:pPr>
      <w:r>
        <w:rPr>
          <w:rFonts w:ascii="Courier New" w:hAnsi="Courier New"/>
          <w:sz w:val="21"/>
        </w:rPr>
        <w:t xml:space="preserve">     (already assailed in the Pending Petition before this Honorable</w:t>
      </w:r>
    </w:p>
    <w:p>
      <w:pPr>
        <w:spacing w:after="0" w:line="240" w:lineRule="auto"/>
      </w:pPr>
      <w:r>
        <w:rPr>
          <w:rFonts w:ascii="Courier New" w:hAnsi="Courier New"/>
          <w:sz w:val="21"/>
        </w:rPr>
        <w:t xml:space="preserve">     Office), and that dated 13 May 2026 in CTN SL-2026-0128-1210</w:t>
      </w:r>
    </w:p>
    <w:p>
      <w:pPr>
        <w:spacing w:after="0" w:line="240" w:lineRule="auto"/>
      </w:pPr>
      <w:r>
        <w:rPr>
          <w:rFonts w:ascii="Courier New" w:hAnsi="Courier New"/>
          <w:sz w:val="21"/>
        </w:rPr>
        <w:t xml:space="preserve">     (the Supervening Resolution referenced herein); and</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5. I certify that, save for the Pending Petition referenced</w:t>
      </w:r>
    </w:p>
    <w:p>
      <w:pPr>
        <w:spacing w:after="0" w:line="240" w:lineRule="auto"/>
      </w:pPr>
      <w:r>
        <w:rPr>
          <w:rFonts w:ascii="Courier New" w:hAnsi="Courier New"/>
          <w:sz w:val="21"/>
        </w:rPr>
        <w:t xml:space="preserve">     herein, I have not commenced any other action or proceeding</w:t>
      </w:r>
    </w:p>
    <w:p>
      <w:pPr>
        <w:spacing w:after="0" w:line="240" w:lineRule="auto"/>
      </w:pPr>
      <w:r>
        <w:rPr>
          <w:rFonts w:ascii="Courier New" w:hAnsi="Courier New"/>
          <w:sz w:val="21"/>
        </w:rPr>
        <w:t xml:space="preserve">     involving the same issues in any other court, tribunal or</w:t>
      </w:r>
    </w:p>
    <w:p>
      <w:pPr>
        <w:spacing w:after="0" w:line="240" w:lineRule="auto"/>
      </w:pPr>
      <w:r>
        <w:rPr>
          <w:rFonts w:ascii="Courier New" w:hAnsi="Courier New"/>
          <w:sz w:val="21"/>
        </w:rPr>
        <w:t xml:space="preserve">     quasi-judicial agency, and that to the best of my knowledge</w:t>
      </w:r>
    </w:p>
    <w:p>
      <w:pPr>
        <w:spacing w:after="0" w:line="240" w:lineRule="auto"/>
      </w:pPr>
      <w:r>
        <w:rPr>
          <w:rFonts w:ascii="Courier New" w:hAnsi="Courier New"/>
          <w:sz w:val="21"/>
        </w:rPr>
        <w:t xml:space="preserve">     no such other action or proceeding is pending therein. If I</w:t>
      </w:r>
    </w:p>
    <w:p>
      <w:pPr>
        <w:spacing w:after="0" w:line="240" w:lineRule="auto"/>
      </w:pPr>
      <w:r>
        <w:rPr>
          <w:rFonts w:ascii="Courier New" w:hAnsi="Courier New"/>
          <w:sz w:val="21"/>
        </w:rPr>
        <w:t xml:space="preserve">     should thereafter learn that a similar action or proceeding</w:t>
      </w:r>
    </w:p>
    <w:p>
      <w:pPr>
        <w:spacing w:after="0" w:line="240" w:lineRule="auto"/>
      </w:pPr>
      <w:r>
        <w:rPr>
          <w:rFonts w:ascii="Courier New" w:hAnsi="Courier New"/>
          <w:sz w:val="21"/>
        </w:rPr>
        <w:t xml:space="preserve">     has been filed or is pending, I undertake to promptly inform</w:t>
      </w:r>
    </w:p>
    <w:p>
      <w:pPr>
        <w:spacing w:after="0" w:line="240" w:lineRule="auto"/>
      </w:pPr>
      <w:r>
        <w:rPr>
          <w:rFonts w:ascii="Courier New" w:hAnsi="Courier New"/>
          <w:sz w:val="21"/>
        </w:rPr>
        <w:t xml:space="preserve">     this Honorable Office and the other courts or tribunals</w:t>
      </w:r>
    </w:p>
    <w:p>
      <w:pPr>
        <w:spacing w:after="0" w:line="240" w:lineRule="auto"/>
      </w:pPr>
      <w:r>
        <w:rPr>
          <w:rFonts w:ascii="Courier New" w:hAnsi="Courier New"/>
          <w:sz w:val="21"/>
        </w:rPr>
        <w:t xml:space="preserve">     concerned within five (5) calendar days from notice.</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IN WITNESS WHEREOF, I have hereunto affixed my signature this</w:t>
      </w:r>
    </w:p>
    <w:p>
      <w:pPr>
        <w:spacing w:after="0" w:line="240" w:lineRule="auto"/>
      </w:pPr>
      <w:r>
        <w:rPr>
          <w:rFonts w:ascii="Courier New" w:hAnsi="Courier New"/>
          <w:sz w:val="21"/>
        </w:rPr>
        <w:t>___ day of May 2026 at Daet, Camarines Norte.</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________________________________</w:t>
      </w:r>
    </w:p>
    <w:p>
      <w:pPr>
        <w:spacing w:after="0" w:line="240" w:lineRule="auto"/>
      </w:pPr>
      <w:r>
        <w:rPr>
          <w:rFonts w:ascii="Courier New" w:hAnsi="Courier New"/>
          <w:sz w:val="21"/>
        </w:rPr>
        <w:t xml:space="preserve">                                JONATHAN PAUL ZSCHOCHE</w:t>
      </w:r>
    </w:p>
    <w:p>
      <w:pPr>
        <w:spacing w:after="0" w:line="240" w:lineRule="auto"/>
      </w:pPr>
      <w:r>
        <w:rPr>
          <w:rFonts w:ascii="Courier New" w:hAnsi="Courier New"/>
          <w:sz w:val="21"/>
        </w:rPr>
        <w:t xml:space="preserve">                                Affiant</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SUBSCRIBED AND SWORN to before me this ___ day of May 2026 at</w:t>
      </w:r>
    </w:p>
    <w:p>
      <w:pPr>
        <w:spacing w:after="0" w:line="240" w:lineRule="auto"/>
      </w:pPr>
      <w:r>
        <w:rPr>
          <w:rFonts w:ascii="Courier New" w:hAnsi="Courier New"/>
          <w:sz w:val="21"/>
        </w:rPr>
        <w:t>Daet, Camarines Norte. Affiant exhibited to me his Passport No.</w:t>
      </w:r>
    </w:p>
    <w:p>
      <w:pPr>
        <w:spacing w:after="0" w:line="240" w:lineRule="auto"/>
      </w:pPr>
      <w:r>
        <w:rPr>
          <w:rFonts w:ascii="Courier New" w:hAnsi="Courier New"/>
          <w:sz w:val="21"/>
        </w:rPr>
        <w:t>__________________ issued by ____________________________ on</w:t>
      </w:r>
    </w:p>
    <w:p>
      <w:pPr>
        <w:spacing w:after="0" w:line="240" w:lineRule="auto"/>
      </w:pPr>
      <w:r>
        <w:rPr>
          <w:rFonts w:ascii="Courier New" w:hAnsi="Courier New"/>
          <w:sz w:val="21"/>
        </w:rPr>
        <w:t>__________________ as competent evidence of identity.</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________________________________</w:t>
      </w:r>
    </w:p>
    <w:p>
      <w:pPr>
        <w:spacing w:after="0" w:line="240" w:lineRule="auto"/>
      </w:pPr>
      <w:r>
        <w:rPr>
          <w:rFonts w:ascii="Courier New" w:hAnsi="Courier New"/>
          <w:sz w:val="21"/>
        </w:rPr>
        <w:t xml:space="preserve">                                Notary Public</w:t>
      </w:r>
    </w:p>
    <w:p>
      <w:pPr>
        <w:spacing w:after="0" w:line="240" w:lineRule="auto"/>
      </w:pPr>
      <w:r>
        <w:rPr>
          <w:rFonts w:ascii="Courier New" w:hAnsi="Courier New"/>
          <w:sz w:val="21"/>
        </w:rPr>
        <w:t xml:space="preserve">                                Until: ____________________________</w:t>
      </w:r>
    </w:p>
    <w:p>
      <w:pPr>
        <w:spacing w:after="0" w:line="240" w:lineRule="auto"/>
      </w:pPr>
      <w:r>
        <w:rPr>
          <w:rFonts w:ascii="Courier New" w:hAnsi="Courier New"/>
          <w:sz w:val="21"/>
        </w:rPr>
        <w:t xml:space="preserve">                                PTR No.: __________________________</w:t>
      </w:r>
    </w:p>
    <w:p>
      <w:pPr>
        <w:spacing w:after="0" w:line="240" w:lineRule="auto"/>
      </w:pPr>
      <w:r>
        <w:rPr>
          <w:rFonts w:ascii="Courier New" w:hAnsi="Courier New"/>
          <w:sz w:val="21"/>
        </w:rPr>
        <w:t xml:space="preserve">                                IBP No.: __________________________</w:t>
      </w:r>
    </w:p>
    <w:p>
      <w:pPr>
        <w:spacing w:after="0" w:line="240" w:lineRule="auto"/>
      </w:pPr>
      <w:r>
        <w:rPr>
          <w:rFonts w:ascii="Courier New" w:hAnsi="Courier New"/>
          <w:sz w:val="21"/>
        </w:rPr>
        <w:t xml:space="preserve">                                Roll No.: _________________________</w:t>
      </w:r>
    </w:p>
    <w:p>
      <w:pPr>
        <w:spacing w:after="0" w:line="240" w:lineRule="auto"/>
      </w:pPr>
      <w:r>
        <w:rPr>
          <w:rFonts w:ascii="Courier New" w:hAnsi="Courier New"/>
          <w:sz w:val="21"/>
        </w:rPr>
        <w:t xml:space="preserve">                                MCLE Compliance No.: ______________</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Doc. No.: ____;</w:t>
      </w:r>
    </w:p>
    <w:p>
      <w:pPr>
        <w:spacing w:after="0" w:line="240" w:lineRule="auto"/>
      </w:pPr>
      <w:r>
        <w:rPr>
          <w:rFonts w:ascii="Courier New" w:hAnsi="Courier New"/>
          <w:sz w:val="21"/>
        </w:rPr>
        <w:t>Page No.: ___;</w:t>
      </w:r>
    </w:p>
    <w:p>
      <w:pPr>
        <w:spacing w:after="0" w:line="240" w:lineRule="auto"/>
      </w:pPr>
      <w:r>
        <w:rPr>
          <w:rFonts w:ascii="Courier New" w:hAnsi="Courier New"/>
          <w:sz w:val="21"/>
        </w:rPr>
        <w:t>Book No.: ___;</w:t>
      </w:r>
    </w:p>
    <w:p>
      <w:pPr>
        <w:spacing w:after="0" w:line="240" w:lineRule="auto"/>
      </w:pPr>
      <w:r>
        <w:rPr>
          <w:rFonts w:ascii="Courier New" w:hAnsi="Courier New"/>
          <w:sz w:val="21"/>
        </w:rPr>
        <w:t>Series of 2026.</w:t>
      </w:r>
    </w:p>
    <w:p>
      <w:pPr>
        <w:ind w:firstLine="720"/>
        <w:jc w:val="both"/>
      </w:pPr>
      <w:r>
        <w:rPr>
          <w:b/>
        </w:rPr>
        <w:t>NOTE on the non-forum-shopping certification</w:t>
      </w:r>
      <w:r>
        <w:t>: paragraph 4 deliberately discloses the Pending Petition as a related matter. PH practice is to err on the side of full disclosure rather than risk a non-forum-shopping challenge. The Pending Petition and this Manifestation deal with the same Petitioner, the same statute, and overlapping LGU respondents — disclose, do not conceal.</w:t>
      </w:r>
    </w:p>
    <w:p>
      <w:r>
        <w:br w:type="page"/>
      </w:r>
    </w:p>
    <w:p>
      <w:pPr>
        <w:spacing w:before="360" w:after="200"/>
      </w:pPr>
      <w:r>
        <w:rPr>
          <w:b/>
          <w:color w:val="1F3A5F"/>
          <w:sz w:val="28"/>
        </w:rPr>
        <w:t>D.  AFFIDAVIT OF SERVICE  (template)</w:t>
      </w:r>
    </w:p>
    <w:p>
      <w:pPr>
        <w:spacing w:after="0" w:line="240" w:lineRule="auto"/>
      </w:pPr>
      <w:r>
        <w:rPr>
          <w:rFonts w:ascii="Courier New" w:hAnsi="Courier New"/>
          <w:sz w:val="21"/>
        </w:rPr>
        <w:t xml:space="preserve">                       AFFIDAVIT OF SERVICE</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I, _______________________, after having been duly sworn,</w:t>
      </w:r>
    </w:p>
    <w:p>
      <w:pPr>
        <w:spacing w:after="0" w:line="240" w:lineRule="auto"/>
      </w:pPr>
      <w:r>
        <w:rPr>
          <w:rFonts w:ascii="Courier New" w:hAnsi="Courier New"/>
          <w:sz w:val="21"/>
        </w:rPr>
        <w:t>depose and state that on the ___ day of May 2026, I served a copy</w:t>
      </w:r>
    </w:p>
    <w:p>
      <w:pPr>
        <w:spacing w:after="0" w:line="240" w:lineRule="auto"/>
      </w:pPr>
      <w:r>
        <w:rPr>
          <w:rFonts w:ascii="Courier New" w:hAnsi="Courier New"/>
          <w:sz w:val="21"/>
        </w:rPr>
        <w:t>of the foregoing MANIFESTATION (with Motion to Consolidate; and in</w:t>
      </w:r>
    </w:p>
    <w:p>
      <w:pPr>
        <w:spacing w:after="0" w:line="240" w:lineRule="auto"/>
      </w:pPr>
      <w:r>
        <w:rPr>
          <w:rFonts w:ascii="Courier New" w:hAnsi="Courier New"/>
          <w:sz w:val="21"/>
        </w:rPr>
        <w:t>the Alternative, Notice of Appeal) on the following:</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1. ANTI-RED TAPE AUTHORITY, Litigation Division</w:t>
      </w:r>
    </w:p>
    <w:p>
      <w:pPr>
        <w:spacing w:after="0" w:line="240" w:lineRule="auto"/>
      </w:pPr>
      <w:r>
        <w:rPr>
          <w:rFonts w:ascii="Courier New" w:hAnsi="Courier New"/>
          <w:sz w:val="21"/>
        </w:rPr>
        <w:t xml:space="preserve">     4th Floor, Building I, Ayala Technohub</w:t>
      </w:r>
    </w:p>
    <w:p>
      <w:pPr>
        <w:spacing w:after="0" w:line="240" w:lineRule="auto"/>
      </w:pPr>
      <w:r>
        <w:rPr>
          <w:rFonts w:ascii="Courier New" w:hAnsi="Courier New"/>
          <w:sz w:val="21"/>
        </w:rPr>
        <w:t xml:space="preserve">     Diliman, Quezon City  1101</w:t>
      </w:r>
    </w:p>
    <w:p>
      <w:pPr>
        <w:spacing w:after="0" w:line="240" w:lineRule="auto"/>
      </w:pPr>
      <w:r>
        <w:rPr>
          <w:rFonts w:ascii="Courier New" w:hAnsi="Courier New"/>
          <w:sz w:val="21"/>
        </w:rPr>
        <w:t xml:space="preserve">     by [registered mail / personal service / email at</w:t>
      </w:r>
    </w:p>
    <w:p>
      <w:pPr>
        <w:spacing w:after="0" w:line="240" w:lineRule="auto"/>
      </w:pPr>
      <w:r>
        <w:rPr>
          <w:rFonts w:ascii="Courier New" w:hAnsi="Courier New"/>
          <w:sz w:val="21"/>
        </w:rPr>
        <w:t xml:space="preserve">        litigationdivision@arta.gov.ph]</w:t>
      </w:r>
    </w:p>
    <w:p>
      <w:pPr>
        <w:spacing w:after="0" w:line="240" w:lineRule="auto"/>
      </w:pPr>
      <w:r>
        <w:rPr>
          <w:rFonts w:ascii="Courier New" w:hAnsi="Courier New"/>
          <w:sz w:val="21"/>
        </w:rPr>
        <w:t xml:space="preserve">     under Registry Receipt No. _______________</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2. HON. ALEXANDER L. PAJARILLO</w:t>
      </w:r>
    </w:p>
    <w:p>
      <w:pPr>
        <w:spacing w:after="0" w:line="240" w:lineRule="auto"/>
      </w:pPr>
      <w:r>
        <w:rPr>
          <w:rFonts w:ascii="Courier New" w:hAnsi="Courier New"/>
          <w:sz w:val="21"/>
        </w:rPr>
        <w:t xml:space="preserve">     Office of the Municipal Mayor</w:t>
      </w:r>
    </w:p>
    <w:p>
      <w:pPr>
        <w:spacing w:after="0" w:line="240" w:lineRule="auto"/>
      </w:pPr>
      <w:r>
        <w:rPr>
          <w:rFonts w:ascii="Courier New" w:hAnsi="Courier New"/>
          <w:sz w:val="21"/>
        </w:rPr>
        <w:t xml:space="preserve">     Municipal Hall, Mercedes, Camarines Norte</w:t>
      </w:r>
    </w:p>
    <w:p>
      <w:pPr>
        <w:spacing w:after="0" w:line="240" w:lineRule="auto"/>
      </w:pPr>
      <w:r>
        <w:rPr>
          <w:rFonts w:ascii="Courier New" w:hAnsi="Courier New"/>
          <w:sz w:val="21"/>
        </w:rPr>
        <w:t xml:space="preserve">     by [registered mail / personal service]</w:t>
      </w:r>
    </w:p>
    <w:p>
      <w:pPr>
        <w:spacing w:after="0" w:line="240" w:lineRule="auto"/>
      </w:pPr>
      <w:r>
        <w:rPr>
          <w:rFonts w:ascii="Courier New" w:hAnsi="Courier New"/>
          <w:sz w:val="21"/>
        </w:rPr>
        <w:t xml:space="preserve">     under Registry Receipt No. _______________</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3. LOIDA E. MACALE</w:t>
      </w:r>
    </w:p>
    <w:p>
      <w:pPr>
        <w:spacing w:after="0" w:line="240" w:lineRule="auto"/>
      </w:pPr>
      <w:r>
        <w:rPr>
          <w:rFonts w:ascii="Courier New" w:hAnsi="Courier New"/>
          <w:sz w:val="21"/>
        </w:rPr>
        <w:t xml:space="preserve">     Municipal Treasurer's Office</w:t>
      </w:r>
    </w:p>
    <w:p>
      <w:pPr>
        <w:spacing w:after="0" w:line="240" w:lineRule="auto"/>
      </w:pPr>
      <w:r>
        <w:rPr>
          <w:rFonts w:ascii="Courier New" w:hAnsi="Courier New"/>
          <w:sz w:val="21"/>
        </w:rPr>
        <w:t xml:space="preserve">     Municipal Hall, Mercedes, Camarines Norte</w:t>
      </w:r>
    </w:p>
    <w:p>
      <w:pPr>
        <w:spacing w:after="0" w:line="240" w:lineRule="auto"/>
      </w:pPr>
      <w:r>
        <w:rPr>
          <w:rFonts w:ascii="Courier New" w:hAnsi="Courier New"/>
          <w:sz w:val="21"/>
        </w:rPr>
        <w:t xml:space="preserve">     by [registered mail / personal service]</w:t>
      </w:r>
    </w:p>
    <w:p>
      <w:pPr>
        <w:spacing w:after="0" w:line="240" w:lineRule="auto"/>
      </w:pPr>
      <w:r>
        <w:rPr>
          <w:rFonts w:ascii="Courier New" w:hAnsi="Courier New"/>
          <w:sz w:val="21"/>
        </w:rPr>
        <w:t xml:space="preserve">     under Registry Receipt No. _______________</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IN WITNESS WHEREOF, I have hereunto affixed my signature this</w:t>
      </w:r>
    </w:p>
    <w:p>
      <w:pPr>
        <w:spacing w:after="0" w:line="240" w:lineRule="auto"/>
      </w:pPr>
      <w:r>
        <w:rPr>
          <w:rFonts w:ascii="Courier New" w:hAnsi="Courier New"/>
          <w:sz w:val="21"/>
        </w:rPr>
        <w:t>___ day of May 2026 at Daet, Camarines Norte.</w:t>
      </w:r>
    </w:p>
    <w:p>
      <w:pPr>
        <w:spacing w:after="0" w:line="240" w:lineRule="auto"/>
      </w:pPr>
      <w:r>
        <w:rPr>
          <w:rFonts w:ascii="Courier New" w:hAnsi="Courier New"/>
          <w:sz w:val="21"/>
        </w:rPr>
        <w:t xml:space="preserve"> </w:t>
      </w:r>
    </w:p>
    <w:p>
      <w:pPr>
        <w:spacing w:after="0" w:line="240" w:lineRule="auto"/>
      </w:pPr>
      <w:r>
        <w:rPr>
          <w:rFonts w:ascii="Courier New" w:hAnsi="Courier New"/>
          <w:sz w:val="21"/>
        </w:rPr>
        <w:t xml:space="preserve">                                ________________________________</w:t>
      </w:r>
    </w:p>
    <w:p>
      <w:pPr>
        <w:spacing w:after="0" w:line="240" w:lineRule="auto"/>
      </w:pPr>
      <w:r>
        <w:rPr>
          <w:rFonts w:ascii="Courier New" w:hAnsi="Courier New"/>
          <w:sz w:val="21"/>
        </w:rPr>
        <w:t xml:space="preserve">                                Affiant</w:t>
      </w:r>
    </w:p>
    <w:p>
      <w:r>
        <w:br w:type="page"/>
      </w:r>
    </w:p>
    <w:p>
      <w:pPr>
        <w:spacing w:before="360" w:after="200"/>
      </w:pPr>
      <w:r>
        <w:rPr>
          <w:b/>
          <w:color w:val="1F3A5F"/>
          <w:sz w:val="28"/>
        </w:rPr>
        <w:t>E.  FILING CHECKLIST</w:t>
      </w:r>
    </w:p>
    <w:p>
      <w:pPr>
        <w:spacing w:before="200" w:after="120"/>
      </w:pPr>
      <w:r>
        <w:rPr>
          <w:b/>
          <w:i/>
          <w:sz w:val="24"/>
        </w:rPr>
        <w:t>Print + collation</w:t>
      </w:r>
    </w:p>
    <w:p>
      <w:pPr>
        <w:ind w:left="720" w:hanging="360"/>
      </w:pPr>
      <w:r>
        <w:t xml:space="preserve">• </w:t>
      </w:r>
      <w:r>
        <w:t>Print 7 sets (matching the 7-set protocol of the Pending Petition)</w:t>
      </w:r>
    </w:p>
    <w:p>
      <w:pPr>
        <w:spacing w:before="200" w:after="120"/>
      </w:pPr>
      <w:r>
        <w:rPr>
          <w:b/>
          <w:i/>
          <w:sz w:val="24"/>
        </w:rPr>
        <w:t>Annexes attached</w:t>
      </w:r>
    </w:p>
    <w:p>
      <w:pPr>
        <w:ind w:left="720" w:hanging="360"/>
      </w:pPr>
      <w:r>
        <w:t xml:space="preserve">• </w:t>
      </w:r>
      <w:r>
        <w:t>Annex M-1 — ARTA Resolution dated 13 May 2026 in CTN SL-2026-0128-1210 (corpus doc#624)</w:t>
      </w:r>
    </w:p>
    <w:p>
      <w:pPr>
        <w:ind w:left="720" w:hanging="360"/>
      </w:pPr>
      <w:r>
        <w:t xml:space="preserve">• </w:t>
      </w:r>
      <w:r>
        <w:t>Annex M-2 — Complaint-Affidavit for CTN SL-2026-0128-1210 (corpus doc#531; primary respondent Macale, derivative respondent Pajarillo)</w:t>
      </w:r>
    </w:p>
    <w:p>
      <w:pPr>
        <w:ind w:left="720" w:hanging="360"/>
      </w:pPr>
      <w:r>
        <w:t xml:space="preserve">• </w:t>
      </w:r>
      <w:r>
        <w:t>Annex M-3 — Petitioner's Manifestation of Legal Position filed at ARTA on 18 May 2026 (embedded in doc#972 pages 3-5)</w:t>
      </w:r>
    </w:p>
    <w:p>
      <w:pPr>
        <w:ind w:left="720" w:hanging="360"/>
      </w:pPr>
      <w:r>
        <w:t xml:space="preserve">• </w:t>
      </w:r>
      <w:r>
        <w:t>Annex M-4 — Atty. Rodolfo B. Del Rosario Jr. Response Letter dated 21 May 2026 (corpus doc#972; anchors GROUND V)</w:t>
      </w:r>
    </w:p>
    <w:p>
      <w:pPr>
        <w:ind w:left="720" w:hanging="360"/>
      </w:pPr>
      <w:r>
        <w:t xml:space="preserve">• </w:t>
      </w:r>
      <w:r>
        <w:t>Annex M-5 — Email transmittal of the 13 May Resolution (email#42)</w:t>
      </w:r>
    </w:p>
    <w:p>
      <w:pPr>
        <w:ind w:left="720" w:hanging="360"/>
      </w:pPr>
      <w:r>
        <w:t xml:space="preserve">• </w:t>
      </w:r>
      <w:r>
        <w:t>Annex M-6 — Email transmittal of the Del Rosario response (email#20132)</w:t>
      </w:r>
    </w:p>
    <w:p>
      <w:pPr>
        <w:ind w:left="720" w:hanging="360"/>
      </w:pPr>
      <w:r>
        <w:t xml:space="preserve">• </w:t>
      </w:r>
      <w:r>
        <w:t>Annex M-7 — Bank confirmation receipts VCHMU47RH and VYFLCEPVH for the Php 75,000.00 payment under protest</w:t>
      </w:r>
    </w:p>
    <w:p>
      <w:pPr>
        <w:ind w:left="720" w:hanging="360"/>
      </w:pPr>
      <w:r>
        <w:t xml:space="preserve">• </w:t>
      </w:r>
      <w:r>
        <w:t>Annex M-8 — SPA from Patricia Keesey Zschoche to Jonathan P. Zschoche (or reference SPA already filed with the Pending Petition)</w:t>
      </w:r>
    </w:p>
    <w:p>
      <w:pPr>
        <w:ind w:left="720" w:hanging="360"/>
      </w:pPr>
      <w:r>
        <w:t xml:space="preserve">• </w:t>
      </w:r>
      <w:r>
        <w:t>Annex M-9 — Reference to the Pending Petition transmittal acknowledgment, ref. 050526-MRO-234187</w:t>
      </w:r>
    </w:p>
    <w:p>
      <w:pPr>
        <w:spacing w:before="200" w:after="120"/>
      </w:pPr>
      <w:r>
        <w:rPr>
          <w:b/>
          <w:i/>
          <w:sz w:val="24"/>
        </w:rPr>
        <w:t>Notarization</w:t>
      </w:r>
    </w:p>
    <w:p>
      <w:pPr>
        <w:ind w:left="720" w:hanging="360"/>
      </w:pPr>
      <w:r>
        <w:t xml:space="preserve">• </w:t>
      </w:r>
      <w:r>
        <w:t>Verification + Certification of Non-Forum Shopping notarized (paragraph 4 discloses Pending Petition)</w:t>
      </w:r>
    </w:p>
    <w:p>
      <w:pPr>
        <w:ind w:left="720" w:hanging="360"/>
      </w:pPr>
      <w:r>
        <w:t xml:space="preserve">• </w:t>
      </w:r>
      <w:r>
        <w:t>Affidavit of Service notarized</w:t>
      </w:r>
    </w:p>
    <w:p>
      <w:pPr>
        <w:spacing w:before="200" w:after="120"/>
      </w:pPr>
      <w:r>
        <w:rPr>
          <w:b/>
          <w:i/>
          <w:sz w:val="24"/>
        </w:rPr>
        <w:t>Filing + service</w:t>
      </w:r>
    </w:p>
    <w:p>
      <w:pPr>
        <w:ind w:left="720" w:hanging="360"/>
      </w:pPr>
      <w:r>
        <w:t xml:space="preserve">• </w:t>
      </w:r>
      <w:r>
        <w:t>No additional filing fee — supplementary filing in existing docket (verify with OP receiving clerk)</w:t>
      </w:r>
    </w:p>
    <w:p>
      <w:pPr>
        <w:ind w:left="720" w:hanging="360"/>
      </w:pPr>
      <w:r>
        <w:t xml:space="preserve">• </w:t>
      </w:r>
      <w:r>
        <w:t>Service copies sent to ARTA, Mayor, Treasurer; registry receipts preserved</w:t>
      </w:r>
    </w:p>
    <w:p>
      <w:pPr>
        <w:ind w:left="720" w:hanging="360"/>
      </w:pPr>
      <w:r>
        <w:t xml:space="preserve">• </w:t>
      </w:r>
      <w:r>
        <w:t>Original filed at OP Mailing Section, Malacañang, with caption referencing the Pending Petition's transmittal number</w:t>
      </w:r>
    </w:p>
    <w:p>
      <w:pPr>
        <w:ind w:left="720" w:hanging="360"/>
      </w:pPr>
      <w:r>
        <w:t xml:space="preserve">• </w:t>
      </w:r>
      <w:r>
        <w:t>Receiving copy stamped and date-marked — keep for records</w:t>
      </w:r>
    </w:p>
    <w:p>
      <w:pPr>
        <w:spacing w:before="360" w:after="200"/>
      </w:pPr>
      <w:r>
        <w:rPr>
          <w:b/>
          <w:color w:val="1F3A5F"/>
          <w:sz w:val="28"/>
        </w:rPr>
        <w:t>F.  OPEN QUESTIONS — RESOLVE BEFORE FILING</w:t>
      </w:r>
    </w:p>
    <w:p>
      <w:pPr>
        <w:spacing w:before="200" w:after="120"/>
      </w:pPr>
      <w:r>
        <w:rPr>
          <w:b/>
          <w:i/>
          <w:sz w:val="24"/>
        </w:rPr>
        <w:t>1.  OP docket number</w:t>
      </w:r>
    </w:p>
    <w:p>
      <w:pPr>
        <w:ind w:firstLine="720"/>
        <w:jc w:val="both"/>
      </w:pPr>
      <w:r>
        <w:t>When the Pending Petition was filed on 5 May 2026, did the OP issue a formal "O.P. Case No." back to you, or only acknowledge transmittal reference 050526-MRO-234187? If a formal OP Case No. was issued, use it in the caption. If not, use the transmittal reference.</w:t>
      </w:r>
    </w:p>
    <w:p>
      <w:pPr>
        <w:spacing w:before="200" w:after="120"/>
      </w:pPr>
      <w:r>
        <w:rPr>
          <w:b/>
          <w:i/>
          <w:sz w:val="24"/>
        </w:rPr>
        <w:t>2.  Counsel decision</w:t>
      </w:r>
    </w:p>
    <w:p>
      <w:pPr>
        <w:ind w:firstLine="720"/>
        <w:jc w:val="both"/>
      </w:pPr>
      <w:r>
        <w:t>Atty. Barandon is on Civil Case 26-360. Is he or Atty. Botor handling the OP filings as well, or is the OP filing pro se as the Pending Petition was? The Manifestation should reflect "by counsel" with name + IBP/Roll/PTR/MCLE if counsel signs.</w:t>
      </w:r>
    </w:p>
    <w:p>
      <w:pPr>
        <w:spacing w:before="200" w:after="120"/>
      </w:pPr>
      <w:r>
        <w:rPr>
          <w:b/>
          <w:i/>
          <w:sz w:val="24"/>
        </w:rPr>
        <w:t>3.  Annex M-5 (SPA)</w:t>
      </w:r>
    </w:p>
    <w:p>
      <w:pPr>
        <w:ind w:firstLine="720"/>
        <w:jc w:val="both"/>
      </w:pPr>
      <w:r>
        <w:t>Confirm whether to re-attach the SPA or simply reference it as "already on file in the Pending Petition." Practice varies; safer to re-attach.</w:t>
      </w:r>
    </w:p>
    <w:p>
      <w:pPr>
        <w:spacing w:before="200" w:after="120"/>
      </w:pPr>
      <w:r>
        <w:rPr>
          <w:b/>
          <w:i/>
          <w:sz w:val="24"/>
        </w:rPr>
        <w:t>4.  Service of Manifestation on ARTA</w:t>
      </w:r>
    </w:p>
    <w:p>
      <w:pPr>
        <w:ind w:firstLine="720"/>
        <w:jc w:val="both"/>
      </w:pPr>
      <w:r>
        <w:t>Practice question: copy-furnishing ARTA's Litigation Division is required under most rules; verify the current OP-ARTA service protocol.</w:t>
      </w:r>
    </w:p>
    <w:p>
      <w:pPr>
        <w:spacing w:before="200" w:after="120"/>
      </w:pPr>
      <w:r>
        <w:rPr>
          <w:b/>
          <w:i/>
          <w:sz w:val="24"/>
        </w:rPr>
        <w:t>5.  Strategic posture — Manifestation + Consolidation + alt. NoA (recommended)</w:t>
      </w:r>
    </w:p>
    <w:p>
      <w:pPr>
        <w:ind w:firstLine="720"/>
        <w:jc w:val="both"/>
      </w:pPr>
      <w:r>
        <w:t>As drafted. Alternatives:</w:t>
      </w:r>
    </w:p>
    <w:p>
      <w:pPr>
        <w:ind w:left="720" w:hanging="360"/>
      </w:pPr>
      <w:r>
        <w:t xml:space="preserve">• </w:t>
      </w:r>
      <w:r>
        <w:t>Manifestation only — cleanest if you trust OP to extend the Pending Petition's ruling. Risk: if OP refuses to take cognizance under the existing docket and you have already passed the 15-day appeal clock, you lose the appellate route.</w:t>
      </w:r>
    </w:p>
    <w:p>
      <w:pPr>
        <w:ind w:left="720" w:hanging="360"/>
      </w:pPr>
      <w:r>
        <w:t xml:space="preserve">• </w:t>
      </w:r>
      <w:r>
        <w:t>Pure standalone NoA — safest legally but creates a parallel docket that may slow consolidation later.</w:t>
      </w:r>
    </w:p>
    <w:p>
      <w:pPr>
        <w:ind w:left="720" w:hanging="360"/>
      </w:pPr>
      <w:r>
        <w:t xml:space="preserve">• </w:t>
      </w:r>
      <w:r>
        <w:t>Hybrid as drafted — manifests the new Resolution in the existing docket AND preserves the appellate clock. This is the standard PH practice for supervening matters.</w:t>
      </w:r>
    </w:p>
    <w:p>
      <w:pPr>
        <w:spacing w:before="200" w:after="120"/>
      </w:pPr>
      <w:r>
        <w:rPr>
          <w:b/>
          <w:i/>
          <w:sz w:val="24"/>
        </w:rPr>
        <w:t>6.  Ground numbering relative to the Pending Petition</w:t>
      </w:r>
    </w:p>
    <w:p>
      <w:pPr>
        <w:ind w:firstLine="720"/>
        <w:jc w:val="both"/>
      </w:pPr>
      <w:r>
        <w:t>The Pending Petition presumably has its own ground numbering (Grounds I-IV in this draft mirror the substantive theory there). Counsel should verify alignment so OP sees the two filings as a coherent package, not as duplicative.</w:t>
      </w:r>
    </w:p>
    <w:p>
      <w:pPr>
        <w:spacing w:before="200" w:after="120"/>
      </w:pPr>
      <w:r>
        <w:rPr>
          <w:b/>
          <w:i/>
          <w:sz w:val="24"/>
        </w:rPr>
        <w:t>7.  Coordination with the other pending ARTA Resolution</w:t>
      </w:r>
    </w:p>
    <w:p>
      <w:pPr>
        <w:ind w:firstLine="720"/>
        <w:jc w:val="both"/>
      </w:pPr>
      <w:r>
        <w:t>Event #13 (ARTA-0747, Pajarillo solo Resolution dated 29 April 2026, deadline 10 June 2026) is also pending. Currently blocked on Jonathan forwarding the missing Resolution PDF. A second Manifestation in the same OP docket may be appropriate for that matter as well — same legal theory, same forum, judicial economy.</w:t>
      </w:r>
    </w:p>
    <w:p>
      <w:pPr>
        <w:spacing w:before="360" w:after="200"/>
      </w:pPr>
      <w:r>
        <w:rPr>
          <w:b/>
          <w:color w:val="1F3A5F"/>
          <w:sz w:val="28"/>
        </w:rPr>
        <w:t>G.  NEXT IMMEDIATE STEPS</w:t>
      </w:r>
    </w:p>
    <w:p>
      <w:pPr>
        <w:ind w:left="576" w:hanging="576"/>
        <w:jc w:val="both"/>
      </w:pPr>
      <w:r>
        <w:t xml:space="preserve">1. </w:t>
      </w:r>
      <w:r>
        <w:t>Forward this Manifestation draft to Atty. Barandon and/or Atty. Botor for review (today/tomorrow).</w:t>
      </w:r>
    </w:p>
    <w:p>
      <w:pPr>
        <w:ind w:left="576" w:hanging="576"/>
        <w:jc w:val="both"/>
      </w:pPr>
      <w:r>
        <w:t xml:space="preserve">2. </w:t>
      </w:r>
      <w:r>
        <w:t>Confirm OP Case No. or use transmittal reference 050526-MRO-234187 in the caption.</w:t>
      </w:r>
    </w:p>
    <w:p>
      <w:pPr>
        <w:ind w:left="576" w:hanging="576"/>
        <w:jc w:val="both"/>
      </w:pPr>
      <w:r>
        <w:t xml:space="preserve">3. </w:t>
      </w:r>
      <w:r>
        <w:t>Collate Annexes M-1 through M-6.</w:t>
      </w:r>
    </w:p>
    <w:p>
      <w:pPr>
        <w:ind w:left="576" w:hanging="576"/>
        <w:jc w:val="both"/>
      </w:pPr>
      <w:r>
        <w:t xml:space="preserve">4. </w:t>
      </w:r>
      <w:r>
        <w:t>Notarize Verification + Affidavit of Service.</w:t>
      </w:r>
    </w:p>
    <w:p>
      <w:pPr>
        <w:ind w:left="576" w:hanging="576"/>
        <w:jc w:val="both"/>
      </w:pPr>
      <w:r>
        <w:t xml:space="preserve">5. </w:t>
      </w:r>
      <w:r>
        <w:t>File 7 sets at OP Mailing Section by Friday 29 May 2026 — leaving one buffer day before the Saturday 30 May statutory deadline.</w:t>
      </w:r>
    </w:p>
    <w:p>
      <w:pPr>
        <w:ind w:left="576" w:hanging="576"/>
        <w:jc w:val="both"/>
      </w:pPr>
      <w:r>
        <w:t xml:space="preserve">6. </w:t>
      </w:r>
      <w:r>
        <w:t>Copy furnish ARTA Litigation Division, Mayor Pajarillo, Treasurer Macale.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00000"/>
        <w:sz w:val="20"/>
      </w:rPr>
      <w:t>DRAFT — FOR LEGAL REVIEW — NOT YET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