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IMS-M-001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통합경영시스템(IMS) 매뉴얼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9001/14001/45001/27001/37001/37301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0. 서문</w:t>
      </w:r>
    </w:p>
    <w:p>
      <w:r>
        <w:rPr>
          <w:sz w:val="20"/>
        </w:rPr>
        <w:t xml:space="preserve">  (주)한영피엔에스는 품질·환경·안전보건·정보보안·반부패·준법 경영을 통합한 IMS(Integrated Management System)를 구축·운영한다.</w:t>
      </w:r>
    </w:p>
    <w:p>
      <w:r>
        <w:rPr>
          <w:sz w:val="20"/>
        </w:rPr>
        <w:t xml:space="preserve">  본 매뉴얼은 ISO HLS(High Level Structure) 10조 공통 구조를 기반으로</w:t>
      </w:r>
    </w:p>
    <w:p>
      <w:r>
        <w:rPr>
          <w:sz w:val="20"/>
        </w:rPr>
        <w:t xml:space="preserve">  7개 규격의 요구사항을 통합하여 문서화한다.</w:t>
      </w:r>
    </w:p>
    <w:p>
      <w:pPr>
        <w:pStyle w:val="Heading1"/>
      </w:pPr>
      <w:r>
        <w:rPr>
          <w:b/>
          <w:color w:val="1F3864"/>
          <w:sz w:val="24"/>
        </w:rPr>
        <w:t>1. 조직 상황 (HLS 4조)</w:t>
      </w:r>
    </w:p>
    <w:p>
      <w:r>
        <w:rPr>
          <w:sz w:val="20"/>
        </w:rPr>
        <w:t xml:space="preserve">  4.1 조직과 맥락 이해: 내·외부 현안 분석, PEST 분석</w:t>
      </w:r>
    </w:p>
    <w:p>
      <w:r>
        <w:rPr>
          <w:sz w:val="20"/>
        </w:rPr>
        <w:t xml:space="preserve">  4.2 이해관계자 니즈: 고객·임직원·정부·지역사회·공급자</w:t>
      </w:r>
    </w:p>
    <w:p>
      <w:r>
        <w:rPr>
          <w:sz w:val="20"/>
        </w:rPr>
        <w:t xml:space="preserve">  4.3 IMS 적용범위: 광주 본사 전 부서, 제조·서비스·지원 프로세스</w:t>
      </w:r>
    </w:p>
    <w:p>
      <w:r>
        <w:rPr>
          <w:sz w:val="20"/>
        </w:rPr>
        <w:t xml:space="preserve">  4.4 IMS: PDCA 기반 지속적 개선, 프로세스 접근법 적용</w:t>
      </w:r>
    </w:p>
    <w:p>
      <w:pPr>
        <w:pStyle w:val="Heading1"/>
      </w:pPr>
      <w:r>
        <w:rPr>
          <w:b/>
          <w:color w:val="1F3864"/>
          <w:sz w:val="24"/>
        </w:rPr>
        <w:t>2. 리더십 (HLS 5조)</w:t>
      </w:r>
    </w:p>
    <w:p>
      <w:r>
        <w:rPr>
          <w:sz w:val="20"/>
        </w:rPr>
        <w:t xml:space="preserve">  5.1 리더십과 의지표명: 최고경영자 IMS 방침 선언</w:t>
      </w:r>
    </w:p>
    <w:p>
      <w:r>
        <w:rPr>
          <w:sz w:val="20"/>
        </w:rPr>
        <w:t xml:space="preserve">  5.2 통합 방침: 품질·환경·안전·정보보안·반부패·준법 방침 통합</w:t>
      </w:r>
    </w:p>
    <w:p>
      <w:r>
        <w:rPr>
          <w:sz w:val="20"/>
        </w:rPr>
        <w:t xml:space="preserve">  5.3 역할·책임·권한: 경영대리인·각 규격별 담당자 지정</w:t>
      </w:r>
    </w:p>
    <w:p>
      <w:pPr>
        <w:pStyle w:val="Heading1"/>
      </w:pPr>
      <w:r>
        <w:rPr>
          <w:b/>
          <w:color w:val="1F3864"/>
          <w:sz w:val="24"/>
        </w:rPr>
        <w:t>3. 기획 (HLS 6조)</w:t>
      </w:r>
    </w:p>
    <w:p>
      <w:r>
        <w:rPr>
          <w:sz w:val="20"/>
        </w:rPr>
        <w:t xml:space="preserve">  6.1 위험과 기회: 7개 규격 통합 리스크 평가</w:t>
      </w:r>
    </w:p>
    <w:p>
      <w:r>
        <w:rPr>
          <w:sz w:val="20"/>
        </w:rPr>
        <w:t xml:space="preserve">  6.2 목표: 규격별 KPI 설정 및 통합 대시보드 관리</w:t>
      </w:r>
    </w:p>
    <w:p>
      <w:r>
        <w:rPr>
          <w:sz w:val="20"/>
        </w:rPr>
        <w:t xml:space="preserve">  6.3 변경 기획: 변경관리 절차 통합 운영</w:t>
      </w:r>
    </w:p>
    <w:p>
      <w:pPr>
        <w:pStyle w:val="Heading1"/>
      </w:pPr>
      <w:r>
        <w:rPr>
          <w:b/>
          <w:color w:val="1F3864"/>
          <w:sz w:val="24"/>
        </w:rPr>
        <w:t>4. 지원 (HLS 7조)</w:t>
      </w:r>
    </w:p>
    <w:p>
      <w:r>
        <w:rPr>
          <w:sz w:val="20"/>
        </w:rPr>
        <w:t xml:space="preserve">  7.1 자원: 인력·인프라·환경·모니터링 자원 통합 관리</w:t>
      </w:r>
    </w:p>
    <w:p>
      <w:r>
        <w:rPr>
          <w:sz w:val="20"/>
        </w:rPr>
        <w:t xml:space="preserve">  7.2 역량: 직무별 통합 교육훈련 계획</w:t>
      </w:r>
    </w:p>
    <w:p>
      <w:r>
        <w:rPr>
          <w:sz w:val="20"/>
        </w:rPr>
        <w:t xml:space="preserve">  7.3 인식: 전 임직원 통합 방침 인식 교육</w:t>
      </w:r>
    </w:p>
    <w:p>
      <w:r>
        <w:rPr>
          <w:sz w:val="20"/>
        </w:rPr>
        <w:t xml:space="preserve">  7.4 의사소통: 내·외부 의사소통 채널 통합</w:t>
      </w:r>
    </w:p>
    <w:p>
      <w:r>
        <w:rPr>
          <w:sz w:val="20"/>
        </w:rPr>
        <w:t xml:space="preserve">  7.5 문서화된 정보: 4계층 문서 체계 유지</w:t>
      </w:r>
    </w:p>
    <w:p>
      <w:pPr>
        <w:pStyle w:val="Heading1"/>
      </w:pPr>
      <w:r>
        <w:rPr>
          <w:b/>
          <w:color w:val="1F3864"/>
          <w:sz w:val="24"/>
        </w:rPr>
        <w:t>5. 운용 (HLS 8조)</w:t>
      </w:r>
    </w:p>
    <w:p>
      <w:r>
        <w:rPr>
          <w:sz w:val="20"/>
        </w:rPr>
        <w:t xml:space="preserve">  8.1 운용 계획 및 통제: 프로세스별 통제 기준 적용</w:t>
      </w:r>
    </w:p>
    <w:p>
      <w:r>
        <w:rPr>
          <w:sz w:val="20"/>
        </w:rPr>
        <w:t xml:space="preserve">  8.2~8.x 규격별 고유 운용 절차: 부속서 참조</w:t>
      </w:r>
    </w:p>
    <w:p>
      <w:pPr>
        <w:pStyle w:val="Heading1"/>
      </w:pPr>
      <w:r>
        <w:rPr>
          <w:b/>
          <w:color w:val="1F3864"/>
          <w:sz w:val="24"/>
        </w:rPr>
        <w:t>6. 성과 평가 (HLS 9조)</w:t>
      </w:r>
    </w:p>
    <w:p>
      <w:r>
        <w:rPr>
          <w:sz w:val="20"/>
        </w:rPr>
        <w:t xml:space="preserve">  9.1 모니터링·측정: 통합 KPI 월별 측정</w:t>
      </w:r>
    </w:p>
    <w:p>
      <w:r>
        <w:rPr>
          <w:sz w:val="20"/>
        </w:rPr>
        <w:t xml:space="preserve">  9.2 내부심사: 통합 심사 계획(연 1회 이상)</w:t>
      </w:r>
    </w:p>
    <w:p>
      <w:r>
        <w:rPr>
          <w:sz w:val="20"/>
        </w:rPr>
        <w:t xml:space="preserve">  9.3 경영검토: 연 1회 통합 경영검토</w:t>
      </w:r>
    </w:p>
    <w:p>
      <w:pPr>
        <w:pStyle w:val="Heading1"/>
      </w:pPr>
      <w:r>
        <w:rPr>
          <w:b/>
          <w:color w:val="1F3864"/>
          <w:sz w:val="24"/>
        </w:rPr>
        <w:t>7. 개선 (HLS 10조)</w:t>
      </w:r>
    </w:p>
    <w:p>
      <w:r>
        <w:rPr>
          <w:sz w:val="20"/>
        </w:rPr>
        <w:t xml:space="preserve">  10.1 부적합·시정조치: 통합 CAR 시스템 운영</w:t>
      </w:r>
    </w:p>
    <w:p>
      <w:r>
        <w:rPr>
          <w:sz w:val="20"/>
        </w:rPr>
        <w:t xml:space="preserve">  10.2 지속적 개선: 연간 IMS 개선 계획 수립</w:t>
      </w:r>
    </w:p>
    <w:p>
      <w:pPr>
        <w:pStyle w:val="Heading1"/>
      </w:pPr>
      <w:r>
        <w:rPr>
          <w:b/>
          <w:color w:val="1F3864"/>
          <w:sz w:val="24"/>
        </w:rPr>
        <w:t>부속서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부속서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규격명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매뉴얼 번호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절차서 범위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부속서 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9001 품질경영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QMS-M-001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QP-001~012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부속서 B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14001 환경경영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EMS-M-001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EMS-P-001~010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부속서 C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 안전보건경영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OHS-M-001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OH-P-001~012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부속서 D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 정보보안경영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ISMS-M-001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ISMS-P-001~015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부속서 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37001 반부패경영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ABMS-M-001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ABMS-P-001~009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부속서 F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 준법경영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CMS-M-001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CMS-P-001~008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부속서 G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 식품안전경영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FSMS-M-001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FSMS-P-001~010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