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864"/>
          <w:sz w:val="40"/>
        </w:rPr>
        <w:t>(주)한영피엔에스</w:t>
      </w:r>
    </w:p>
    <w:p>
      <w:pPr>
        <w:jc w:val="center"/>
      </w:pPr>
      <w:r>
        <w:rPr>
          <w:b/>
          <w:color w:val="1F3864"/>
          <w:sz w:val="52"/>
        </w:rPr>
        <w:t>환경경영시스템 매뉴얼</w:t>
      </w:r>
    </w:p>
    <w:p>
      <w:pPr>
        <w:jc w:val="center"/>
      </w:pPr>
      <w:r>
        <w:rPr>
          <w:b w:val="0"/>
          <w:color w:val="1F3864"/>
          <w:sz w:val="26"/>
        </w:rPr>
        <w:t>Environmental Management System Manual</w:t>
      </w:r>
    </w:p>
    <w:p>
      <w:pPr>
        <w:jc w:val="center"/>
      </w:pPr>
      <w:r>
        <w:rPr>
          <w:b/>
          <w:color w:val="375623"/>
          <w:sz w:val="28"/>
        </w:rPr>
        <w:t>ISO 14001:2015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375623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  <w:tc>
          <w:tcPr>
            <w:tcW w:type="dxa" w:w="4561"/>
          </w:tcPr>
          <w:p>
            <w:r>
              <w:t>EMS-M-001</w:t>
            </w:r>
          </w:p>
        </w:tc>
      </w:tr>
      <w:tr>
        <w:tc>
          <w:tcPr>
            <w:tcW w:type="dxa" w:w="4561"/>
            <w:shd w:val="clear" w:color="auto" w:fill="375623"/>
          </w:tcPr>
          <w:p>
            <w:r>
              <w:rPr>
                <w:b/>
                <w:color w:val="FFFFFF"/>
              </w:rPr>
              <w:t>개정번호</w:t>
            </w:r>
          </w:p>
        </w:tc>
        <w:tc>
          <w:tcPr>
            <w:tcW w:type="dxa" w:w="4561"/>
          </w:tcPr>
          <w:p>
            <w:r>
              <w:t>Rev.0</w:t>
            </w:r>
          </w:p>
        </w:tc>
      </w:tr>
      <w:tr>
        <w:tc>
          <w:tcPr>
            <w:tcW w:type="dxa" w:w="4561"/>
            <w:shd w:val="clear" w:color="auto" w:fill="375623"/>
          </w:tcPr>
          <w:p>
            <w:r>
              <w:rPr>
                <w:b/>
                <w:color w:val="FFFFFF"/>
              </w:rPr>
              <w:t>적용규격</w:t>
            </w:r>
          </w:p>
        </w:tc>
        <w:tc>
          <w:tcPr>
            <w:tcW w:type="dxa" w:w="4561"/>
          </w:tcPr>
          <w:p>
            <w:r>
              <w:t>ISO 14001:2015</w:t>
            </w:r>
          </w:p>
        </w:tc>
      </w:tr>
      <w:tr>
        <w:tc>
          <w:tcPr>
            <w:tcW w:type="dxa" w:w="4561"/>
            <w:shd w:val="clear" w:color="auto" w:fill="375623"/>
          </w:tcPr>
          <w:p>
            <w:r>
              <w:rPr>
                <w:b/>
                <w:color w:val="FFFFFF"/>
              </w:rPr>
              <w:t>작성일</w:t>
            </w:r>
          </w:p>
        </w:tc>
        <w:tc>
          <w:tcPr>
            <w:tcW w:type="dxa" w:w="4561"/>
          </w:tcPr>
          <w:p>
            <w:r>
              <w:t>2026-03-06</w:t>
            </w:r>
          </w:p>
        </w:tc>
      </w:tr>
      <w:tr>
        <w:tc>
          <w:tcPr>
            <w:tcW w:type="dxa" w:w="4561"/>
            <w:shd w:val="clear" w:color="auto" w:fill="375623"/>
          </w:tcPr>
          <w:p>
            <w:r>
              <w:rPr>
                <w:b/>
                <w:color w:val="FFFFFF"/>
              </w:rPr>
              <w:t>작성부서</w:t>
            </w:r>
          </w:p>
        </w:tc>
        <w:tc>
          <w:tcPr>
            <w:tcW w:type="dxa" w:w="4561"/>
          </w:tcPr>
          <w:p>
            <w:r>
              <w:t>기술연구소</w:t>
            </w:r>
          </w:p>
        </w:tc>
      </w:tr>
      <w:tr>
        <w:tc>
          <w:tcPr>
            <w:tcW w:type="dxa" w:w="4561"/>
            <w:shd w:val="clear" w:color="auto" w:fill="375623"/>
          </w:tcPr>
          <w:p>
            <w:r>
              <w:rPr>
                <w:b/>
                <w:color w:val="FFFFFF"/>
              </w:rPr>
              <w:t>검토자</w:t>
            </w:r>
          </w:p>
        </w:tc>
        <w:tc>
          <w:tcPr>
            <w:tcW w:type="dxa" w:w="4561"/>
          </w:tcPr>
          <w:p>
            <w:r>
              <w:t>기술연구소장</w:t>
            </w:r>
          </w:p>
        </w:tc>
      </w:tr>
      <w:tr>
        <w:tc>
          <w:tcPr>
            <w:tcW w:type="dxa" w:w="4561"/>
            <w:shd w:val="clear" w:color="auto" w:fill="375623"/>
          </w:tcPr>
          <w:p>
            <w:r>
              <w:rPr>
                <w:b/>
                <w:color w:val="FFFFFF"/>
              </w:rPr>
              <w:t>승인자</w:t>
            </w:r>
          </w:p>
        </w:tc>
        <w:tc>
          <w:tcPr>
            <w:tcW w:type="dxa" w:w="4561"/>
          </w:tcPr>
          <w:p>
            <w: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환경방침 (Environmental Policy)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623"/>
                <w:sz w:val="26"/>
              </w:rPr>
              <w:t>【 환경방침 】</w:t>
              <w:br/>
            </w:r>
            <w:r>
              <w:rPr>
                <w:sz w:val="22"/>
              </w:rPr>
              <w:t>(주)한영피엔에스는 환경경영을 핵심 가치로 삼아,</w:t>
              <w:br/>
              <w:t>환경오염 예방과 지속가능한 발전을 위해 노력하며,</w:t>
              <w:br/>
              <w:t>관련 법규를 철저히 준수하고 환경목표를 지속적으로 개선하여</w:t>
              <w:br/>
              <w:t>미래 세대를 위한 깨끗한 환경을 보전한다.</w:t>
            </w:r>
          </w:p>
          <w:p>
            <w:pPr>
              <w:jc w:val="right"/>
            </w:pPr>
            <w:r>
              <w:rPr>
                <w:sz w:val="20"/>
              </w:rPr>
              <w:br/>
              <w:t>대표이사  김윤섭  2026-03-06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제4장  조직상황 (4조)</w:t>
      </w:r>
    </w:p>
    <w:p>
      <w:pPr>
        <w:pStyle w:val="Heading2"/>
      </w:pPr>
      <w:r>
        <w:rPr>
          <w:b/>
          <w:color w:val="2E75B6"/>
          <w:sz w:val="22"/>
        </w:rPr>
        <w:t>4.1 조직과 조직상황</w:t>
      </w:r>
    </w:p>
    <w:p>
      <w:pPr>
        <w:spacing w:after="80"/>
        <w:ind w:left="0"/>
      </w:pPr>
      <w:r>
        <w:rPr>
          <w:sz w:val="20"/>
        </w:rPr>
        <w:t>조직의 환경 관련 내·외부 이슈(기후변화, 법규, 이해관계자 기대)를 파악하고 EMS에 반영한다.</w:t>
      </w:r>
    </w:p>
    <w:p>
      <w:pPr>
        <w:pStyle w:val="Heading2"/>
      </w:pPr>
      <w:r>
        <w:rPr>
          <w:b/>
          <w:color w:val="2E75B6"/>
          <w:sz w:val="22"/>
        </w:rPr>
        <w:t>4.2 이해관계자 니즈</w:t>
      </w:r>
    </w:p>
    <w:p>
      <w:pPr>
        <w:spacing w:after="80"/>
        <w:ind w:left="0"/>
      </w:pPr>
      <w:r>
        <w:rPr>
          <w:sz w:val="20"/>
        </w:rPr>
        <w:t>환경 측면에서 이해관계자(정부, 고객, 지역사회, 임직원)의 요구사항을 파악한다.</w:t>
      </w:r>
    </w:p>
    <w:p>
      <w:pPr>
        <w:pStyle w:val="Heading2"/>
      </w:pPr>
      <w:r>
        <w:rPr>
          <w:b/>
          <w:color w:val="2E75B6"/>
          <w:sz w:val="22"/>
        </w:rPr>
        <w:t>4.3 EMS 적용범위</w:t>
      </w:r>
    </w:p>
    <w:p>
      <w:pPr>
        <w:spacing w:after="80"/>
        <w:ind w:left="0"/>
      </w:pPr>
      <w:r>
        <w:rPr>
          <w:sz w:val="20"/>
        </w:rPr>
        <w:t>본사 및 3개 사업장의 모든 제조 활동에 적용한다.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제5장  리더십 (5조)</w:t>
      </w:r>
    </w:p>
    <w:p>
      <w:pPr>
        <w:pStyle w:val="Heading2"/>
      </w:pPr>
      <w:r>
        <w:rPr>
          <w:b/>
          <w:color w:val="2E75B6"/>
          <w:sz w:val="22"/>
        </w:rPr>
        <w:t>5.1 최고경영자 의지표명</w:t>
      </w:r>
    </w:p>
    <w:p>
      <w:pPr>
        <w:spacing w:after="80"/>
        <w:ind w:left="0"/>
      </w:pPr>
      <w:r>
        <w:rPr>
          <w:sz w:val="20"/>
        </w:rPr>
        <w:t>환경방침 수립, 자원 제공, EMS 통합에 대한 리더십을 실증한다.</w:t>
      </w:r>
    </w:p>
    <w:p>
      <w:pPr>
        <w:pStyle w:val="Heading2"/>
      </w:pPr>
      <w:r>
        <w:rPr>
          <w:b/>
          <w:color w:val="2E75B6"/>
          <w:sz w:val="22"/>
        </w:rPr>
        <w:t>5.2 환경방침</w:t>
      </w:r>
    </w:p>
    <w:p>
      <w:pPr>
        <w:spacing w:after="80"/>
        <w:ind w:left="0"/>
      </w:pPr>
      <w:r>
        <w:rPr>
          <w:sz w:val="20"/>
        </w:rPr>
        <w:t>상단 환경방침 참조. 연 1회 이상 검토·개정.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제6장  기획 (6조)</w:t>
      </w:r>
    </w:p>
    <w:p>
      <w:pPr>
        <w:pStyle w:val="Heading2"/>
      </w:pPr>
      <w:r>
        <w:rPr>
          <w:b/>
          <w:color w:val="2E75B6"/>
          <w:sz w:val="22"/>
        </w:rPr>
        <w:t>6.1.1 리스크와 기회</w:t>
      </w:r>
    </w:p>
    <w:p>
      <w:pPr>
        <w:spacing w:after="80"/>
        <w:ind w:left="0"/>
      </w:pPr>
      <w:r>
        <w:rPr>
          <w:sz w:val="20"/>
        </w:rPr>
        <w:t>환경측면, 법규, 이해관계자 요구를 고려하여 리스크와 기회를 결정한다.</w:t>
      </w:r>
    </w:p>
    <w:p>
      <w:pPr>
        <w:pStyle w:val="Heading2"/>
      </w:pPr>
      <w:r>
        <w:rPr>
          <w:b/>
          <w:color w:val="2E75B6"/>
          <w:sz w:val="22"/>
        </w:rPr>
        <w:t>6.1.2 환경측면 파악</w:t>
      </w:r>
    </w:p>
    <w:p>
      <w:pPr>
        <w:spacing w:after="80"/>
        <w:ind w:left="0"/>
      </w:pPr>
      <w:r>
        <w:rPr>
          <w:sz w:val="20"/>
        </w:rPr>
        <w:t>환경측면 파악 및 평가표(EMS-F-001)를 사용하여 중요 환경측면을 결정한다.</w:t>
      </w:r>
    </w:p>
    <w:p>
      <w:pPr>
        <w:pStyle w:val="Heading2"/>
      </w:pPr>
      <w:r>
        <w:rPr>
          <w:b/>
          <w:color w:val="2E75B6"/>
          <w:sz w:val="22"/>
        </w:rPr>
        <w:t>6.1.3 법규 요구사항</w:t>
      </w:r>
    </w:p>
    <w:p>
      <w:pPr>
        <w:spacing w:after="80"/>
        <w:ind w:left="0"/>
      </w:pPr>
      <w:r>
        <w:rPr>
          <w:sz w:val="20"/>
        </w:rPr>
        <w:t>관련 법규·기타 요구사항을 환경법규 등록부(EMS-F-012)에 등록하고 준수 여부를 평가한다.</w:t>
      </w:r>
    </w:p>
    <w:p>
      <w:pPr>
        <w:pStyle w:val="Heading2"/>
      </w:pPr>
      <w:r>
        <w:rPr>
          <w:b/>
          <w:color w:val="2E75B6"/>
          <w:sz w:val="22"/>
        </w:rPr>
        <w:t>6.2 환경목표</w:t>
      </w:r>
    </w:p>
    <w:p>
      <w:pPr>
        <w:spacing w:after="80"/>
        <w:ind w:left="0"/>
      </w:pPr>
      <w:r>
        <w:rPr>
          <w:sz w:val="20"/>
        </w:rPr>
        <w:t>에너지·용수·폐기물 감축, 온실가스 배출 저감 목표를 수립하고 EMS-F-003에 관리한다.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제7장  지원 (7조)</w:t>
      </w:r>
    </w:p>
    <w:p>
      <w:pPr>
        <w:pStyle w:val="Heading2"/>
      </w:pPr>
      <w:r>
        <w:rPr>
          <w:b/>
          <w:color w:val="2E75B6"/>
          <w:sz w:val="22"/>
        </w:rPr>
        <w:t>7.1 자원</w:t>
      </w:r>
    </w:p>
    <w:p>
      <w:pPr>
        <w:spacing w:after="80"/>
        <w:ind w:left="0"/>
      </w:pPr>
      <w:r>
        <w:rPr>
          <w:sz w:val="20"/>
        </w:rPr>
        <w:t>EMS 운영에 필요한 인적·물적·재정적 자원을 제공한다.</w:t>
      </w:r>
    </w:p>
    <w:p>
      <w:pPr>
        <w:pStyle w:val="Heading2"/>
      </w:pPr>
      <w:r>
        <w:rPr>
          <w:b/>
          <w:color w:val="2E75B6"/>
          <w:sz w:val="22"/>
        </w:rPr>
        <w:t>7.4 의사소통</w:t>
      </w:r>
    </w:p>
    <w:p>
      <w:pPr>
        <w:spacing w:after="80"/>
        <w:ind w:left="0"/>
      </w:pPr>
      <w:r>
        <w:rPr>
          <w:sz w:val="20"/>
        </w:rPr>
        <w:t>환경방침, 목표, 성과는 전 사원에게 공유하고 외부 이해관계자와 소통한다.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제8장  운용 (8조)</w:t>
      </w:r>
    </w:p>
    <w:p>
      <w:pPr>
        <w:pStyle w:val="Heading2"/>
      </w:pPr>
      <w:r>
        <w:rPr>
          <w:b/>
          <w:color w:val="2E75B6"/>
          <w:sz w:val="22"/>
        </w:rPr>
        <w:t>8.1 운용통제</w:t>
      </w:r>
    </w:p>
    <w:p>
      <w:pPr>
        <w:spacing w:after="80"/>
        <w:ind w:left="0"/>
      </w:pPr>
      <w:r>
        <w:rPr>
          <w:sz w:val="20"/>
        </w:rPr>
        <w:t>중요 환경측면과 관련된 프로세스를 통제하기 위한 운영통제 절차(EMS-P-009)를 수립한다.</w:t>
      </w:r>
    </w:p>
    <w:p>
      <w:pPr>
        <w:pStyle w:val="Heading2"/>
      </w:pPr>
      <w:r>
        <w:rPr>
          <w:b/>
          <w:color w:val="2E75B6"/>
          <w:sz w:val="22"/>
        </w:rPr>
        <w:t>8.2 비상사태 대비</w:t>
      </w:r>
    </w:p>
    <w:p>
      <w:pPr>
        <w:spacing w:after="80"/>
        <w:ind w:left="0"/>
      </w:pPr>
      <w:r>
        <w:rPr>
          <w:sz w:val="20"/>
        </w:rPr>
        <w:t>화학물질 유출, 화재 등 환경비상사태에 대한 대비·대응 절차(EMS-P-003)를 수립한다.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제9장  성과평가 (9조)</w:t>
      </w:r>
    </w:p>
    <w:p>
      <w:pPr>
        <w:pStyle w:val="Heading2"/>
      </w:pPr>
      <w:r>
        <w:rPr>
          <w:b/>
          <w:color w:val="2E75B6"/>
          <w:sz w:val="22"/>
        </w:rPr>
        <w:t>9.1 모니터링·측정</w:t>
      </w:r>
    </w:p>
    <w:p>
      <w:pPr>
        <w:spacing w:after="80"/>
        <w:ind w:left="0"/>
      </w:pPr>
      <w:r>
        <w:rPr>
          <w:sz w:val="20"/>
        </w:rPr>
        <w:t>에너지·용수·폐기물·대기·수질 등 환경성과지표(EPI)를 월간 측정·기록한다.</w:t>
      </w:r>
    </w:p>
    <w:p>
      <w:pPr>
        <w:pStyle w:val="Heading2"/>
      </w:pPr>
      <w:r>
        <w:rPr>
          <w:b/>
          <w:color w:val="2E75B6"/>
          <w:sz w:val="22"/>
        </w:rPr>
        <w:t>9.2 내부심사</w:t>
      </w:r>
    </w:p>
    <w:p>
      <w:pPr>
        <w:spacing w:after="80"/>
        <w:ind w:left="0"/>
      </w:pPr>
      <w:r>
        <w:rPr>
          <w:sz w:val="20"/>
        </w:rPr>
        <w:t>연 1회 EMS 내부심사를 실시한다.</w:t>
      </w:r>
    </w:p>
    <w:p>
      <w:pPr>
        <w:pStyle w:val="Heading2"/>
      </w:pPr>
      <w:r>
        <w:rPr>
          <w:b/>
          <w:color w:val="2E75B6"/>
          <w:sz w:val="22"/>
        </w:rPr>
        <w:t>9.3 경영검토</w:t>
      </w:r>
    </w:p>
    <w:p>
      <w:pPr>
        <w:spacing w:after="80"/>
        <w:ind w:left="0"/>
      </w:pPr>
      <w:r>
        <w:rPr>
          <w:sz w:val="20"/>
        </w:rPr>
        <w:t>연 1회 대표이사 주관 경영검토를 실시한다.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제10장  개선 (10조)</w:t>
      </w:r>
    </w:p>
    <w:p>
      <w:pPr>
        <w:pStyle w:val="Heading2"/>
      </w:pPr>
      <w:r>
        <w:rPr>
          <w:b/>
          <w:color w:val="2E75B6"/>
          <w:sz w:val="22"/>
        </w:rPr>
        <w:t>10.1 지속적 개선</w:t>
      </w:r>
    </w:p>
    <w:p>
      <w:pPr>
        <w:spacing w:after="80"/>
        <w:ind w:left="0"/>
      </w:pPr>
      <w:r>
        <w:rPr>
          <w:sz w:val="20"/>
        </w:rPr>
        <w:t>환경성과 데이터와 경영검토 결과를 활용하여 EMS를 지속 개선한다.</w:t>
      </w:r>
    </w:p>
    <w:p>
      <w:pPr>
        <w:pStyle w:val="Heading2"/>
      </w:pPr>
      <w:r>
        <w:rPr>
          <w:b/>
          <w:color w:val="2E75B6"/>
          <w:sz w:val="22"/>
        </w:rPr>
        <w:t>10.2 부적합 및 시정조치</w:t>
      </w:r>
    </w:p>
    <w:p>
      <w:pPr>
        <w:spacing w:after="80"/>
        <w:ind w:left="0"/>
      </w:pPr>
      <w:r>
        <w:rPr>
          <w:sz w:val="20"/>
        </w:rPr>
        <w:t>환경 부적합 및 사고 발생 시 원인 제거를 위한 시정조치를 실시한다.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환경목표 관리표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환경목표</w:t>
            </w:r>
          </w:p>
        </w:tc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현재 수준</w:t>
            </w:r>
          </w:p>
        </w:tc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목표값</w:t>
            </w:r>
          </w:p>
        </w:tc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기준연도</w:t>
            </w:r>
          </w:p>
        </w:tc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담당부서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에너지 사용량 감축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전력(kWh/월)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기준연도 대비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10% 감축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시설팀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용수 사용량 감축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용수(㎥/월)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기준연도 대비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10% 감축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시설팀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폐기물 발생량 감축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폐기물(톤/월)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기준연도 대비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15% 감축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환경팀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온실가스 배출 저감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CO₂eq(톤/년)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기준연도 대비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Scope1+2 5% 감축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경영팀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법규 위반 건수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건/년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0건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0건 유지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환경팀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