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법규 및 기타 요구사항 파악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6.1.3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환경 관련 법규 및 기타 요구사항을 지속적으로 파악하고 준수 여부를 평가한다.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환경 관련 모든 법적·규제적·자발적 요구사항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법규 검색: 법제처, 환경부 정기 모니터링 (월 1회)</w:t>
      </w:r>
    </w:p>
    <w:p>
      <w:pPr>
        <w:pStyle w:val="ListBullet"/>
        <w:ind w:left="283"/>
      </w:pPr>
      <w:r>
        <w:rPr>
          <w:sz w:val="20"/>
        </w:rPr>
        <w:t>2) 법규 등록부(EMS-F-012) 등록 및 최신화</w:t>
      </w:r>
    </w:p>
    <w:p>
      <w:pPr>
        <w:pStyle w:val="ListBullet"/>
        <w:ind w:left="283"/>
      </w:pPr>
      <w:r>
        <w:rPr>
          <w:sz w:val="20"/>
        </w:rPr>
        <w:t>3) 준수 평가: 반기별 법규 준수 평가표(EMS-F-002) 작성</w:t>
      </w:r>
    </w:p>
    <w:p>
      <w:pPr>
        <w:pStyle w:val="ListBullet"/>
        <w:ind w:left="283"/>
      </w:pPr>
      <w:r>
        <w:rPr>
          <w:sz w:val="20"/>
        </w:rPr>
        <w:t>4) 미준수 발견 시: 즉시 시정조치 및 담당 부서 보고</w:t>
      </w:r>
    </w:p>
    <w:p>
      <w:pPr>
        <w:pStyle w:val="ListBullet"/>
        <w:ind w:left="283"/>
      </w:pPr>
      <w:r>
        <w:rPr>
          <w:sz w:val="20"/>
        </w:rPr>
        <w:t>5) 신규 법규 제·개정 시: 영향 분析 후 30일 이내 대응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EMS-F-002 법규 준수 평가표</w:t>
      </w:r>
    </w:p>
    <w:p>
      <w:pPr>
        <w:pStyle w:val="ListBullet"/>
        <w:ind w:left="283"/>
      </w:pPr>
      <w:r>
        <w:rPr>
          <w:sz w:val="20"/>
        </w:rPr>
        <w:t>EMS-F-012 환경법규 등록부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