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FSMS-G-001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개인위생 관리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22000:2018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식품 취급자의 개인위생 기준 및 실천 방법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식품 생산·가공·포장 모든 직원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개인위생(Personal Hygiene)</w:t>
      </w:r>
    </w:p>
    <w:p>
      <w:pPr>
        <w:pStyle w:val="ListBullet"/>
        <w:ind w:left="283"/>
      </w:pPr>
      <w:r>
        <w:rPr>
          <w:sz w:val="20"/>
        </w:rPr>
        <w:t>교차오염(Cross Contamination)</w:t>
      </w:r>
    </w:p>
    <w:p>
      <w:pPr>
        <w:pStyle w:val="Heading1"/>
      </w:pPr>
      <w:r>
        <w:rPr>
          <w:b/>
          <w:color w:val="1F3864"/>
          <w:sz w:val="24"/>
        </w:rPr>
        <w:t>4. 세부 지침</w:t>
      </w:r>
    </w:p>
    <w:p>
      <w:pPr>
        <w:spacing w:after="80"/>
        <w:ind w:left="0"/>
      </w:pPr>
      <w:r>
        <w:rPr>
          <w:sz w:val="20"/>
        </w:rPr>
        <w:t>손 씻기 7단계 준수, 작업복·모자·마스크 착용, 상처 있는 자 식품 접촉 금지, 작업 전 건강상태 보고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