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864"/>
          <w:sz w:val="40"/>
        </w:rPr>
        <w:t>(주)한영피엔에스</w:t>
      </w:r>
    </w:p>
    <w:p>
      <w:pPr>
        <w:jc w:val="center"/>
      </w:pPr>
      <w:r>
        <w:rPr>
          <w:b/>
          <w:color w:val="1F3864"/>
          <w:sz w:val="52"/>
        </w:rPr>
        <w:t>식품안전경영시스템 매뉴얼</w:t>
      </w:r>
    </w:p>
    <w:p>
      <w:pPr>
        <w:jc w:val="center"/>
      </w:pPr>
      <w:r>
        <w:rPr>
          <w:b/>
          <w:color w:val="1F3864"/>
          <w:sz w:val="26"/>
        </w:rPr>
        <w:t>Food Safety Management System Manual</w:t>
      </w:r>
    </w:p>
    <w:p>
      <w:pPr>
        <w:jc w:val="center"/>
      </w:pPr>
      <w:r>
        <w:rPr>
          <w:b/>
          <w:color w:val="C55A11"/>
          <w:sz w:val="28"/>
        </w:rPr>
        <w:t>ISO 22000:2018 / HACCP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C55A11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  <w:tc>
          <w:tcPr>
            <w:tcW w:type="dxa" w:w="4561"/>
          </w:tcPr>
          <w:p>
            <w:r>
              <w:t>FSMS-M-001</w:t>
            </w:r>
          </w:p>
        </w:tc>
      </w:tr>
      <w:tr>
        <w:tc>
          <w:tcPr>
            <w:tcW w:type="dxa" w:w="4561"/>
            <w:shd w:val="clear" w:color="auto" w:fill="C55A11"/>
          </w:tcPr>
          <w:p>
            <w:r>
              <w:rPr>
                <w:b/>
                <w:color w:val="FFFFFF"/>
              </w:rPr>
              <w:t>개정번호</w:t>
            </w:r>
          </w:p>
        </w:tc>
        <w:tc>
          <w:tcPr>
            <w:tcW w:type="dxa" w:w="4561"/>
          </w:tcPr>
          <w:p>
            <w:r>
              <w:t>Rev.0</w:t>
            </w:r>
          </w:p>
        </w:tc>
      </w:tr>
      <w:tr>
        <w:tc>
          <w:tcPr>
            <w:tcW w:type="dxa" w:w="4561"/>
            <w:shd w:val="clear" w:color="auto" w:fill="C55A11"/>
          </w:tcPr>
          <w:p>
            <w:r>
              <w:rPr>
                <w:b/>
                <w:color w:val="FFFFFF"/>
              </w:rPr>
              <w:t>적용규격</w:t>
            </w:r>
          </w:p>
        </w:tc>
        <w:tc>
          <w:tcPr>
            <w:tcW w:type="dxa" w:w="4561"/>
          </w:tcPr>
          <w:p>
            <w:r>
              <w:t>ISO 22000:2018 / HACCP</w:t>
            </w:r>
          </w:p>
        </w:tc>
      </w:tr>
      <w:tr>
        <w:tc>
          <w:tcPr>
            <w:tcW w:type="dxa" w:w="4561"/>
            <w:shd w:val="clear" w:color="auto" w:fill="C55A11"/>
          </w:tcPr>
          <w:p>
            <w:r>
              <w:rPr>
                <w:b/>
                <w:color w:val="FFFFFF"/>
              </w:rPr>
              <w:t>작성일</w:t>
            </w:r>
          </w:p>
        </w:tc>
        <w:tc>
          <w:tcPr>
            <w:tcW w:type="dxa" w:w="4561"/>
          </w:tcPr>
          <w:p>
            <w:r>
              <w:t>2026-03-06</w:t>
            </w:r>
          </w:p>
        </w:tc>
      </w:tr>
      <w:tr>
        <w:tc>
          <w:tcPr>
            <w:tcW w:type="dxa" w:w="4561"/>
            <w:shd w:val="clear" w:color="auto" w:fill="C55A11"/>
          </w:tcPr>
          <w:p>
            <w:r>
              <w:rPr>
                <w:b/>
                <w:color w:val="FFFFFF"/>
              </w:rPr>
              <w:t>작성부서</w:t>
            </w:r>
          </w:p>
        </w:tc>
        <w:tc>
          <w:tcPr>
            <w:tcW w:type="dxa" w:w="4561"/>
          </w:tcPr>
          <w:p>
            <w:r>
              <w:t>기술연구소</w:t>
            </w:r>
          </w:p>
        </w:tc>
      </w:tr>
      <w:tr>
        <w:tc>
          <w:tcPr>
            <w:tcW w:type="dxa" w:w="4561"/>
            <w:shd w:val="clear" w:color="auto" w:fill="C55A11"/>
          </w:tcPr>
          <w:p>
            <w:r>
              <w:rPr>
                <w:b/>
                <w:color w:val="FFFFFF"/>
              </w:rPr>
              <w:t>검토자</w:t>
            </w:r>
          </w:p>
        </w:tc>
        <w:tc>
          <w:tcPr>
            <w:tcW w:type="dxa" w:w="4561"/>
          </w:tcPr>
          <w:p>
            <w:r>
              <w:t>기술연구소장</w:t>
            </w:r>
          </w:p>
        </w:tc>
      </w:tr>
      <w:tr>
        <w:tc>
          <w:tcPr>
            <w:tcW w:type="dxa" w:w="4561"/>
            <w:shd w:val="clear" w:color="auto" w:fill="C55A11"/>
          </w:tcPr>
          <w:p>
            <w:r>
              <w:rPr>
                <w:b/>
                <w:color w:val="FFFFFF"/>
              </w:rPr>
              <w:t>승인자</w:t>
            </w:r>
          </w:p>
        </w:tc>
        <w:tc>
          <w:tcPr>
            <w:tcW w:type="dxa" w:w="4561"/>
          </w:tcPr>
          <w:p>
            <w: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HACCP 7원칙 12단계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51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단계1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HACCP팀 구성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HACCP 운영을 위한 팀 구성 및 역할 정의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단계2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제품설명서 작성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제품명, 성분, 용도, 대상소비자, 유통방법 기술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단계3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사용용도 확인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최종 소비자 사용방법 및 취약계층 검토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단계4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공정흐름도 작성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원료입고부터 출하까지 전 공정 흐름도 작성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단계5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공정흐름도 현장확인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작성된 흐름도를 현장에서 확인·검증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단계6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위해요소분석(원칙1)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생물적·화학적·물리적 위해요소 식별 및 평가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단계7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CCP 결정(원칙2)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결정수형도를 이용한 중요관리점 결정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단계8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CCP 한계기준 설정(원칙3)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각 CCP에 대한 허용 한계기준 설정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단계9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CCP 모니터링(원칙4)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한계기준 준수 여부 모니터링 방법 수립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단계10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시정조치(원칙5)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한계기준 이탈 시 시정조치 방법 수립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단계11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검증(원칙6)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HACCP 시스템의 유효성 검증 방법 수립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단계12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문서화·기록유지(원칙7)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모든 HACCP 활동 문서화 및 기록 유지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4. 조직상황</w:t>
      </w:r>
    </w:p>
    <w:p>
      <w:pPr>
        <w:pStyle w:val="ListBullet"/>
        <w:ind w:left="283"/>
      </w:pPr>
      <w:r>
        <w:rPr>
          <w:sz w:val="20"/>
        </w:rPr>
        <w:t>4.1 조직 및 상황 이해 - 식품안전 관련 내·외부 이슈 분석</w:t>
      </w:r>
    </w:p>
    <w:p>
      <w:pPr>
        <w:pStyle w:val="ListBullet"/>
        <w:ind w:left="283"/>
      </w:pPr>
      <w:r>
        <w:rPr>
          <w:sz w:val="20"/>
        </w:rPr>
        <w:t>4.2 이해관계자 요구사항 - 규제기관, 고객, 소비자 요구사항</w:t>
      </w:r>
    </w:p>
    <w:p>
      <w:pPr>
        <w:pStyle w:val="ListBullet"/>
        <w:ind w:left="283"/>
      </w:pPr>
      <w:r>
        <w:rPr>
          <w:sz w:val="20"/>
        </w:rPr>
        <w:t>4.3 FSMS 적용범위 - 원료 입고~완제품 출하까지 모든 공정</w:t>
      </w:r>
    </w:p>
    <w:p>
      <w:pPr>
        <w:pStyle w:val="ListBullet"/>
        <w:ind w:left="283"/>
      </w:pPr>
      <w:r>
        <w:rPr>
          <w:sz w:val="20"/>
        </w:rPr>
        <w:t>4.4 식품안전경영시스템 수립·실행·유지</w:t>
      </w:r>
    </w:p>
    <w:p/>
    <w:p>
      <w:pPr>
        <w:pStyle w:val="Heading1"/>
      </w:pPr>
      <w:r>
        <w:rPr>
          <w:b/>
          <w:color w:val="1F3864"/>
          <w:sz w:val="24"/>
        </w:rPr>
        <w:t>5. 리더십</w:t>
      </w:r>
    </w:p>
    <w:p>
      <w:pPr>
        <w:pStyle w:val="ListBullet"/>
        <w:ind w:left="283"/>
      </w:pPr>
      <w:r>
        <w:rPr>
          <w:sz w:val="20"/>
        </w:rPr>
        <w:t>5.1 리더십과 의지표명 - 식품안전 최우선 원칙</w:t>
      </w:r>
    </w:p>
    <w:p>
      <w:pPr>
        <w:pStyle w:val="ListBullet"/>
        <w:ind w:left="283"/>
      </w:pPr>
      <w:r>
        <w:rPr>
          <w:sz w:val="20"/>
        </w:rPr>
        <w:t>5.2 식품안전방침 - 법규 준수, HACCP 운영, 지속개선</w:t>
      </w:r>
    </w:p>
    <w:p>
      <w:pPr>
        <w:pStyle w:val="ListBullet"/>
        <w:ind w:left="283"/>
      </w:pPr>
      <w:r>
        <w:rPr>
          <w:sz w:val="20"/>
        </w:rPr>
        <w:t>5.3 역할·책임·권한 - HACCP팀장, CCP 담당자</w:t>
      </w:r>
    </w:p>
    <w:p/>
    <w:p>
      <w:pPr>
        <w:pStyle w:val="Heading1"/>
      </w:pPr>
      <w:r>
        <w:rPr>
          <w:b/>
          <w:color w:val="1F3864"/>
          <w:sz w:val="24"/>
        </w:rPr>
        <w:t>6. 기획</w:t>
      </w:r>
    </w:p>
    <w:p>
      <w:pPr>
        <w:pStyle w:val="ListBullet"/>
        <w:ind w:left="283"/>
      </w:pPr>
      <w:r>
        <w:rPr>
          <w:sz w:val="20"/>
        </w:rPr>
        <w:t>6.1 리스크 및 기회 - 식중독 위험, 이물 혼입 리스크 관리</w:t>
      </w:r>
    </w:p>
    <w:p>
      <w:pPr>
        <w:pStyle w:val="ListBullet"/>
        <w:ind w:left="283"/>
      </w:pPr>
      <w:r>
        <w:rPr>
          <w:sz w:val="20"/>
        </w:rPr>
        <w:t>6.2 FSMS 목표 - 식중독 Zero, CCP 이탈 건수 최소화</w:t>
      </w:r>
    </w:p>
    <w:p>
      <w:pPr>
        <w:pStyle w:val="ListBullet"/>
        <w:ind w:left="283"/>
      </w:pPr>
      <w:r>
        <w:rPr>
          <w:sz w:val="20"/>
        </w:rPr>
        <w:t>6.3 긴급상황 대비 계획</w:t>
      </w:r>
    </w:p>
    <w:p/>
    <w:p>
      <w:pPr>
        <w:pStyle w:val="Heading1"/>
      </w:pPr>
      <w:r>
        <w:rPr>
          <w:b/>
          <w:color w:val="1F3864"/>
          <w:sz w:val="24"/>
        </w:rPr>
        <w:t>7. 지원</w:t>
      </w:r>
    </w:p>
    <w:p>
      <w:pPr>
        <w:pStyle w:val="ListBullet"/>
        <w:ind w:left="283"/>
      </w:pPr>
      <w:r>
        <w:rPr>
          <w:sz w:val="20"/>
        </w:rPr>
        <w:t>7.1 자원 - 검사 장비, 냉장·냉동 시설, 개인위생 도구</w:t>
      </w:r>
    </w:p>
    <w:p>
      <w:pPr>
        <w:pStyle w:val="ListBullet"/>
        <w:ind w:left="283"/>
      </w:pPr>
      <w:r>
        <w:rPr>
          <w:sz w:val="20"/>
        </w:rPr>
        <w:t>7.2 역량 - 식품위생 교육, HACCP 교육</w:t>
      </w:r>
    </w:p>
    <w:p>
      <w:pPr>
        <w:pStyle w:val="ListBullet"/>
        <w:ind w:left="283"/>
      </w:pPr>
      <w:r>
        <w:rPr>
          <w:sz w:val="20"/>
        </w:rPr>
        <w:t>7.3 인식 - 식품안전방침 공유</w:t>
      </w:r>
    </w:p>
    <w:p>
      <w:pPr>
        <w:pStyle w:val="ListBullet"/>
        <w:ind w:left="283"/>
      </w:pPr>
      <w:r>
        <w:rPr>
          <w:sz w:val="20"/>
        </w:rPr>
        <w:t>7.4 소통 - 이해관계자와의 식품안전 정보 교환</w:t>
      </w:r>
    </w:p>
    <w:p>
      <w:pPr>
        <w:pStyle w:val="ListBullet"/>
        <w:ind w:left="283"/>
      </w:pPr>
      <w:r>
        <w:rPr>
          <w:sz w:val="20"/>
        </w:rPr>
        <w:t>7.5 문서화된 정보 - HACCP 플랜, 기록 관리</w:t>
      </w:r>
    </w:p>
    <w:p/>
    <w:p>
      <w:pPr>
        <w:pStyle w:val="Heading1"/>
      </w:pPr>
      <w:r>
        <w:rPr>
          <w:b/>
          <w:color w:val="1F3864"/>
          <w:sz w:val="24"/>
        </w:rPr>
        <w:t>8. 운용</w:t>
      </w:r>
    </w:p>
    <w:p>
      <w:pPr>
        <w:pStyle w:val="ListBullet"/>
        <w:ind w:left="283"/>
      </w:pPr>
      <w:r>
        <w:rPr>
          <w:sz w:val="20"/>
        </w:rPr>
        <w:t>8.1 운용 기획 및 관리 - 공정 관리 기준 수립</w:t>
      </w:r>
    </w:p>
    <w:p>
      <w:pPr>
        <w:pStyle w:val="ListBullet"/>
        <w:ind w:left="283"/>
      </w:pPr>
      <w:r>
        <w:rPr>
          <w:sz w:val="20"/>
        </w:rPr>
        <w:t>8.2 선행요건 프로그램(PRPs) - 시설·위생·교육 관리</w:t>
      </w:r>
    </w:p>
    <w:p>
      <w:pPr>
        <w:pStyle w:val="ListBullet"/>
        <w:ind w:left="283"/>
      </w:pPr>
      <w:r>
        <w:rPr>
          <w:sz w:val="20"/>
        </w:rPr>
        <w:t>8.3 추적성 시스템 - 원료~제품까지 이력 추적</w:t>
      </w:r>
    </w:p>
    <w:p>
      <w:pPr>
        <w:pStyle w:val="ListBullet"/>
        <w:ind w:left="283"/>
      </w:pPr>
      <w:r>
        <w:rPr>
          <w:sz w:val="20"/>
        </w:rPr>
        <w:t>8.4 비상대응 - 리콜, 회수 절차</w:t>
      </w:r>
    </w:p>
    <w:p>
      <w:pPr>
        <w:pStyle w:val="ListBullet"/>
        <w:ind w:left="283"/>
      </w:pPr>
      <w:r>
        <w:rPr>
          <w:sz w:val="20"/>
        </w:rPr>
        <w:t>8.5 위해요소분석 및 CCP 관리</w:t>
      </w:r>
    </w:p>
    <w:p>
      <w:pPr>
        <w:pStyle w:val="ListBullet"/>
        <w:ind w:left="283"/>
      </w:pPr>
      <w:r>
        <w:rPr>
          <w:sz w:val="20"/>
        </w:rPr>
        <w:t>8.6 PRPs 모니터링 - 주간 점검</w:t>
      </w:r>
    </w:p>
    <w:p>
      <w:pPr>
        <w:pStyle w:val="ListBullet"/>
        <w:ind w:left="283"/>
      </w:pPr>
      <w:r>
        <w:rPr>
          <w:sz w:val="20"/>
        </w:rPr>
        <w:t>8.7 CCP 모니터링 - 매 공정별 점검</w:t>
      </w:r>
    </w:p>
    <w:p>
      <w:pPr>
        <w:pStyle w:val="ListBullet"/>
        <w:ind w:left="283"/>
      </w:pPr>
      <w:r>
        <w:rPr>
          <w:sz w:val="20"/>
        </w:rPr>
        <w:t>8.8 불적합 처리 - 잠재적으로 안전하지 않은 제품 처리</w:t>
      </w:r>
    </w:p>
    <w:p/>
    <w:p>
      <w:pPr>
        <w:pStyle w:val="Heading1"/>
      </w:pPr>
      <w:r>
        <w:rPr>
          <w:b/>
          <w:color w:val="1F3864"/>
          <w:sz w:val="24"/>
        </w:rPr>
        <w:t>9. 성과평가</w:t>
      </w:r>
    </w:p>
    <w:p>
      <w:pPr>
        <w:pStyle w:val="ListBullet"/>
        <w:ind w:left="283"/>
      </w:pPr>
      <w:r>
        <w:rPr>
          <w:sz w:val="20"/>
        </w:rPr>
        <w:t>9.1 모니터링·측정 - CCP 일일 기록, 월별 통계</w:t>
      </w:r>
    </w:p>
    <w:p>
      <w:pPr>
        <w:pStyle w:val="ListBullet"/>
        <w:ind w:left="283"/>
      </w:pPr>
      <w:r>
        <w:rPr>
          <w:sz w:val="20"/>
        </w:rPr>
        <w:t>9.2 내부심사 - 연 2회 HACCP 내부심사</w:t>
      </w:r>
    </w:p>
    <w:p>
      <w:pPr>
        <w:pStyle w:val="ListBullet"/>
        <w:ind w:left="283"/>
      </w:pPr>
      <w:r>
        <w:rPr>
          <w:sz w:val="20"/>
        </w:rPr>
        <w:t>9.3 경영검토 - 연 1회 식품안전 성과 검토</w:t>
      </w:r>
    </w:p>
    <w:p/>
    <w:p>
      <w:pPr>
        <w:pStyle w:val="Heading1"/>
      </w:pPr>
      <w:r>
        <w:rPr>
          <w:b/>
          <w:color w:val="1F3864"/>
          <w:sz w:val="24"/>
        </w:rPr>
        <w:t>10. 개선</w:t>
      </w:r>
    </w:p>
    <w:p>
      <w:pPr>
        <w:pStyle w:val="ListBullet"/>
        <w:ind w:left="283"/>
      </w:pPr>
      <w:r>
        <w:rPr>
          <w:sz w:val="20"/>
        </w:rPr>
        <w:t>10.1 부적합 및 시정조치 - CCP 이탈 즉시 조치</w:t>
      </w:r>
    </w:p>
    <w:p>
      <w:pPr>
        <w:pStyle w:val="ListBullet"/>
        <w:ind w:left="283"/>
      </w:pPr>
      <w:r>
        <w:rPr>
          <w:sz w:val="20"/>
        </w:rPr>
        <w:t>10.2 지속적 개선 - HACCP 플랜 정기 검토</w:t>
      </w:r>
    </w:p>
    <w:p/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